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Tmp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Tmp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78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Architecture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Architecture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Creative Media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/ Electrical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Music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Criminology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English (Literature)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English (Literature)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English (Literature)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History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Visual Art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Physics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History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History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Mathematics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/ Electrical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Visual Art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Religion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Mathematics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58B3EED" w:rsidR="00EA2EF1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 xml:space="preserve">Major </w:t>
      </w:r>
      <w:r w:rsidRPr="00F069D2">
        <w:rPr>
          <w:b/>
          <w:bCs/>
          <w:szCs w:val="24"/>
          <w:lang w:eastAsia="zh-CN"/>
        </w:rPr>
        <w:t xml:space="preserve">Findings</w:t>
      </w:r>
    </w:p>
    <w:p w14:paraId="3D64BB0D" w14:textId="3F179AA1" w:rsidR="3E4F7786" w:rsidRPr="00576D88" w:rsidRDefault="00C605DF" w:rsidP="00F069D2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00F069D2">
      <w:pPr>
        <w:rPr>
          <w:szCs w:val="24"/>
          <w:lang w:eastAsia="zh-CN"/>
        </w:rPr>
      </w:pPr>
    </w:p>
    <w:p w14:paraId="5B392370" w14:textId="37DCB88C" w:rsidR="0007712D" w:rsidRPr="00CF22E6" w:rsidRDefault="004A6865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Architecture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Architecture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Entertainment / Music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Entertainment / Music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 Servant (Clerical)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Physical Education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Hospitality / Tourism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Pre-School Education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Pre-School Education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Insurance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Import / Export / Wholesale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Cartoonist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Legal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Actuary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Legal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Archaeologist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Fireman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Archaeologist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Cartoonist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Architecture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3667329" w14:textId="5D7E5E03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rFonts w:ascii="Calibri" w:eastAsia="Calibri" w:hAnsi="Calibri" w:cs="Calibri"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</w:t>
      </w:r>
      <w:r>
        <w:rPr>
          <w:rFonts w:ascii="Calibri" w:eastAsia="Calibri" w:hAnsi="Calibri" w:cs="Calibri"/>
          <w:sz w:val="22"/>
          <w:lang w:eastAsia="zh-CN"/>
        </w:rPr>
        <w:t xml:space="preserve"> </w:t>
      </w:r>
      <w:r w:rsidRPr="00F069D2">
        <w:rPr>
          <w:rFonts w:ascii="Calibri" w:eastAsia="Calibri" w:hAnsi="Calibri" w:cs="Calibri"/>
          <w:b/>
          <w:bCs/>
          <w:sz w:val="22"/>
          <w:lang w:eastAsia="zh-CN"/>
        </w:rPr>
        <w:t xml:space="preserve">Findings</w:t>
      </w:r>
    </w:p>
    <w:p w14:paraId="21A70703" w14:textId="4ABFC00D" w:rsidR="00EA2EF1" w:rsidRPr="00A75F6B" w:rsidRDefault="00EA2EF1" w:rsidP="00F069D2">
      <w:pPr>
        <w:rPr>
          <w:rFonts w:eastAsia="Calibri" w:cstheme="minorHAnsi"/>
          <w:sz w:val="22"/>
          <w:lang w:eastAsia="zh-CN"/>
        </w:rPr>
      </w:pPr>
      <w:proofErr w:type="gramStart"/>
      <w:r w:rsidRPr="00A75F6B">
        <w:rPr>
          <w:rFonts w:eastAsia="Calibri" w:cstheme="minorHAns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00F069D2">
      <w:pPr>
        <w:rPr>
          <w:rFonts w:ascii="Calibri" w:eastAsia="Calibri" w:hAnsi="Calibri" w:cs="Calibri"/>
          <w:sz w:val="22"/>
          <w:lang w:eastAsia="zh-CN"/>
        </w:rPr>
      </w:pPr>
    </w:p>
    <w:p w14:paraId="745A9E83" w14:textId="77777777" w:rsidR="00E25D2A" w:rsidRPr="00E25D2A" w:rsidRDefault="0019371F" w:rsidP="00E25D2A">
      <w:pPr>
        <w:pStyle w:val="ListParagraph"/>
        <w:widowControl/>
        <w:numPr>
          <w:ilvl w:val="0"/>
          <w:numId w:val="3"/>
        </w:numPr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7252FA56" w:rsidR="00C51AFD" w:rsidRPr="00E25D2A" w:rsidRDefault="00186EDB" w:rsidP="00E25D2A">
      <w:pPr>
        <w:pStyle w:val="ListParagraph"/>
        <w:widowControl/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00E25D2A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00E25D2A">
        <w:rPr>
          <w:b/>
          <w:bCs/>
          <w:i/>
          <w:iCs/>
          <w:sz w:val="22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lastRenderedPageBreak/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31.3%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50.0%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34.4%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50.0%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34.4%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46.9%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40.6%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46.9%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31.2%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43.8%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33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12.1%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-7.9%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33.3%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6.7%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26.6%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45.4%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26.7%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18.7%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33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45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15.2%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17.8%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-2.6%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33.3%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15.6%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48.5%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33.4%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15.1%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43A532F2" w:rsidR="0037471D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 xml:space="preserve">STEM Findings</w:t>
      </w:r>
    </w:p>
    <w:p w14:paraId="7A83BE30" w14:textId="24320592" w:rsidR="00EA2EF1" w:rsidRPr="00F443BA" w:rsidRDefault="00EA2EF1" w:rsidP="00A75F6B">
      <w:pPr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77B01812" w14:textId="3DAFDDF9" w:rsidR="6D439E4F" w:rsidRDefault="6D439E4F" w:rsidP="00694059">
      <w:pPr>
        <w:jc w:val="both"/>
        <w:rPr>
          <w:sz w:val="22"/>
        </w:rPr>
      </w:pPr>
    </w:p>
    <w:p w14:paraId="2C73C2C1" w14:textId="7F87A322" w:rsidR="00C51AFD" w:rsidRPr="00CF22E6" w:rsidRDefault="0019371F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00F069D2">
      <w:pPr>
        <w:pStyle w:val="ListParagraph"/>
        <w:ind w:left="36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36.2%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19.4%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16.8%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21.3%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12.9%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8.4%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31.9%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16.1%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15.8%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17.0%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16.1%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0.9%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23.4%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22.6%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0.8%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26F34887" w14:textId="77777777" w:rsidR="00F069D2" w:rsidRPr="00117695" w:rsidRDefault="00F069D2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7E711CA9" w14:textId="77777777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rFonts w:eastAsia="SimSun"/>
          <w:b/>
          <w:sz w:val="22"/>
          <w:lang w:eastAsia="zh-CN"/>
        </w:rPr>
      </w:pPr>
      <w:r w:rsidRPr="00F069D2">
        <w:rPr>
          <w:rFonts w:eastAsia="SimSun"/>
          <w:b/>
          <w:sz w:val="22"/>
          <w:lang w:eastAsia="zh-CN"/>
        </w:rPr>
        <w:lastRenderedPageBreak/>
        <w:t xml:space="preserve">GBA Findings</w:t>
      </w:r>
    </w:p>
    <w:p w14:paraId="4E2AD92B" w14:textId="32C9C75A" w:rsidR="002D4326" w:rsidRPr="000536DD" w:rsidRDefault="000536DD" w:rsidP="00A75F6B">
      <w:pPr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Architecture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Architecture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Social Work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Social Work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Civil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Creative Media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Psychology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Psychology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Mechanical / Electrical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Music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Civil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Physical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Criminology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Psychology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Hotel  Tourism Management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Mechanical / Electrical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Geography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Design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Hotel  Tourism Management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Game Design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Sociology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Geography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Computer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Risk Management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Criminology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Pre-school Education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English (Literature)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English (Literature)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English (Literature)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History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Visual Art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Physics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Physics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History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History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Mathematics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Mechanical / Electrical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Visual Art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Religion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Mathematics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Public Health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Chemistry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Religion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Fashion  Textile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Survey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Medicine / Surgery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Chinese (Literature)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Medicine / Surgery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Chinese (Literature)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Medicine / Surgery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Actuarial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Cultural Studies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Mathematics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Real Estate  Construction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Social Work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Architecture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Social Work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Architecture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Civil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Entertainment / Music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Entertainment / 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Computer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General Education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Civil Servant (Clerical)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Mechanical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Veterinary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Computer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Physical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Hospitality / Tourism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Civil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Artificial Intelligence (AI)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Psychologist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Mechanical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Civil Servant (Clerical)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Design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Hospitality / Tourism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Paramedic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Civil Servant (Clerical)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Artificial Intelligence (AI)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Customs Officer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Film / Television Production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General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Information Technology (IT)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Digital Marketing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Pre-School Education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Pre-School Education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Insurance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General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General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Import / Export / Wholesale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Cartoonist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Legal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Actuary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Legal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Archaeologist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Fireman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Archaeologist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Cartoonist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Architecture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Design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Accounting / Audit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Design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Insurance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Beautician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Mechanical Engineering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Actuary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Pet Groomer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Medical Service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Advertising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Fashion Design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Hospitality / Tourism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Banking / Finance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Entertainment / 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Laboratory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381845B2" w14:textId="255D4F71" w:rsidR="00561EF7" w:rsidRPr="00745201" w:rsidRDefault="00746A60" w:rsidP="00746A60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A55462">
        <w:br w:type="page"/>
      </w:r>
    </w:p>
    <w:p w14:paraId="1E76097E" w14:textId="22AA381A" w:rsidR="0093070A" w:rsidRDefault="00F500B1" w:rsidP="00127043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6FE0346" w14:textId="77777777" w:rsidR="00127043" w:rsidRPr="00127043" w:rsidRDefault="00127043" w:rsidP="00127043">
      <w:pPr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62.0%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38.0%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51.3%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39.7%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28.2%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60.3%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24.4%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64.1%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52.6%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17.9%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15.4%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9.0%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15.4%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018132E" w14:textId="70877AFE" w:rsidR="00F069D2" w:rsidRPr="00753E54" w:rsidRDefault="00F069D2" w:rsidP="00F069D2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proofErr w:type="spellStart"/>
      <w:r>
        <w:rPr>
          <w:rFonts w:eastAsia="SimSun"/>
          <w:b/>
          <w:bCs/>
          <w:sz w:val="22"/>
          <w:lang w:eastAsia="zh-CN"/>
        </w:rPr>
        <w:t xml:space="preserve">Scources</w:t>
      </w:r>
      <w:proofErr w:type="spellEnd"/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04120B8" w14:textId="7DCD90EC" w:rsidR="003B6331" w:rsidRPr="00A75F6B" w:rsidRDefault="007B2FF8" w:rsidP="00A75F6B">
      <w:pPr>
        <w:rPr>
          <w:rFonts w:cstheme="minorHAnsi"/>
          <w:b/>
          <w:sz w:val="22"/>
          <w:lang w:val="en-HK"/>
        </w:rPr>
      </w:pPr>
      <w:proofErr w:type="gramStart"/>
      <w:r w:rsidRPr="00A75F6B">
        <w:rPr>
          <w:rFonts w:eastAsia="PMingLiU" w:cstheme="minorHAns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10.3%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6.4%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7.7%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26.9%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15.4%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33.3%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11.7%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5.7%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20.8%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46.8%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20.8%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Default="005B6207" w:rsidP="3E4F7786">
      <w:pPr>
        <w:jc w:val="center"/>
      </w:pPr>
      <w:proofErr w:type="gramStart"/>
      <w: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1D29DAB" w14:textId="18865C2F" w:rsidR="00F069D2" w:rsidRPr="00F069D2" w:rsidRDefault="00F069D2" w:rsidP="00CE3594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>
        <w:rPr>
          <w:rFonts w:eastAsia="SimSun"/>
          <w:b/>
          <w:bCs/>
          <w:sz w:val="22"/>
          <w:lang w:eastAsia="zh-CN"/>
        </w:rPr>
        <w:t>Endure</w:t>
      </w:r>
      <w:r w:rsidRPr="3E4F7786">
        <w:rPr>
          <w:rFonts w:eastAsia="SimSun"/>
          <w:b/>
          <w:bCs/>
          <w:sz w:val="22"/>
          <w:lang w:eastAsia="zh-CN"/>
        </w:rPr>
        <w:t xml:space="preserve"> </w:t>
      </w:r>
      <w:r>
        <w:rPr>
          <w:rFonts w:eastAsia="SimSun"/>
          <w:b/>
          <w:bCs/>
          <w:sz w:val="22"/>
          <w:lang w:eastAsia="zh-CN"/>
        </w:rPr>
        <w:t xml:space="preserve">and </w:t>
      </w:r>
      <w:r w:rsidRPr="3E4F7786">
        <w:rPr>
          <w:rFonts w:eastAsia="SimSun"/>
          <w:b/>
          <w:bCs/>
          <w:sz w:val="22"/>
          <w:lang w:eastAsia="zh-CN"/>
        </w:rPr>
        <w:t xml:space="preserve">Level</w:t>
      </w:r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3D10AB5" w14:textId="2D1CB82F" w:rsidR="00CE3594" w:rsidRPr="00A75F6B" w:rsidRDefault="00CE3594" w:rsidP="00CE3594">
      <w:pPr>
        <w:rPr>
          <w:sz w:val="22"/>
          <w:szCs w:val="20"/>
        </w:rPr>
      </w:pPr>
      <w:proofErr w:type="gramStart"/>
      <w:r w:rsidRPr="00A75F6B">
        <w:rPr>
          <w:sz w:val="22"/>
          <w:szCs w:val="20"/>
        </w:rPr>
        <w:t xml:space="preserve">[LLM OUTPUT PLACEHOLDER]</w:t>
      </w:r>
    </w:p>
    <w:p w14:paraId="742847C1" w14:textId="77777777" w:rsidR="00CE3594" w:rsidRPr="00BA244D" w:rsidRDefault="00CE3594" w:rsidP="00CE3594"/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39.7%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14.1%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29.5%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9.0%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11.5%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47.4%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55.1%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64.1%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12.8%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D0958"/>
    <w:multiLevelType w:val="hybridMultilevel"/>
    <w:tmpl w:val="8228D586"/>
    <w:lvl w:ilvl="0" w:tplc="3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8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9"/>
  </w:num>
  <w:num w:numId="9" w16cid:durableId="271598908">
    <w:abstractNumId w:val="0"/>
  </w:num>
  <w:num w:numId="10" w16cid:durableId="1289429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03D2E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27043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2DED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4059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46A60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5462"/>
    <w:rsid w:val="00A56416"/>
    <w:rsid w:val="00A626AD"/>
    <w:rsid w:val="00A65618"/>
    <w:rsid w:val="00A65C1F"/>
    <w:rsid w:val="00A705B4"/>
    <w:rsid w:val="00A7125C"/>
    <w:rsid w:val="00A733DD"/>
    <w:rsid w:val="00A75F6B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594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13"/>
    <w:rsid w:val="00E07F70"/>
    <w:rsid w:val="00E1480E"/>
    <w:rsid w:val="00E15C46"/>
    <w:rsid w:val="00E17780"/>
    <w:rsid w:val="00E24B82"/>
    <w:rsid w:val="00E25D2A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069D2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46</cp:revision>
  <cp:lastPrinted>2024-08-02T02:17:00Z</cp:lastPrinted>
  <dcterms:created xsi:type="dcterms:W3CDTF">2025-07-02T02:31:00Z</dcterms:created>
  <dcterms:modified xsi:type="dcterms:W3CDTF">2025-07-15T08:24:00Z</dcterms:modified>
  <dc:identifier/>
  <dc:language/>
</cp:coreProperties>
</file>