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Caritas Ma On Shan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Caritas Ma On Shan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75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Accounting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Physics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Pre-School Education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Accounting / Audit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37.0%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44.4%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40.7%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51.9%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33.3%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55.6%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33.3%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55.6%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25.9%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63.0%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30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13.3%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8.9%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4.4%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23.3%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12.2%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30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45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16.7%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5.6%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16.7%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17.8%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-1.1%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33.4%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28.9%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4.5%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58.7%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51.7%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7.0%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4.3%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6.9%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-2.6%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51.7%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-1.7%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15.2%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4.9%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27.6%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-16.7%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Human Resources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Property Management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Geography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Social Work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Advertising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Biochemistry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Human Resources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57.6%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42.4%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45.1%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15.5%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59.2%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64.8%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14.1%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19.4%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30.6%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38.9%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58.6%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31.4%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19.4%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47.2%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36.1%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75.0%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68.1%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8.3%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