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Kowloon Tong School (Secondary School)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Kowloon Tong School (Secondary School)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/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/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0.0%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0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> 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/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/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/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/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/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/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