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Shun Tak Fraternal Association Tam Pak Yu College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Shun Tak Fraternal Association Tam Pak Yu College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101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Finance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Geography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/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/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Physical Education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Biochemistry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Civil Servant (Clerical)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/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/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/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21.4%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46.4%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21.4%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57.1%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25.0%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35.7%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14.3%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50.0%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7.1%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57.1%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36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65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2.8%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1.5%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1.3%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5.6%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6.2%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-0.6%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8.4%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7.7%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0.7%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36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65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2.8%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1.5%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1.3%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19.4%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20.0%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-0.6%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22.2%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21.5%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0.7%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38.3%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43.9%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-5.6%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5.0%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7.3%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-2.3%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31.7%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41.5%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-9.8%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1.7%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2.4%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-0.7%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21.7%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17.1%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4.6%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48.4%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51.6%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45.0%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37.0%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29.0%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62.0%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56.0%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11.0%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10.9%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21.8%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36.6%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60.6%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9.1%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25.3%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5.1%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11.9%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17.8%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37.6%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11.9%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28.7%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69.3%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80.2%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6.9%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  <dc:identifier/>
  <dc:language/>
</cp:coreProperties>
</file>