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B0F3B1">
      <w:pPr>
        <w:spacing w:before="360" w:after="400"/>
        <w:jc w:val="center"/>
      </w:pPr>
      <w:r>
        <w:rPr>
          <w:rFonts w:ascii="Times New Roman" w:hAnsi="Times New Roman"/>
          <w:b/>
          <w:sz w:val="36"/>
        </w:rPr>
        <w:t>When Explanations Outlive Their Data: Faithfulness Decoupling in Graph-Attention MARL Fleet Dispatch under Telemetry Degradation</w:t>
      </w:r>
    </w:p>
    <w:p w14:paraId="4363D6A2">
      <w:pPr>
        <w:spacing w:after="200"/>
        <w:jc w:val="center"/>
      </w:pPr>
      <w:r>
        <w:rPr>
          <w:rFonts w:ascii="Times New Roman" w:hAnsi="Times New Roman"/>
          <w:sz w:val="24"/>
        </w:rPr>
        <w:t>A Master's Dissertation</w:t>
      </w:r>
    </w:p>
    <w:p w14:paraId="57F64A17">
      <w:pPr>
        <w:spacing w:after="240"/>
        <w:jc w:val="center"/>
      </w:pPr>
      <w:r>
        <w:rPr>
          <w:rFonts w:ascii="Times New Roman" w:hAnsi="Times New Roman"/>
          <w:sz w:val="24"/>
        </w:rPr>
        <w:t>submitted in partial fulfilment of the requirements for the award of the degree of</w:t>
      </w:r>
    </w:p>
    <w:p w14:paraId="37E9AD03">
      <w:pPr>
        <w:spacing w:after="320"/>
        <w:jc w:val="center"/>
      </w:pPr>
      <w:r>
        <w:rPr>
          <w:rFonts w:ascii="Times New Roman" w:hAnsi="Times New Roman"/>
          <w:b/>
          <w:sz w:val="28"/>
        </w:rPr>
        <w:t>Master of Science (MSc)</w:t>
      </w:r>
    </w:p>
    <w:p w14:paraId="739CD838">
      <w:pPr>
        <w:jc w:val="center"/>
      </w:pPr>
      <w:r>
        <w:rPr>
          <w:rFonts w:ascii="Times New Roman" w:hAnsi="Times New Roman"/>
          <w:sz w:val="24"/>
        </w:rPr>
        <w:t>By</w:t>
      </w:r>
    </w:p>
    <w:p w14:paraId="3E04CB3A">
      <w:pPr>
        <w:spacing w:after="280"/>
        <w:jc w:val="center"/>
      </w:pPr>
      <w:r>
        <w:rPr>
          <w:rFonts w:ascii="Times New Roman" w:hAnsi="Times New Roman"/>
          <w:b/>
          <w:sz w:val="28"/>
        </w:rPr>
        <w:t>Hongwei Lin</w:t>
      </w:r>
      <w:r>
        <w:rPr>
          <w:rFonts w:ascii="Times New Roman" w:hAnsi="Times New Roman"/>
          <w:b/>
          <w:sz w:val="28"/>
        </w:rPr>
        <w:br w:type="textWrapping"/>
      </w:r>
      <w:r>
        <w:rPr>
          <w:rFonts w:ascii="Times New Roman" w:hAnsi="Times New Roman"/>
          <w:b/>
          <w:sz w:val="28"/>
        </w:rPr>
        <w:t>P2982757</w:t>
      </w:r>
    </w:p>
    <w:p w14:paraId="64E6A844">
      <w:pPr>
        <w:spacing w:after="200"/>
        <w:jc w:val="center"/>
      </w:pPr>
      <w:r>
        <w:t>Supervisor: Farhan S. Ujager</w:t>
      </w:r>
    </w:p>
    <w:p w14:paraId="4515B0DC">
      <w:pPr>
        <w:spacing w:after="160"/>
        <w:jc w:val="center"/>
      </w:pPr>
      <w:r>
        <w:drawing>
          <wp:inline distT="0" distB="0" distL="114300" distR="114300">
            <wp:extent cx="2560320" cy="1035685"/>
            <wp:effectExtent l="0" t="0" r="5080" b="5715"/>
            <wp:docPr id="1" name="Picture 1" descr="De Montfort University Duba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 Montfort University Dubai logo"/>
                    <pic:cNvPicPr>
                      <a:picLocks noChangeAspect="1"/>
                    </pic:cNvPicPr>
                  </pic:nvPicPr>
                  <pic:blipFill>
                    <a:blip r:embed="rId11"/>
                    <a:stretch>
                      <a:fillRect/>
                    </a:stretch>
                  </pic:blipFill>
                  <pic:spPr>
                    <a:xfrm>
                      <a:off x="0" y="0"/>
                      <a:ext cx="2560320" cy="1035855"/>
                    </a:xfrm>
                    <a:prstGeom prst="rect">
                      <a:avLst/>
                    </a:prstGeom>
                  </pic:spPr>
                </pic:pic>
              </a:graphicData>
            </a:graphic>
          </wp:inline>
        </w:drawing>
      </w:r>
    </w:p>
    <w:p w14:paraId="388B2B5B">
      <w:pPr>
        <w:spacing w:after="120"/>
        <w:jc w:val="center"/>
      </w:pPr>
      <w:r>
        <w:rPr>
          <w:rFonts w:ascii="Times New Roman" w:hAnsi="Times New Roman"/>
          <w:b/>
          <w:sz w:val="32"/>
        </w:rPr>
        <w:t>School of Computing</w:t>
      </w:r>
    </w:p>
    <w:p w14:paraId="0B08FAE3">
      <w:pPr>
        <w:spacing w:after="120"/>
        <w:jc w:val="center"/>
      </w:pPr>
      <w:r>
        <w:rPr>
          <w:rFonts w:ascii="Times New Roman" w:hAnsi="Times New Roman"/>
          <w:b/>
          <w:sz w:val="32"/>
        </w:rPr>
        <w:t>De Montfort University, Dubai</w:t>
      </w:r>
    </w:p>
    <w:p w14:paraId="1005FB11">
      <w:pPr>
        <w:spacing w:after="120"/>
        <w:jc w:val="center"/>
      </w:pPr>
      <w:r>
        <w:t>August 2026</w:t>
      </w:r>
    </w:p>
    <w:p w14:paraId="4E05EC5A">
      <w:pPr>
        <w:sectPr>
          <w:footerReference r:id="rId7" w:type="first"/>
          <w:footerReference r:id="rId5" w:type="default"/>
          <w:footerReference r:id="rId6" w:type="even"/>
          <w:pgSz w:w="11909" w:h="16834"/>
          <w:pgMar w:top="850" w:right="1440" w:bottom="1483" w:left="1440" w:header="720" w:footer="720" w:gutter="0"/>
          <w:pgNumType w:start="1"/>
          <w:cols w:space="720" w:num="1"/>
        </w:sectPr>
      </w:pPr>
    </w:p>
    <w:p w14:paraId="00D670D6">
      <w:pPr>
        <w:keepNext/>
        <w:spacing w:after="360"/>
        <w:jc w:val="center"/>
      </w:pPr>
      <w:r>
        <w:rPr>
          <w:rFonts w:ascii="Times New Roman" w:hAnsi="Times New Roman"/>
          <w:b/>
          <w:sz w:val="28"/>
        </w:rPr>
        <w:t>DECLARATION</w:t>
      </w:r>
    </w:p>
    <w:p w14:paraId="4122C72C">
      <w:pPr>
        <w:spacing w:after="120" w:line="480" w:lineRule="auto"/>
        <w:jc w:val="both"/>
      </w:pPr>
      <w:r>
        <w:rPr>
          <w:rFonts w:ascii="Times New Roman" w:hAnsi="Times New Roman"/>
          <w:sz w:val="24"/>
        </w:rPr>
        <w:t>I declare that this dissertation is my own original work carried out under the supervision of Farhan S. Ujager and that all sources and references have been acknowledged appropriately. This dissertation has not been submitted previously for academic credit at De Montfort University, Dubai, or any other institution.</w:t>
      </w:r>
    </w:p>
    <w:p w14:paraId="468DB6DF"/>
    <w:p w14:paraId="07E353C0">
      <w:pPr>
        <w:spacing w:after="120" w:line="276" w:lineRule="auto"/>
        <w:jc w:val="both"/>
      </w:pPr>
      <w:r>
        <w:rPr>
          <w:rFonts w:ascii="Times New Roman" w:hAnsi="Times New Roman"/>
          <w:sz w:val="24"/>
        </w:rPr>
        <w:t>Signature: ______________________________</w:t>
      </w:r>
    </w:p>
    <w:p w14:paraId="576F350D">
      <w:pPr>
        <w:spacing w:after="120" w:line="276" w:lineRule="auto"/>
        <w:jc w:val="both"/>
      </w:pPr>
      <w:r>
        <w:rPr>
          <w:rFonts w:ascii="Times New Roman" w:hAnsi="Times New Roman"/>
          <w:sz w:val="24"/>
        </w:rPr>
        <w:t>Name: Hongwei Lin</w:t>
      </w:r>
    </w:p>
    <w:p w14:paraId="7FD523F4">
      <w:pPr>
        <w:spacing w:after="120" w:line="276" w:lineRule="auto"/>
        <w:jc w:val="both"/>
      </w:pPr>
      <w:r>
        <w:rPr>
          <w:rFonts w:ascii="Times New Roman" w:hAnsi="Times New Roman"/>
          <w:sz w:val="24"/>
        </w:rPr>
        <w:t>Date: ______________________________</w:t>
      </w:r>
    </w:p>
    <w:p w14:paraId="6D3B0A3B">
      <w:r>
        <w:br w:type="page"/>
      </w:r>
    </w:p>
    <w:p w14:paraId="72AFDB96">
      <w:pPr>
        <w:keepNext/>
        <w:spacing w:after="360"/>
        <w:jc w:val="center"/>
      </w:pPr>
      <w:r>
        <w:rPr>
          <w:rFonts w:ascii="Times New Roman" w:hAnsi="Times New Roman"/>
          <w:b/>
          <w:sz w:val="28"/>
        </w:rPr>
        <w:t>ACKNOWLEDGEMENT</w:t>
      </w:r>
    </w:p>
    <w:p w14:paraId="41215541">
      <w:pPr>
        <w:spacing w:after="120" w:line="276" w:lineRule="auto"/>
        <w:jc w:val="both"/>
      </w:pPr>
      <w:r>
        <w:t>I would like to express my sincere gratitude to my supervisor, Dr Farhan S. Ujager, for his valuable support and guidance throughout this research. His advice, encouragement and careful feedback helped me refine the experiment, interpret the findings responsibly and complete this dissertation.</w:t>
      </w:r>
    </w:p>
    <w:p w14:paraId="0C111867">
      <w:pPr>
        <w:spacing w:before="6000" w:after="160"/>
        <w:jc w:val="left"/>
      </w:pPr>
      <w:r>
        <w:rPr>
          <w:rFonts w:ascii="Times New Roman" w:hAnsi="Times New Roman"/>
          <w:sz w:val="24"/>
        </w:rPr>
        <w:t>Student signature: ______________________________</w:t>
      </w:r>
    </w:p>
    <w:p w14:paraId="28A492E3">
      <w:pPr>
        <w:spacing w:after="0"/>
        <w:jc w:val="left"/>
      </w:pPr>
      <w:r>
        <w:rPr>
          <w:rFonts w:ascii="Times New Roman" w:hAnsi="Times New Roman"/>
          <w:b/>
          <w:sz w:val="24"/>
        </w:rPr>
        <w:t>Student name: Hongwei Lin</w:t>
      </w:r>
    </w:p>
    <w:p w14:paraId="4D59CE54">
      <w:r>
        <w:br w:type="page"/>
      </w:r>
    </w:p>
    <w:p w14:paraId="203D6B49">
      <w:pPr>
        <w:keepNext/>
        <w:spacing w:after="360"/>
        <w:jc w:val="center"/>
      </w:pPr>
      <w:r>
        <w:rPr>
          <w:rFonts w:ascii="Times New Roman" w:hAnsi="Times New Roman"/>
          <w:b/>
          <w:sz w:val="28"/>
        </w:rPr>
        <w:t>LIST OF FIGURES</w:t>
      </w:r>
    </w:p>
    <w:p w14:paraId="6BE94E2B">
      <w:pPr>
        <w:keepLines/>
        <w:tabs>
          <w:tab w:val="right" w:leader="dot" w:pos="8784"/>
        </w:tabs>
        <w:spacing w:after="40" w:line="240" w:lineRule="auto"/>
        <w:ind w:left="0"/>
      </w:pPr>
      <w:r>
        <w:t>Figure 3.1  Observation graph and request-to-action mapping</w:t>
      </w:r>
      <w:r>
        <w:tab/>
      </w:r>
      <w:r>
        <w:t>7</w:t>
      </w:r>
    </w:p>
    <w:p w14:paraId="083E2EF9">
      <w:pPr>
        <w:keepLines/>
        <w:tabs>
          <w:tab w:val="right" w:leader="dot" w:pos="8784"/>
        </w:tabs>
        <w:spacing w:after="40" w:line="240" w:lineRule="auto"/>
        <w:ind w:left="0"/>
      </w:pPr>
      <w:r>
        <w:t>Figure 3.2  Simplified graph-attention design</w:t>
      </w:r>
      <w:r>
        <w:tab/>
      </w:r>
      <w:r>
        <w:t>7</w:t>
      </w:r>
    </w:p>
    <w:p w14:paraId="2DD787FA">
      <w:pPr>
        <w:keepLines/>
        <w:tabs>
          <w:tab w:val="right" w:leader="dot" w:pos="8784"/>
        </w:tabs>
        <w:spacing w:after="40" w:line="240" w:lineRule="auto"/>
        <w:ind w:left="0"/>
      </w:pPr>
      <w:r>
        <w:t>Figure 3.3  Model conditions and training process</w:t>
      </w:r>
      <w:r>
        <w:tab/>
      </w:r>
      <w:r>
        <w:t>8</w:t>
      </w:r>
    </w:p>
    <w:p w14:paraId="541293D0">
      <w:pPr>
        <w:keepLines/>
        <w:tabs>
          <w:tab w:val="right" w:leader="dot" w:pos="8784"/>
        </w:tabs>
        <w:spacing w:after="40" w:line="240" w:lineRule="auto"/>
        <w:ind w:left="0"/>
      </w:pPr>
      <w:r>
        <w:t>Figure 3.4  Tunnel-triggered observation-layer telemetry degradation</w:t>
      </w:r>
      <w:r>
        <w:tab/>
      </w:r>
      <w:r>
        <w:t>9</w:t>
      </w:r>
    </w:p>
    <w:p w14:paraId="4B5CA43F">
      <w:pPr>
        <w:keepLines/>
        <w:tabs>
          <w:tab w:val="right" w:leader="dot" w:pos="8784"/>
        </w:tabs>
        <w:spacing w:after="40" w:line="240" w:lineRule="auto"/>
        <w:ind w:left="0"/>
      </w:pPr>
      <w:r>
        <w:t>Figure 3.5  Construct-validity controls for action-linked request nodes</w:t>
      </w:r>
      <w:r>
        <w:tab/>
      </w:r>
      <w:r>
        <w:t>10</w:t>
      </w:r>
    </w:p>
    <w:p w14:paraId="35F5D6C1">
      <w:pPr>
        <w:keepLines/>
        <w:tabs>
          <w:tab w:val="right" w:leader="dot" w:pos="8784"/>
        </w:tabs>
        <w:spacing w:after="40" w:line="240" w:lineRule="auto"/>
        <w:ind w:left="0"/>
      </w:pPr>
      <w:r>
        <w:t>Figure 4.1  Validation checkpoint selection by model and training seed</w:t>
      </w:r>
      <w:r>
        <w:tab/>
      </w:r>
      <w:r>
        <w:t>12</w:t>
      </w:r>
    </w:p>
    <w:p w14:paraId="18F1BB6A">
      <w:pPr>
        <w:keepLines/>
        <w:tabs>
          <w:tab w:val="right" w:leader="dot" w:pos="8784"/>
        </w:tabs>
        <w:spacing w:after="40" w:line="240" w:lineRule="auto"/>
        <w:ind w:left="0"/>
      </w:pPr>
      <w:r>
        <w:t>Figure 4.2  Clean-test pickups by training seed</w:t>
      </w:r>
      <w:r>
        <w:tab/>
      </w:r>
      <w:r>
        <w:t>13</w:t>
      </w:r>
    </w:p>
    <w:p w14:paraId="309789D1">
      <w:pPr>
        <w:keepLines/>
        <w:tabs>
          <w:tab w:val="right" w:leader="dot" w:pos="8784"/>
        </w:tabs>
        <w:spacing w:after="40" w:line="240" w:lineRule="auto"/>
        <w:ind w:left="0"/>
      </w:pPr>
      <w:r>
        <w:t>Figure 4.3  Stale exposure, faithfulness and pickups by outage duration</w:t>
      </w:r>
      <w:r>
        <w:tab/>
      </w:r>
      <w:r>
        <w:t>14</w:t>
      </w:r>
    </w:p>
    <w:p w14:paraId="7B326F07">
      <w:pPr>
        <w:keepLines/>
        <w:tabs>
          <w:tab w:val="right" w:leader="dot" w:pos="8784"/>
        </w:tabs>
        <w:spacing w:after="40" w:line="240" w:lineRule="auto"/>
        <w:ind w:left="0"/>
      </w:pPr>
      <w:r>
        <w:t>Figure 4.4  Paired stale-attention shift by training seed</w:t>
      </w:r>
      <w:r>
        <w:tab/>
      </w:r>
      <w:r>
        <w:t>15</w:t>
      </w:r>
    </w:p>
    <w:p w14:paraId="51A3BF59">
      <w:pPr>
        <w:keepLines/>
        <w:tabs>
          <w:tab w:val="right" w:leader="dot" w:pos="8784"/>
        </w:tabs>
        <w:spacing w:after="40" w:line="240" w:lineRule="auto"/>
        <w:ind w:left="0"/>
      </w:pPr>
      <w:r>
        <w:t>Figure 4.5  WAMSN-DEF correlation by training seed</w:t>
      </w:r>
      <w:r>
        <w:tab/>
      </w:r>
      <w:r>
        <w:t>16</w:t>
      </w:r>
    </w:p>
    <w:p w14:paraId="283A8FB3">
      <w:pPr>
        <w:keepLines/>
        <w:tabs>
          <w:tab w:val="right" w:leader="dot" w:pos="8784"/>
        </w:tabs>
        <w:spacing w:after="40" w:line="240" w:lineRule="auto"/>
        <w:ind w:left="0"/>
      </w:pPr>
      <w:r>
        <w:t>Figure 5.1  Evidence path and final cross-seed verdicts</w:t>
      </w:r>
      <w:r>
        <w:tab/>
      </w:r>
      <w:r>
        <w:t>17</w:t>
      </w:r>
    </w:p>
    <w:p w14:paraId="0E1CBC95">
      <w:pPr>
        <w:keepNext/>
        <w:spacing w:after="360"/>
        <w:jc w:val="center"/>
        <w:rPr>
          <w:rFonts w:ascii="Times New Roman" w:hAnsi="Times New Roman"/>
          <w:b/>
          <w:sz w:val="28"/>
        </w:rPr>
      </w:pPr>
    </w:p>
    <w:p w14:paraId="4E24840A">
      <w:pPr>
        <w:keepNext/>
        <w:spacing w:after="360"/>
        <w:jc w:val="center"/>
      </w:pPr>
      <w:r>
        <w:rPr>
          <w:rFonts w:ascii="Times New Roman" w:hAnsi="Times New Roman"/>
          <w:b/>
          <w:sz w:val="28"/>
        </w:rPr>
        <w:t>LIST OF TABLES</w:t>
      </w:r>
    </w:p>
    <w:p w14:paraId="2964F8B6">
      <w:pPr>
        <w:keepLines/>
        <w:tabs>
          <w:tab w:val="right" w:leader="dot" w:pos="8784"/>
        </w:tabs>
        <w:spacing w:after="40" w:line="240" w:lineRule="auto"/>
        <w:ind w:left="0"/>
      </w:pPr>
      <w:r>
        <w:t>Table 3.1  Observation graph node types and roles</w:t>
      </w:r>
      <w:r>
        <w:tab/>
      </w:r>
      <w:r>
        <w:t>6</w:t>
      </w:r>
    </w:p>
    <w:p w14:paraId="2FDDF48E">
      <w:pPr>
        <w:keepLines/>
        <w:tabs>
          <w:tab w:val="right" w:leader="dot" w:pos="8784"/>
        </w:tabs>
        <w:spacing w:after="40" w:line="240" w:lineRule="auto"/>
        <w:ind w:left="0"/>
      </w:pPr>
      <w:r>
        <w:t>Table 3.2  Policy conditions used in the v4 experiment</w:t>
      </w:r>
      <w:r>
        <w:tab/>
      </w:r>
      <w:r>
        <w:t>7</w:t>
      </w:r>
    </w:p>
    <w:p w14:paraId="2A5F861F">
      <w:pPr>
        <w:keepLines/>
        <w:tabs>
          <w:tab w:val="right" w:leader="dot" w:pos="8784"/>
        </w:tabs>
        <w:spacing w:after="40" w:line="240" w:lineRule="auto"/>
        <w:ind w:left="0"/>
      </w:pPr>
      <w:r>
        <w:t>Table 3.3  Validation-selected checkpoint epochs</w:t>
      </w:r>
      <w:r>
        <w:tab/>
      </w:r>
      <w:r>
        <w:t>8</w:t>
      </w:r>
    </w:p>
    <w:p w14:paraId="15831775">
      <w:pPr>
        <w:keepLines/>
        <w:tabs>
          <w:tab w:val="right" w:leader="dot" w:pos="8784"/>
        </w:tabs>
        <w:spacing w:after="40" w:line="240" w:lineRule="auto"/>
        <w:ind w:left="0"/>
      </w:pPr>
      <w:r>
        <w:t>Table 4.1  Clean-test performance context across training seeds</w:t>
      </w:r>
      <w:r>
        <w:tab/>
      </w:r>
      <w:r>
        <w:t>12</w:t>
      </w:r>
    </w:p>
    <w:p w14:paraId="46950BEE">
      <w:pPr>
        <w:keepLines/>
        <w:tabs>
          <w:tab w:val="right" w:leader="dot" w:pos="8784"/>
        </w:tabs>
        <w:spacing w:after="40" w:line="240" w:lineRule="auto"/>
        <w:ind w:left="0"/>
      </w:pPr>
      <w:r>
        <w:t>Table 4.2  Construct-validity audit of random controls</w:t>
      </w:r>
      <w:r>
        <w:tab/>
      </w:r>
      <w:r>
        <w:t>13</w:t>
      </w:r>
    </w:p>
    <w:p w14:paraId="57FB20C1">
      <w:pPr>
        <w:keepLines/>
        <w:tabs>
          <w:tab w:val="right" w:leader="dot" w:pos="8784"/>
        </w:tabs>
        <w:spacing w:after="40" w:line="240" w:lineRule="auto"/>
        <w:ind w:left="0"/>
      </w:pPr>
      <w:r>
        <w:t>Table 4.3  Paired stale-attention shift estimates and confidence intervals</w:t>
      </w:r>
      <w:r>
        <w:tab/>
      </w:r>
      <w:r>
        <w:t>14</w:t>
      </w:r>
    </w:p>
    <w:p w14:paraId="48DA80CB">
      <w:pPr>
        <w:keepLines/>
        <w:tabs>
          <w:tab w:val="right" w:leader="dot" w:pos="8784"/>
        </w:tabs>
        <w:spacing w:after="40" w:line="240" w:lineRule="auto"/>
        <w:ind w:left="0"/>
      </w:pPr>
      <w:r>
        <w:t>Table 4.4  Hypothesis outcomes across training seeds</w:t>
      </w:r>
      <w:r>
        <w:tab/>
      </w:r>
      <w:r>
        <w:t>16</w:t>
      </w:r>
    </w:p>
    <w:p w14:paraId="5BAE7C1C">
      <w:pPr>
        <w:keepNext/>
        <w:spacing w:after="360"/>
        <w:jc w:val="center"/>
        <w:rPr>
          <w:rFonts w:ascii="Times New Roman" w:hAnsi="Times New Roman"/>
          <w:b/>
          <w:sz w:val="28"/>
        </w:rPr>
      </w:pPr>
    </w:p>
    <w:p w14:paraId="7230114D">
      <w:pPr>
        <w:keepNext/>
        <w:spacing w:after="360"/>
        <w:jc w:val="center"/>
      </w:pPr>
      <w:r>
        <w:rPr>
          <w:rFonts w:ascii="Times New Roman" w:hAnsi="Times New Roman"/>
          <w:b/>
          <w:sz w:val="28"/>
        </w:rPr>
        <w:t>LIST OF ABBREVIATIONS</w:t>
      </w:r>
    </w:p>
    <w:tbl>
      <w:tblPr>
        <w:tblStyle w:val="6"/>
        <w:tblW w:w="9020" w:type="dxa"/>
        <w:jc w:val="center"/>
        <w:tblBorders>
          <w:top w:val="single" w:color="7F7F7F" w:sz="8" w:space="0"/>
          <w:left w:val="none" w:color="FFFFFF" w:sz="0" w:space="0"/>
          <w:bottom w:val="single" w:color="7F7F7F" w:sz="8" w:space="0"/>
          <w:right w:val="none" w:color="FFFFFF" w:sz="0" w:space="0"/>
          <w:insideH w:val="single" w:color="D9D9D9" w:sz="4" w:space="0"/>
          <w:insideV w:val="none" w:color="FFFFFF" w:sz="0" w:space="0"/>
        </w:tblBorders>
        <w:tblLayout w:type="fixed"/>
        <w:tblCellMar>
          <w:top w:w="0" w:type="dxa"/>
          <w:left w:w="108" w:type="dxa"/>
          <w:bottom w:w="0" w:type="dxa"/>
          <w:right w:w="108" w:type="dxa"/>
        </w:tblCellMar>
      </w:tblPr>
      <w:tblGrid>
        <w:gridCol w:w="1900"/>
        <w:gridCol w:w="7120"/>
      </w:tblGrid>
      <w:tr w14:paraId="06948E8B">
        <w:trPr>
          <w:cantSplit/>
          <w:tblHeader/>
          <w:jc w:val="center"/>
        </w:trPr>
        <w:tc>
          <w:tcPr>
            <w:tcW w:w="1900" w:type="dxa"/>
            <w:shd w:val="clear" w:color="auto" w:fill="E7E6E6"/>
            <w:tcMar>
              <w:top w:w="45" w:type="dxa"/>
              <w:left w:w="90" w:type="dxa"/>
              <w:bottom w:w="45" w:type="dxa"/>
              <w:right w:w="90" w:type="dxa"/>
            </w:tcMar>
            <w:vAlign w:val="center"/>
          </w:tcPr>
          <w:p w14:paraId="784D9395">
            <w:pPr>
              <w:keepLines/>
              <w:spacing w:after="0" w:line="240" w:lineRule="auto"/>
            </w:pPr>
            <w:r>
              <w:rPr>
                <w:rFonts w:ascii="Times New Roman" w:hAnsi="Times New Roman"/>
                <w:b/>
                <w:sz w:val="20"/>
              </w:rPr>
              <w:t>Abbreviation</w:t>
            </w:r>
          </w:p>
        </w:tc>
        <w:tc>
          <w:tcPr>
            <w:tcW w:w="7120" w:type="dxa"/>
            <w:shd w:val="clear" w:color="auto" w:fill="E7E6E6"/>
            <w:tcMar>
              <w:top w:w="45" w:type="dxa"/>
              <w:left w:w="90" w:type="dxa"/>
              <w:bottom w:w="45" w:type="dxa"/>
              <w:right w:w="90" w:type="dxa"/>
            </w:tcMar>
            <w:vAlign w:val="center"/>
          </w:tcPr>
          <w:p w14:paraId="08F98D57">
            <w:pPr>
              <w:keepLines/>
              <w:spacing w:after="0" w:line="240" w:lineRule="auto"/>
            </w:pPr>
            <w:r>
              <w:rPr>
                <w:rFonts w:ascii="Times New Roman" w:hAnsi="Times New Roman"/>
                <w:b/>
                <w:sz w:val="20"/>
              </w:rPr>
              <w:t>Full form</w:t>
            </w:r>
          </w:p>
        </w:tc>
      </w:tr>
      <w:tr w14:paraId="00ACD40D">
        <w:trPr>
          <w:cantSplit/>
          <w:jc w:val="center"/>
        </w:trPr>
        <w:tc>
          <w:tcPr>
            <w:tcW w:w="1900" w:type="dxa"/>
            <w:tcMar>
              <w:top w:w="45" w:type="dxa"/>
              <w:left w:w="90" w:type="dxa"/>
              <w:bottom w:w="45" w:type="dxa"/>
              <w:right w:w="90" w:type="dxa"/>
            </w:tcMar>
            <w:vAlign w:val="center"/>
          </w:tcPr>
          <w:p w14:paraId="29114724">
            <w:pPr>
              <w:keepLines/>
              <w:spacing w:after="0" w:line="240" w:lineRule="auto"/>
            </w:pPr>
            <w:r>
              <w:rPr>
                <w:rFonts w:ascii="Times New Roman" w:hAnsi="Times New Roman"/>
                <w:sz w:val="20"/>
              </w:rPr>
              <w:t>AoI</w:t>
            </w:r>
          </w:p>
        </w:tc>
        <w:tc>
          <w:tcPr>
            <w:tcW w:w="7120" w:type="dxa"/>
            <w:tcMar>
              <w:top w:w="45" w:type="dxa"/>
              <w:left w:w="90" w:type="dxa"/>
              <w:bottom w:w="45" w:type="dxa"/>
              <w:right w:w="90" w:type="dxa"/>
            </w:tcMar>
            <w:vAlign w:val="center"/>
          </w:tcPr>
          <w:p w14:paraId="2ED9EB6E">
            <w:pPr>
              <w:keepLines/>
              <w:spacing w:after="0" w:line="240" w:lineRule="auto"/>
            </w:pPr>
            <w:r>
              <w:rPr>
                <w:rFonts w:ascii="Times New Roman" w:hAnsi="Times New Roman"/>
                <w:sz w:val="20"/>
              </w:rPr>
              <w:t>Age of Information</w:t>
            </w:r>
          </w:p>
        </w:tc>
      </w:tr>
      <w:tr w14:paraId="1E4DC8F5">
        <w:trPr>
          <w:cantSplit/>
          <w:jc w:val="center"/>
        </w:trPr>
        <w:tc>
          <w:tcPr>
            <w:tcW w:w="1900" w:type="dxa"/>
            <w:tcMar>
              <w:top w:w="45" w:type="dxa"/>
              <w:left w:w="90" w:type="dxa"/>
              <w:bottom w:w="45" w:type="dxa"/>
              <w:right w:w="90" w:type="dxa"/>
            </w:tcMar>
            <w:vAlign w:val="center"/>
          </w:tcPr>
          <w:p w14:paraId="1BC45515">
            <w:pPr>
              <w:keepLines/>
              <w:spacing w:after="0" w:line="240" w:lineRule="auto"/>
            </w:pPr>
            <w:r>
              <w:rPr>
                <w:rFonts w:ascii="Times New Roman" w:hAnsi="Times New Roman"/>
                <w:sz w:val="20"/>
              </w:rPr>
              <w:t>CTDE</w:t>
            </w:r>
          </w:p>
        </w:tc>
        <w:tc>
          <w:tcPr>
            <w:tcW w:w="7120" w:type="dxa"/>
            <w:tcMar>
              <w:top w:w="45" w:type="dxa"/>
              <w:left w:w="90" w:type="dxa"/>
              <w:bottom w:w="45" w:type="dxa"/>
              <w:right w:w="90" w:type="dxa"/>
            </w:tcMar>
            <w:vAlign w:val="center"/>
          </w:tcPr>
          <w:p w14:paraId="6E233F0D">
            <w:pPr>
              <w:keepLines/>
              <w:spacing w:after="0" w:line="240" w:lineRule="auto"/>
            </w:pPr>
            <w:r>
              <w:rPr>
                <w:rFonts w:ascii="Times New Roman" w:hAnsi="Times New Roman"/>
                <w:sz w:val="20"/>
              </w:rPr>
              <w:t>Centralised Training with Decentralised Execution</w:t>
            </w:r>
          </w:p>
        </w:tc>
      </w:tr>
      <w:tr w14:paraId="2AAAA26C">
        <w:trPr>
          <w:cantSplit/>
          <w:jc w:val="center"/>
        </w:trPr>
        <w:tc>
          <w:tcPr>
            <w:tcW w:w="1900" w:type="dxa"/>
            <w:tcMar>
              <w:top w:w="45" w:type="dxa"/>
              <w:left w:w="90" w:type="dxa"/>
              <w:bottom w:w="45" w:type="dxa"/>
              <w:right w:w="90" w:type="dxa"/>
            </w:tcMar>
            <w:vAlign w:val="center"/>
          </w:tcPr>
          <w:p w14:paraId="5DDB3B9B">
            <w:pPr>
              <w:keepLines/>
              <w:spacing w:after="0" w:line="240" w:lineRule="auto"/>
            </w:pPr>
            <w:r>
              <w:rPr>
                <w:rFonts w:ascii="Times New Roman" w:hAnsi="Times New Roman"/>
                <w:sz w:val="20"/>
              </w:rPr>
              <w:t>DEF</w:t>
            </w:r>
          </w:p>
        </w:tc>
        <w:tc>
          <w:tcPr>
            <w:tcW w:w="7120" w:type="dxa"/>
            <w:tcMar>
              <w:top w:w="45" w:type="dxa"/>
              <w:left w:w="90" w:type="dxa"/>
              <w:bottom w:w="45" w:type="dxa"/>
              <w:right w:w="90" w:type="dxa"/>
            </w:tcMar>
            <w:vAlign w:val="center"/>
          </w:tcPr>
          <w:p w14:paraId="4C062A22">
            <w:pPr>
              <w:keepLines/>
              <w:spacing w:after="0" w:line="240" w:lineRule="auto"/>
            </w:pPr>
            <w:r>
              <w:rPr>
                <w:rFonts w:ascii="Times New Roman" w:hAnsi="Times New Roman"/>
                <w:sz w:val="20"/>
              </w:rPr>
              <w:t>Decision-level Explanation Faithfulness</w:t>
            </w:r>
          </w:p>
        </w:tc>
      </w:tr>
      <w:tr w14:paraId="1BC517F3">
        <w:trPr>
          <w:cantSplit/>
          <w:jc w:val="center"/>
        </w:trPr>
        <w:tc>
          <w:tcPr>
            <w:tcW w:w="1900" w:type="dxa"/>
            <w:tcMar>
              <w:top w:w="45" w:type="dxa"/>
              <w:left w:w="90" w:type="dxa"/>
              <w:bottom w:w="45" w:type="dxa"/>
              <w:right w:w="90" w:type="dxa"/>
            </w:tcMar>
            <w:vAlign w:val="center"/>
          </w:tcPr>
          <w:p w14:paraId="49925272">
            <w:pPr>
              <w:keepLines/>
              <w:spacing w:after="0" w:line="240" w:lineRule="auto"/>
            </w:pPr>
            <w:r>
              <w:rPr>
                <w:rFonts w:ascii="Times New Roman" w:hAnsi="Times New Roman"/>
                <w:sz w:val="20"/>
              </w:rPr>
              <w:t>GAT</w:t>
            </w:r>
          </w:p>
        </w:tc>
        <w:tc>
          <w:tcPr>
            <w:tcW w:w="7120" w:type="dxa"/>
            <w:tcMar>
              <w:top w:w="45" w:type="dxa"/>
              <w:left w:w="90" w:type="dxa"/>
              <w:bottom w:w="45" w:type="dxa"/>
              <w:right w:w="90" w:type="dxa"/>
            </w:tcMar>
            <w:vAlign w:val="center"/>
          </w:tcPr>
          <w:p w14:paraId="3796D88E">
            <w:pPr>
              <w:keepLines/>
              <w:spacing w:after="0" w:line="240" w:lineRule="auto"/>
            </w:pPr>
            <w:r>
              <w:rPr>
                <w:rFonts w:ascii="Times New Roman" w:hAnsi="Times New Roman"/>
                <w:sz w:val="20"/>
              </w:rPr>
              <w:t>Graph Attention Network</w:t>
            </w:r>
          </w:p>
        </w:tc>
      </w:tr>
      <w:tr w14:paraId="6941DBF5">
        <w:trPr>
          <w:cantSplit/>
          <w:jc w:val="center"/>
        </w:trPr>
        <w:tc>
          <w:tcPr>
            <w:tcW w:w="1900" w:type="dxa"/>
            <w:tcMar>
              <w:top w:w="45" w:type="dxa"/>
              <w:left w:w="90" w:type="dxa"/>
              <w:bottom w:w="45" w:type="dxa"/>
              <w:right w:w="90" w:type="dxa"/>
            </w:tcMar>
            <w:vAlign w:val="center"/>
          </w:tcPr>
          <w:p w14:paraId="745B1923">
            <w:pPr>
              <w:keepLines/>
              <w:spacing w:after="0" w:line="240" w:lineRule="auto"/>
            </w:pPr>
            <w:r>
              <w:rPr>
                <w:rFonts w:ascii="Times New Roman" w:hAnsi="Times New Roman"/>
                <w:sz w:val="20"/>
              </w:rPr>
              <w:t>MAPPO</w:t>
            </w:r>
          </w:p>
        </w:tc>
        <w:tc>
          <w:tcPr>
            <w:tcW w:w="7120" w:type="dxa"/>
            <w:tcMar>
              <w:top w:w="45" w:type="dxa"/>
              <w:left w:w="90" w:type="dxa"/>
              <w:bottom w:w="45" w:type="dxa"/>
              <w:right w:w="90" w:type="dxa"/>
            </w:tcMar>
            <w:vAlign w:val="center"/>
          </w:tcPr>
          <w:p w14:paraId="4640D6E2">
            <w:pPr>
              <w:keepLines/>
              <w:spacing w:after="0" w:line="240" w:lineRule="auto"/>
            </w:pPr>
            <w:r>
              <w:rPr>
                <w:rFonts w:ascii="Times New Roman" w:hAnsi="Times New Roman"/>
                <w:sz w:val="20"/>
              </w:rPr>
              <w:t>Multi-Agent Proximal Policy Optimisation</w:t>
            </w:r>
          </w:p>
        </w:tc>
      </w:tr>
      <w:tr w14:paraId="6FAFE10F">
        <w:trPr>
          <w:cantSplit/>
          <w:jc w:val="center"/>
        </w:trPr>
        <w:tc>
          <w:tcPr>
            <w:tcW w:w="1900" w:type="dxa"/>
            <w:tcMar>
              <w:top w:w="45" w:type="dxa"/>
              <w:left w:w="90" w:type="dxa"/>
              <w:bottom w:w="45" w:type="dxa"/>
              <w:right w:w="90" w:type="dxa"/>
            </w:tcMar>
            <w:vAlign w:val="center"/>
          </w:tcPr>
          <w:p w14:paraId="6E4D7EBB">
            <w:pPr>
              <w:keepLines/>
              <w:spacing w:after="0" w:line="240" w:lineRule="auto"/>
            </w:pPr>
            <w:r>
              <w:rPr>
                <w:rFonts w:ascii="Times New Roman" w:hAnsi="Times New Roman"/>
                <w:sz w:val="20"/>
              </w:rPr>
              <w:t>MARL</w:t>
            </w:r>
          </w:p>
        </w:tc>
        <w:tc>
          <w:tcPr>
            <w:tcW w:w="7120" w:type="dxa"/>
            <w:tcMar>
              <w:top w:w="45" w:type="dxa"/>
              <w:left w:w="90" w:type="dxa"/>
              <w:bottom w:w="45" w:type="dxa"/>
              <w:right w:w="90" w:type="dxa"/>
            </w:tcMar>
            <w:vAlign w:val="center"/>
          </w:tcPr>
          <w:p w14:paraId="7E6EB518">
            <w:pPr>
              <w:keepLines/>
              <w:spacing w:after="0" w:line="240" w:lineRule="auto"/>
            </w:pPr>
            <w:r>
              <w:rPr>
                <w:rFonts w:ascii="Times New Roman" w:hAnsi="Times New Roman"/>
                <w:sz w:val="20"/>
              </w:rPr>
              <w:t>Multi-Agent Reinforcement Learning</w:t>
            </w:r>
          </w:p>
        </w:tc>
      </w:tr>
      <w:tr w14:paraId="37C82EB1">
        <w:trPr>
          <w:cantSplit/>
          <w:jc w:val="center"/>
        </w:trPr>
        <w:tc>
          <w:tcPr>
            <w:tcW w:w="1900" w:type="dxa"/>
            <w:tcMar>
              <w:top w:w="45" w:type="dxa"/>
              <w:left w:w="90" w:type="dxa"/>
              <w:bottom w:w="45" w:type="dxa"/>
              <w:right w:w="90" w:type="dxa"/>
            </w:tcMar>
            <w:vAlign w:val="center"/>
          </w:tcPr>
          <w:p w14:paraId="19B33AF4">
            <w:pPr>
              <w:keepLines/>
              <w:spacing w:after="0" w:line="240" w:lineRule="auto"/>
            </w:pPr>
            <w:r>
              <w:rPr>
                <w:rFonts w:ascii="Times New Roman" w:hAnsi="Times New Roman"/>
                <w:sz w:val="20"/>
              </w:rPr>
              <w:t>SUMO</w:t>
            </w:r>
          </w:p>
        </w:tc>
        <w:tc>
          <w:tcPr>
            <w:tcW w:w="7120" w:type="dxa"/>
            <w:tcMar>
              <w:top w:w="45" w:type="dxa"/>
              <w:left w:w="90" w:type="dxa"/>
              <w:bottom w:w="45" w:type="dxa"/>
              <w:right w:w="90" w:type="dxa"/>
            </w:tcMar>
            <w:vAlign w:val="center"/>
          </w:tcPr>
          <w:p w14:paraId="21EAAC1D">
            <w:pPr>
              <w:keepLines/>
              <w:spacing w:after="0" w:line="240" w:lineRule="auto"/>
            </w:pPr>
            <w:r>
              <w:rPr>
                <w:rFonts w:ascii="Times New Roman" w:hAnsi="Times New Roman"/>
                <w:sz w:val="20"/>
              </w:rPr>
              <w:t>Simulation of Urban MObility</w:t>
            </w:r>
          </w:p>
        </w:tc>
      </w:tr>
      <w:tr w14:paraId="0AE1C160">
        <w:trPr>
          <w:cantSplit/>
          <w:jc w:val="center"/>
        </w:trPr>
        <w:tc>
          <w:tcPr>
            <w:tcW w:w="1900" w:type="dxa"/>
            <w:tcMar>
              <w:top w:w="45" w:type="dxa"/>
              <w:left w:w="90" w:type="dxa"/>
              <w:bottom w:w="45" w:type="dxa"/>
              <w:right w:w="90" w:type="dxa"/>
            </w:tcMar>
            <w:vAlign w:val="center"/>
          </w:tcPr>
          <w:p w14:paraId="752F6D3A">
            <w:pPr>
              <w:keepLines/>
              <w:spacing w:after="0" w:line="240" w:lineRule="auto"/>
            </w:pPr>
            <w:r>
              <w:rPr>
                <w:rFonts w:ascii="Times New Roman" w:hAnsi="Times New Roman"/>
                <w:sz w:val="20"/>
              </w:rPr>
              <w:t>WAMSN</w:t>
            </w:r>
          </w:p>
        </w:tc>
        <w:tc>
          <w:tcPr>
            <w:tcW w:w="7120" w:type="dxa"/>
            <w:tcMar>
              <w:top w:w="45" w:type="dxa"/>
              <w:left w:w="90" w:type="dxa"/>
              <w:bottom w:w="45" w:type="dxa"/>
              <w:right w:w="90" w:type="dxa"/>
            </w:tcMar>
            <w:vAlign w:val="center"/>
          </w:tcPr>
          <w:p w14:paraId="08B0E259">
            <w:pPr>
              <w:keepLines/>
              <w:spacing w:after="0" w:line="240" w:lineRule="auto"/>
            </w:pPr>
            <w:r>
              <w:rPr>
                <w:rFonts w:ascii="Times New Roman" w:hAnsi="Times New Roman"/>
                <w:sz w:val="20"/>
              </w:rPr>
              <w:t>Weighted Attention Mass on Stale Nodes</w:t>
            </w:r>
          </w:p>
        </w:tc>
      </w:tr>
      <w:tr w14:paraId="085AB86E">
        <w:trPr>
          <w:cantSplit/>
          <w:jc w:val="center"/>
        </w:trPr>
        <w:tc>
          <w:tcPr>
            <w:tcW w:w="1900" w:type="dxa"/>
            <w:tcMar>
              <w:top w:w="45" w:type="dxa"/>
              <w:left w:w="90" w:type="dxa"/>
              <w:bottom w:w="45" w:type="dxa"/>
              <w:right w:w="90" w:type="dxa"/>
            </w:tcMar>
            <w:vAlign w:val="center"/>
          </w:tcPr>
          <w:p w14:paraId="7FD5888B">
            <w:pPr>
              <w:keepLines/>
              <w:spacing w:after="0" w:line="240" w:lineRule="auto"/>
            </w:pPr>
            <w:r>
              <w:rPr>
                <w:rFonts w:ascii="Times New Roman" w:hAnsi="Times New Roman"/>
                <w:sz w:val="20"/>
              </w:rPr>
              <w:t>XAI</w:t>
            </w:r>
          </w:p>
        </w:tc>
        <w:tc>
          <w:tcPr>
            <w:tcW w:w="7120" w:type="dxa"/>
            <w:tcMar>
              <w:top w:w="45" w:type="dxa"/>
              <w:left w:w="90" w:type="dxa"/>
              <w:bottom w:w="45" w:type="dxa"/>
              <w:right w:w="90" w:type="dxa"/>
            </w:tcMar>
            <w:vAlign w:val="center"/>
          </w:tcPr>
          <w:p w14:paraId="2EF4DFA3">
            <w:pPr>
              <w:keepLines/>
              <w:spacing w:after="0" w:line="240" w:lineRule="auto"/>
            </w:pPr>
            <w:r>
              <w:rPr>
                <w:rFonts w:ascii="Times New Roman" w:hAnsi="Times New Roman"/>
                <w:sz w:val="20"/>
              </w:rPr>
              <w:t>Explainable Artificial Intelligence</w:t>
            </w:r>
          </w:p>
        </w:tc>
      </w:tr>
    </w:tbl>
    <w:p w14:paraId="32D456B6">
      <w:pPr>
        <w:keepNext/>
        <w:spacing w:after="360"/>
        <w:jc w:val="center"/>
        <w:rPr>
          <w:rFonts w:ascii="Times New Roman" w:hAnsi="Times New Roman"/>
          <w:b/>
          <w:sz w:val="28"/>
        </w:rPr>
      </w:pPr>
    </w:p>
    <w:p w14:paraId="6E464A51">
      <w:pPr>
        <w:keepNext/>
        <w:spacing w:after="360"/>
        <w:jc w:val="center"/>
      </w:pPr>
      <w:r>
        <w:rPr>
          <w:rFonts w:ascii="Times New Roman" w:hAnsi="Times New Roman"/>
          <w:b/>
          <w:sz w:val="28"/>
        </w:rPr>
        <w:t>ABSTRACT</w:t>
      </w:r>
    </w:p>
    <w:p w14:paraId="4B558856">
      <w:pPr>
        <w:widowControl/>
      </w:pPr>
      <w:r>
        <w:t xml:space="preserve">Graph-attention multi-agent reinforcement learning (GAT-MARL) can expose attention weights as explanations of fleet-dispatch decisions. The practical problem is that an attention map remains available when vehicle telemetry is stale, but it does not warn the operator whether its highlighted evidence is current or decision-relevant. This dissertation asks one central assurance question: </w:t>
      </w:r>
      <w:r>
        <w:rPr>
          <w:b/>
          <w:i w:val="0"/>
        </w:rPr>
        <w:t>can raw graph-attention weights be trusted as explanations when fleet telemetry is degraded?</w:t>
      </w:r>
    </w:p>
    <w:p w14:paraId="7DF3382C">
      <w:pPr>
        <w:widowControl/>
      </w:pPr>
      <w:r>
        <w:t>The experiment uses a SUMO simulation of a 20-taxi fleet in Chongqing. Tunnel entry triggers signal loss, while the policy's observation layer freezes the last-known vehicle position and speed for 10, 20, 30, or 60 seconds. SUMO keeps the true state, allowing clean and degraded versions of the same decision to be compared. Clean-trained and degradation-trained GAT policies are evaluated across three training seeds. Decision-level explanation faithfulness (DEF) tests whether highly attended nodes affect the chosen action more than type-matched random nodes. Weighted attention mass on stale nodes (WAMSN) measures stale-data exposure.</w:t>
      </w:r>
    </w:p>
    <w:p w14:paraId="5F7586DE">
      <w:pPr>
        <w:widowControl/>
      </w:pPr>
      <w:r>
        <w:t xml:space="preserve">The experiment does </w:t>
      </w:r>
      <w:r>
        <w:rPr>
          <w:b/>
          <w:i w:val="0"/>
        </w:rPr>
        <w:t>not</w:t>
      </w:r>
      <w:r>
        <w:t xml:space="preserve"> validate raw attention weights as dependable explanations. First, under clean telemetry, DEF remains close to the type-matched random baseline, so attention shows no measured faithfulness advantage over a fair random ranking. Second, longer outages increase stale-data exposure in all six GAT policies, but the actual shift of attention toward stale nodes is positive for two training seeds and negative for one in both training regimes. Third, DEF does not decline with outage duration, and degradation-aware training does not remove this variation.</w:t>
      </w:r>
    </w:p>
    <w:p w14:paraId="1A44F80C">
      <w:pPr>
        <w:widowControl/>
      </w:pPr>
      <w:r>
        <w:t>A supporting construct-validity audit shows why type matching is necessary: deleting a passenger-request node can also delete an action, whereas deleting a nearby-taxi node only hides information. The consistent conclusion is not that stale telemetry always reduces faithfulness. It is that attention provides no stable guarantee of freshness or decision relevance across independently trained policies. An attention map can therefore outlive the data supporting it while still looking complete. Attention weights should be treated as model internals unless each released checkpoint passes separate freshness and faithfulness checks.</w:t>
      </w:r>
    </w:p>
    <w:p w14:paraId="52CB6FFE">
      <w:r>
        <w:rPr>
          <w:b/>
        </w:rPr>
        <w:t>Keywords:</w:t>
      </w:r>
      <w:r>
        <w:t xml:space="preserve"> explainable reinforcement learning; graph attention; multi-agent reinforcement learning; fleet dispatch; telemetry degradation; Age of Information; faithfulness.</w:t>
      </w:r>
    </w:p>
    <w:p w14:paraId="416F1070">
      <w:pPr>
        <w:keepNext/>
        <w:spacing w:after="360"/>
        <w:jc w:val="center"/>
      </w:pPr>
      <w:r>
        <w:rPr>
          <w:rFonts w:ascii="Times New Roman" w:hAnsi="Times New Roman"/>
          <w:b/>
          <w:sz w:val="28"/>
        </w:rPr>
        <w:t>TABLE OF CONTENTS</w:t>
      </w:r>
    </w:p>
    <w:p w14:paraId="6C6EEE8E">
      <w:pPr>
        <w:keepLines/>
        <w:tabs>
          <w:tab w:val="right" w:leader="dot" w:pos="8784"/>
        </w:tabs>
        <w:spacing w:after="40" w:line="240" w:lineRule="auto"/>
        <w:ind w:left="0"/>
      </w:pPr>
      <w:r>
        <w:t>Chapter 1: Introduction</w:t>
      </w:r>
      <w:r>
        <w:tab/>
      </w:r>
      <w:r>
        <w:t>1</w:t>
      </w:r>
    </w:p>
    <w:p w14:paraId="0145E85A">
      <w:pPr>
        <w:keepLines/>
        <w:tabs>
          <w:tab w:val="right" w:leader="dot" w:pos="8784"/>
        </w:tabs>
        <w:spacing w:after="40" w:line="240" w:lineRule="auto"/>
        <w:ind w:left="360"/>
      </w:pPr>
      <w:r>
        <w:t>1.1 Context</w:t>
      </w:r>
      <w:r>
        <w:tab/>
      </w:r>
      <w:r>
        <w:t>1</w:t>
      </w:r>
    </w:p>
    <w:p w14:paraId="2E468854">
      <w:pPr>
        <w:keepLines/>
        <w:tabs>
          <w:tab w:val="right" w:leader="dot" w:pos="8784"/>
        </w:tabs>
        <w:spacing w:after="40" w:line="240" w:lineRule="auto"/>
        <w:ind w:left="360"/>
      </w:pPr>
      <w:r>
        <w:t>1.2 Problem statement</w:t>
      </w:r>
      <w:r>
        <w:tab/>
      </w:r>
      <w:r>
        <w:t>1</w:t>
      </w:r>
    </w:p>
    <w:p w14:paraId="455B518A">
      <w:pPr>
        <w:keepLines/>
        <w:tabs>
          <w:tab w:val="right" w:leader="dot" w:pos="8784"/>
        </w:tabs>
        <w:spacing w:after="40" w:line="240" w:lineRule="auto"/>
        <w:ind w:left="360"/>
      </w:pPr>
      <w:r>
        <w:t>1.3 Research questions</w:t>
      </w:r>
      <w:r>
        <w:tab/>
      </w:r>
      <w:r>
        <w:t>1</w:t>
      </w:r>
    </w:p>
    <w:p w14:paraId="6DDE2784">
      <w:pPr>
        <w:keepLines/>
        <w:tabs>
          <w:tab w:val="right" w:leader="dot" w:pos="8784"/>
        </w:tabs>
        <w:spacing w:after="40" w:line="240" w:lineRule="auto"/>
        <w:ind w:left="360"/>
      </w:pPr>
      <w:r>
        <w:t>1.4 Objectives</w:t>
      </w:r>
      <w:r>
        <w:tab/>
      </w:r>
      <w:r>
        <w:t>2</w:t>
      </w:r>
    </w:p>
    <w:p w14:paraId="2E7F1696">
      <w:pPr>
        <w:keepLines/>
        <w:tabs>
          <w:tab w:val="right" w:leader="dot" w:pos="8784"/>
        </w:tabs>
        <w:spacing w:after="40" w:line="240" w:lineRule="auto"/>
        <w:ind w:left="360"/>
      </w:pPr>
      <w:r>
        <w:t>1.5 Main findings</w:t>
      </w:r>
      <w:r>
        <w:tab/>
      </w:r>
      <w:r>
        <w:t>2</w:t>
      </w:r>
    </w:p>
    <w:p w14:paraId="7647F79F">
      <w:pPr>
        <w:keepLines/>
        <w:tabs>
          <w:tab w:val="right" w:leader="dot" w:pos="8784"/>
        </w:tabs>
        <w:spacing w:after="40" w:line="240" w:lineRule="auto"/>
        <w:ind w:left="360"/>
      </w:pPr>
      <w:r>
        <w:t>1.6 Contributions</w:t>
      </w:r>
      <w:r>
        <w:tab/>
      </w:r>
      <w:r>
        <w:t>3</w:t>
      </w:r>
    </w:p>
    <w:p w14:paraId="2BB27555">
      <w:pPr>
        <w:keepLines/>
        <w:tabs>
          <w:tab w:val="right" w:leader="dot" w:pos="8784"/>
        </w:tabs>
        <w:spacing w:after="40" w:line="240" w:lineRule="auto"/>
        <w:ind w:left="360"/>
      </w:pPr>
      <w:r>
        <w:t>1.7 Dissertation structure</w:t>
      </w:r>
      <w:r>
        <w:tab/>
      </w:r>
      <w:r>
        <w:t>3</w:t>
      </w:r>
    </w:p>
    <w:p w14:paraId="08F35660">
      <w:pPr>
        <w:keepLines/>
        <w:tabs>
          <w:tab w:val="right" w:leader="dot" w:pos="8784"/>
        </w:tabs>
        <w:spacing w:after="40" w:line="240" w:lineRule="auto"/>
        <w:ind w:left="0"/>
      </w:pPr>
      <w:r>
        <w:t>Chapter 2: Literature Review</w:t>
      </w:r>
      <w:r>
        <w:tab/>
      </w:r>
      <w:r>
        <w:t>4</w:t>
      </w:r>
    </w:p>
    <w:p w14:paraId="5845FDA9">
      <w:pPr>
        <w:keepLines/>
        <w:tabs>
          <w:tab w:val="right" w:leader="dot" w:pos="8784"/>
        </w:tabs>
        <w:spacing w:after="40" w:line="240" w:lineRule="auto"/>
        <w:ind w:left="360"/>
      </w:pPr>
      <w:r>
        <w:t>2.1 Reinforcement learning for fleet dispatch</w:t>
      </w:r>
      <w:r>
        <w:tab/>
      </w:r>
      <w:r>
        <w:t>4</w:t>
      </w:r>
    </w:p>
    <w:p w14:paraId="7EE051FC">
      <w:pPr>
        <w:keepLines/>
        <w:tabs>
          <w:tab w:val="right" w:leader="dot" w:pos="8784"/>
        </w:tabs>
        <w:spacing w:after="40" w:line="240" w:lineRule="auto"/>
        <w:ind w:left="360"/>
      </w:pPr>
      <w:r>
        <w:t>2.2 Is attention an explanation?</w:t>
      </w:r>
      <w:r>
        <w:tab/>
      </w:r>
      <w:r>
        <w:t>4</w:t>
      </w:r>
    </w:p>
    <w:p w14:paraId="547385E9">
      <w:pPr>
        <w:keepLines/>
        <w:tabs>
          <w:tab w:val="right" w:leader="dot" w:pos="8784"/>
        </w:tabs>
        <w:spacing w:after="40" w:line="240" w:lineRule="auto"/>
        <w:ind w:left="360"/>
      </w:pPr>
      <w:r>
        <w:t>2.3 Age of Information</w:t>
      </w:r>
      <w:r>
        <w:tab/>
      </w:r>
      <w:r>
        <w:t>5</w:t>
      </w:r>
    </w:p>
    <w:p w14:paraId="5A257715">
      <w:pPr>
        <w:keepLines/>
        <w:tabs>
          <w:tab w:val="right" w:leader="dot" w:pos="8784"/>
        </w:tabs>
        <w:spacing w:after="40" w:line="240" w:lineRule="auto"/>
        <w:ind w:left="360"/>
      </w:pPr>
      <w:r>
        <w:t>2.4 Simulation platform</w:t>
      </w:r>
      <w:r>
        <w:tab/>
      </w:r>
      <w:r>
        <w:t>5</w:t>
      </w:r>
    </w:p>
    <w:p w14:paraId="1C887587">
      <w:pPr>
        <w:keepLines/>
        <w:tabs>
          <w:tab w:val="right" w:leader="dot" w:pos="8784"/>
        </w:tabs>
        <w:spacing w:after="40" w:line="240" w:lineRule="auto"/>
        <w:ind w:left="360"/>
      </w:pPr>
      <w:r>
        <w:t>2.5 Positioning</w:t>
      </w:r>
      <w:r>
        <w:tab/>
      </w:r>
      <w:r>
        <w:t>5</w:t>
      </w:r>
    </w:p>
    <w:p w14:paraId="0E96F624">
      <w:pPr>
        <w:keepLines/>
        <w:tabs>
          <w:tab w:val="right" w:leader="dot" w:pos="8784"/>
        </w:tabs>
        <w:spacing w:after="40" w:line="240" w:lineRule="auto"/>
        <w:ind w:left="0"/>
      </w:pPr>
      <w:r>
        <w:t>Chapter 3: Methodology</w:t>
      </w:r>
      <w:r>
        <w:tab/>
      </w:r>
      <w:r>
        <w:t>6</w:t>
      </w:r>
    </w:p>
    <w:p w14:paraId="0F72CD33">
      <w:pPr>
        <w:keepLines/>
        <w:tabs>
          <w:tab w:val="right" w:leader="dot" w:pos="8784"/>
        </w:tabs>
        <w:spacing w:after="40" w:line="240" w:lineRule="auto"/>
        <w:ind w:left="360"/>
      </w:pPr>
      <w:r>
        <w:t>3.1 Study design</w:t>
      </w:r>
      <w:r>
        <w:tab/>
      </w:r>
      <w:r>
        <w:t>6</w:t>
      </w:r>
    </w:p>
    <w:p w14:paraId="597C5CA1">
      <w:pPr>
        <w:keepLines/>
        <w:tabs>
          <w:tab w:val="right" w:leader="dot" w:pos="8784"/>
        </w:tabs>
        <w:spacing w:after="40" w:line="240" w:lineRule="auto"/>
        <w:ind w:left="360"/>
      </w:pPr>
      <w:r>
        <w:t>3.2 SUMO environment and data</w:t>
      </w:r>
      <w:r>
        <w:tab/>
      </w:r>
      <w:r>
        <w:t>6</w:t>
      </w:r>
    </w:p>
    <w:p w14:paraId="09C06580">
      <w:pPr>
        <w:keepLines/>
        <w:tabs>
          <w:tab w:val="right" w:leader="dot" w:pos="8784"/>
        </w:tabs>
        <w:spacing w:after="40" w:line="240" w:lineRule="auto"/>
        <w:ind w:left="360"/>
      </w:pPr>
      <w:r>
        <w:t>3.3 Observation graph and action space</w:t>
      </w:r>
      <w:r>
        <w:tab/>
      </w:r>
      <w:r>
        <w:t>6</w:t>
      </w:r>
    </w:p>
    <w:p w14:paraId="2F03D462">
      <w:pPr>
        <w:keepLines/>
        <w:tabs>
          <w:tab w:val="right" w:leader="dot" w:pos="8784"/>
        </w:tabs>
        <w:spacing w:after="40" w:line="240" w:lineRule="auto"/>
        <w:ind w:left="360"/>
      </w:pPr>
      <w:r>
        <w:t>3.4 Policy models and training</w:t>
      </w:r>
      <w:r>
        <w:tab/>
      </w:r>
      <w:r>
        <w:t>7</w:t>
      </w:r>
    </w:p>
    <w:p w14:paraId="0351B8EE">
      <w:pPr>
        <w:keepLines/>
        <w:tabs>
          <w:tab w:val="right" w:leader="dot" w:pos="8784"/>
        </w:tabs>
        <w:spacing w:after="40" w:line="240" w:lineRule="auto"/>
        <w:ind w:left="360"/>
      </w:pPr>
      <w:r>
        <w:t>3.5 Telemetry degradation</w:t>
      </w:r>
      <w:r>
        <w:tab/>
      </w:r>
      <w:r>
        <w:t>8</w:t>
      </w:r>
    </w:p>
    <w:p w14:paraId="654B74F9">
      <w:pPr>
        <w:keepLines/>
        <w:tabs>
          <w:tab w:val="right" w:leader="dot" w:pos="8784"/>
        </w:tabs>
        <w:spacing w:after="40" w:line="240" w:lineRule="auto"/>
        <w:ind w:left="360"/>
      </w:pPr>
      <w:r>
        <w:t>3.6 Explanation measures</w:t>
      </w:r>
      <w:r>
        <w:tab/>
      </w:r>
      <w:r>
        <w:t>9</w:t>
      </w:r>
    </w:p>
    <w:p w14:paraId="0961F230">
      <w:pPr>
        <w:keepLines/>
        <w:tabs>
          <w:tab w:val="right" w:leader="dot" w:pos="8784"/>
        </w:tabs>
        <w:spacing w:after="40" w:line="240" w:lineRule="auto"/>
        <w:ind w:left="360"/>
      </w:pPr>
      <w:r>
        <w:t>3.6.1 Decision-level explanation faithfulness</w:t>
      </w:r>
      <w:r>
        <w:tab/>
      </w:r>
      <w:r>
        <w:t>9</w:t>
      </w:r>
    </w:p>
    <w:p w14:paraId="0D76325A">
      <w:pPr>
        <w:keepLines/>
        <w:tabs>
          <w:tab w:val="right" w:leader="dot" w:pos="8784"/>
        </w:tabs>
        <w:spacing w:after="40" w:line="240" w:lineRule="auto"/>
        <w:ind w:left="360"/>
      </w:pPr>
      <w:r>
        <w:t>3.6.2 Stale-node attention</w:t>
      </w:r>
      <w:r>
        <w:tab/>
      </w:r>
      <w:r>
        <w:t>9</w:t>
      </w:r>
    </w:p>
    <w:p w14:paraId="07DA2AC1">
      <w:pPr>
        <w:keepLines/>
        <w:tabs>
          <w:tab w:val="right" w:leader="dot" w:pos="8784"/>
        </w:tabs>
        <w:spacing w:after="40" w:line="240" w:lineRule="auto"/>
        <w:ind w:left="360"/>
      </w:pPr>
      <w:r>
        <w:t>3.7 Construct-validity audit</w:t>
      </w:r>
      <w:r>
        <w:tab/>
      </w:r>
      <w:r>
        <w:t>10</w:t>
      </w:r>
    </w:p>
    <w:p w14:paraId="0A71D212">
      <w:pPr>
        <w:keepLines/>
        <w:tabs>
          <w:tab w:val="right" w:leader="dot" w:pos="8784"/>
        </w:tabs>
        <w:spacing w:after="40" w:line="240" w:lineRule="auto"/>
        <w:ind w:left="360"/>
      </w:pPr>
      <w:r>
        <w:t>3.8 Evaluation matrix</w:t>
      </w:r>
      <w:r>
        <w:tab/>
      </w:r>
      <w:r>
        <w:t>10</w:t>
      </w:r>
    </w:p>
    <w:p w14:paraId="01C776BB">
      <w:pPr>
        <w:keepLines/>
        <w:tabs>
          <w:tab w:val="right" w:leader="dot" w:pos="8784"/>
        </w:tabs>
        <w:spacing w:after="40" w:line="240" w:lineRule="auto"/>
        <w:ind w:left="360"/>
      </w:pPr>
      <w:r>
        <w:t>3.9 Hypotheses and statistics</w:t>
      </w:r>
      <w:r>
        <w:tab/>
      </w:r>
      <w:r>
        <w:t>11</w:t>
      </w:r>
    </w:p>
    <w:p w14:paraId="5A30EB5D">
      <w:pPr>
        <w:keepLines/>
        <w:tabs>
          <w:tab w:val="right" w:leader="dot" w:pos="8784"/>
        </w:tabs>
        <w:spacing w:after="40" w:line="240" w:lineRule="auto"/>
        <w:ind w:left="360"/>
      </w:pPr>
      <w:r>
        <w:t>3.10 Reproducibility</w:t>
      </w:r>
      <w:r>
        <w:tab/>
      </w:r>
      <w:r>
        <w:t>11</w:t>
      </w:r>
    </w:p>
    <w:p w14:paraId="4F42CD02">
      <w:pPr>
        <w:keepLines/>
        <w:tabs>
          <w:tab w:val="right" w:leader="dot" w:pos="8784"/>
        </w:tabs>
        <w:spacing w:after="40" w:line="240" w:lineRule="auto"/>
        <w:ind w:left="0"/>
      </w:pPr>
      <w:r>
        <w:t>Chapter 4: Results</w:t>
      </w:r>
      <w:r>
        <w:tab/>
      </w:r>
      <w:r>
        <w:t>12</w:t>
      </w:r>
    </w:p>
    <w:p w14:paraId="30D2F4A8">
      <w:pPr>
        <w:keepLines/>
        <w:tabs>
          <w:tab w:val="right" w:leader="dot" w:pos="8784"/>
        </w:tabs>
        <w:spacing w:after="40" w:line="240" w:lineRule="auto"/>
        <w:ind w:left="360"/>
      </w:pPr>
      <w:r>
        <w:t>4.1 Checkpoint selection and performance context</w:t>
      </w:r>
      <w:r>
        <w:tab/>
      </w:r>
      <w:r>
        <w:t>12</w:t>
      </w:r>
    </w:p>
    <w:p w14:paraId="4F572444">
      <w:pPr>
        <w:keepLines/>
        <w:tabs>
          <w:tab w:val="right" w:leader="dot" w:pos="8784"/>
        </w:tabs>
        <w:spacing w:after="40" w:line="240" w:lineRule="auto"/>
        <w:ind w:left="360"/>
      </w:pPr>
      <w:r>
        <w:t>4.2 Supporting construct-validity result</w:t>
      </w:r>
      <w:r>
        <w:tab/>
      </w:r>
      <w:r>
        <w:t>13</w:t>
      </w:r>
    </w:p>
    <w:p w14:paraId="035D33F5">
      <w:pPr>
        <w:keepLines/>
        <w:tabs>
          <w:tab w:val="right" w:leader="dot" w:pos="8784"/>
        </w:tabs>
        <w:spacing w:after="40" w:line="240" w:lineRule="auto"/>
        <w:ind w:left="360"/>
      </w:pPr>
      <w:r>
        <w:t>4.3 Manipulation check: stale exposure increases</w:t>
      </w:r>
      <w:r>
        <w:tab/>
      </w:r>
      <w:r>
        <w:t>13</w:t>
      </w:r>
    </w:p>
    <w:p w14:paraId="1092A7EF">
      <w:pPr>
        <w:keepLines/>
        <w:tabs>
          <w:tab w:val="right" w:leader="dot" w:pos="8784"/>
        </w:tabs>
        <w:spacing w:after="40" w:line="240" w:lineRule="auto"/>
        <w:ind w:left="360"/>
      </w:pPr>
      <w:r>
        <w:t>4.4 Paired attention reallocation is seed-dependent</w:t>
      </w:r>
      <w:r>
        <w:tab/>
      </w:r>
      <w:r>
        <w:t>14</w:t>
      </w:r>
    </w:p>
    <w:p w14:paraId="3BBE3C5B">
      <w:pPr>
        <w:keepLines/>
        <w:tabs>
          <w:tab w:val="right" w:leader="dot" w:pos="8784"/>
        </w:tabs>
        <w:spacing w:after="40" w:line="240" w:lineRule="auto"/>
        <w:ind w:left="360"/>
      </w:pPr>
      <w:r>
        <w:t>4.5 Faithfulness and decoupling hypotheses</w:t>
      </w:r>
      <w:r>
        <w:tab/>
      </w:r>
      <w:r>
        <w:t>15</w:t>
      </w:r>
    </w:p>
    <w:p w14:paraId="34D02505">
      <w:pPr>
        <w:keepLines/>
        <w:tabs>
          <w:tab w:val="right" w:leader="dot" w:pos="8784"/>
        </w:tabs>
        <w:spacing w:after="40" w:line="240" w:lineRule="auto"/>
        <w:ind w:left="360"/>
      </w:pPr>
      <w:r>
        <w:t>4.6 Degradation-aware training</w:t>
      </w:r>
      <w:r>
        <w:tab/>
      </w:r>
      <w:r>
        <w:t>16</w:t>
      </w:r>
    </w:p>
    <w:p w14:paraId="7D4B1CB2">
      <w:pPr>
        <w:keepLines/>
        <w:tabs>
          <w:tab w:val="right" w:leader="dot" w:pos="8784"/>
        </w:tabs>
        <w:spacing w:after="40" w:line="240" w:lineRule="auto"/>
        <w:ind w:left="360"/>
      </w:pPr>
      <w:r>
        <w:t>4.7 Hypothesis summary</w:t>
      </w:r>
      <w:r>
        <w:tab/>
      </w:r>
      <w:r>
        <w:t>16</w:t>
      </w:r>
    </w:p>
    <w:p w14:paraId="0AD1C5A1">
      <w:pPr>
        <w:keepLines/>
        <w:tabs>
          <w:tab w:val="right" w:leader="dot" w:pos="8784"/>
        </w:tabs>
        <w:spacing w:after="40" w:line="240" w:lineRule="auto"/>
        <w:ind w:left="0"/>
      </w:pPr>
      <w:r>
        <w:t>Chapter 5: Discussion</w:t>
      </w:r>
      <w:r>
        <w:tab/>
      </w:r>
      <w:r>
        <w:t>17</w:t>
      </w:r>
    </w:p>
    <w:p w14:paraId="7A81ECEA">
      <w:pPr>
        <w:keepLines/>
        <w:tabs>
          <w:tab w:val="right" w:leader="dot" w:pos="8784"/>
        </w:tabs>
        <w:spacing w:after="40" w:line="240" w:lineRule="auto"/>
        <w:ind w:left="360"/>
      </w:pPr>
      <w:r>
        <w:t>5.1 Answer to the central problem</w:t>
      </w:r>
      <w:r>
        <w:tab/>
      </w:r>
      <w:r>
        <w:t>17</w:t>
      </w:r>
    </w:p>
    <w:p w14:paraId="3F5EDD4E">
      <w:pPr>
        <w:keepLines/>
        <w:tabs>
          <w:tab w:val="right" w:leader="dot" w:pos="8784"/>
        </w:tabs>
        <w:spacing w:after="40" w:line="240" w:lineRule="auto"/>
        <w:ind w:left="360"/>
      </w:pPr>
      <w:r>
        <w:t>5.2 Why H3 is useful but limited</w:t>
      </w:r>
      <w:r>
        <w:tab/>
      </w:r>
      <w:r>
        <w:t>17</w:t>
      </w:r>
    </w:p>
    <w:p w14:paraId="13279721">
      <w:pPr>
        <w:keepLines/>
        <w:tabs>
          <w:tab w:val="right" w:leader="dot" w:pos="8784"/>
        </w:tabs>
        <w:spacing w:after="40" w:line="240" w:lineRule="auto"/>
        <w:ind w:left="360"/>
      </w:pPr>
      <w:r>
        <w:t>5.3 Meaning of training-seed variation</w:t>
      </w:r>
      <w:r>
        <w:tab/>
      </w:r>
      <w:r>
        <w:t>18</w:t>
      </w:r>
    </w:p>
    <w:p w14:paraId="4210FA4C">
      <w:pPr>
        <w:keepLines/>
        <w:tabs>
          <w:tab w:val="right" w:leader="dot" w:pos="8784"/>
        </w:tabs>
        <w:spacing w:after="40" w:line="240" w:lineRule="auto"/>
        <w:ind w:left="360"/>
      </w:pPr>
      <w:r>
        <w:t>5.4 Role of the construct-validity audit</w:t>
      </w:r>
      <w:r>
        <w:tab/>
      </w:r>
      <w:r>
        <w:t>18</w:t>
      </w:r>
    </w:p>
    <w:p w14:paraId="60AEF037">
      <w:pPr>
        <w:keepLines/>
        <w:tabs>
          <w:tab w:val="right" w:leader="dot" w:pos="8784"/>
        </w:tabs>
        <w:spacing w:after="40" w:line="240" w:lineRule="auto"/>
        <w:ind w:left="360"/>
      </w:pPr>
      <w:r>
        <w:t>5.5 Degradation-aware training</w:t>
      </w:r>
      <w:r>
        <w:tab/>
      </w:r>
      <w:r>
        <w:t>18</w:t>
      </w:r>
    </w:p>
    <w:p w14:paraId="1DE91055">
      <w:pPr>
        <w:keepLines/>
        <w:tabs>
          <w:tab w:val="right" w:leader="dot" w:pos="8784"/>
        </w:tabs>
        <w:spacing w:after="40" w:line="240" w:lineRule="auto"/>
        <w:ind w:left="360"/>
      </w:pPr>
      <w:r>
        <w:t>5.6 Practical implications</w:t>
      </w:r>
      <w:r>
        <w:tab/>
      </w:r>
      <w:r>
        <w:t>18</w:t>
      </w:r>
    </w:p>
    <w:p w14:paraId="60EE5D9F">
      <w:pPr>
        <w:keepLines/>
        <w:tabs>
          <w:tab w:val="right" w:leader="dot" w:pos="8784"/>
        </w:tabs>
        <w:spacing w:after="40" w:line="240" w:lineRule="auto"/>
        <w:ind w:left="360"/>
      </w:pPr>
      <w:r>
        <w:t>5.7 Limitations</w:t>
      </w:r>
      <w:r>
        <w:tab/>
      </w:r>
      <w:r>
        <w:t>19</w:t>
      </w:r>
    </w:p>
    <w:p w14:paraId="1D372211">
      <w:pPr>
        <w:keepLines/>
        <w:tabs>
          <w:tab w:val="right" w:leader="dot" w:pos="8784"/>
        </w:tabs>
        <w:spacing w:after="40" w:line="240" w:lineRule="auto"/>
        <w:ind w:left="360"/>
      </w:pPr>
      <w:r>
        <w:t>5.8 Future work</w:t>
      </w:r>
      <w:r>
        <w:tab/>
      </w:r>
      <w:r>
        <w:t>19</w:t>
      </w:r>
    </w:p>
    <w:p w14:paraId="792BC15C">
      <w:pPr>
        <w:keepLines/>
        <w:tabs>
          <w:tab w:val="right" w:leader="dot" w:pos="8784"/>
        </w:tabs>
        <w:spacing w:after="40" w:line="240" w:lineRule="auto"/>
        <w:ind w:left="0"/>
      </w:pPr>
      <w:r>
        <w:t>Chapter 6: Conclusion</w:t>
      </w:r>
      <w:r>
        <w:tab/>
      </w:r>
      <w:r>
        <w:t>20</w:t>
      </w:r>
    </w:p>
    <w:p w14:paraId="65BD35CD">
      <w:pPr>
        <w:sectPr>
          <w:footerReference r:id="rId8" w:type="default"/>
          <w:pgSz w:w="11909" w:h="16834"/>
          <w:pgMar w:top="850" w:right="1440" w:bottom="1483" w:left="1440" w:header="720" w:footer="720" w:gutter="0"/>
          <w:pgNumType w:fmt="lowerRoman" w:start="2"/>
          <w:cols w:space="720" w:num="1"/>
        </w:sectPr>
      </w:pPr>
    </w:p>
    <w:p w14:paraId="0AED792E">
      <w:pPr>
        <w:pStyle w:val="2"/>
        <w:keepNext/>
      </w:pPr>
      <w:r>
        <w:t>Chapter 1: Introduction</w:t>
      </w:r>
    </w:p>
    <w:p w14:paraId="5DE147D3">
      <w:pPr>
        <w:pStyle w:val="3"/>
        <w:keepNext/>
      </w:pPr>
      <w:r>
        <w:t>1.1 Context</w:t>
      </w:r>
    </w:p>
    <w:p w14:paraId="250EFA6D">
      <w:pPr>
        <w:widowControl/>
      </w:pPr>
      <w:r>
        <w:t>Fleet dispatch is relational. A taxi's useful action depends on nearby vehicles, open passenger requests, road conditions, and competition for the same demand. Graph neural networks represent these relationships directly, and graph attention networks (GATs) add learned weights over neighbouring nodes (Scarselli et al., 2009), (Velickovic et al., 2018). Because the weights are easy to display, they are often read as an explanation of which vehicles or requests influenced a decision.</w:t>
      </w:r>
    </w:p>
    <w:p w14:paraId="06572DAB">
      <w:pPr>
        <w:widowControl/>
      </w:pPr>
      <w:r>
        <w:t>That reading is convenient, but it is not automatically valid. Prior work has shown that an attention weight can be weakly related to the evidence that actually changes a model's output (Jain and Wallace, 2019; Wiegreffe and Pinter, 2019; Serrano and Smith, 2019; Liu et al., 2022). The issue becomes more serious in an operational system because the input itself may no longer describe the current world.</w:t>
      </w:r>
    </w:p>
    <w:p w14:paraId="18F53E1F">
      <w:pPr>
        <w:pStyle w:val="3"/>
        <w:keepNext/>
      </w:pPr>
      <w:r>
        <w:t>1.2 Problem statement</w:t>
      </w:r>
    </w:p>
    <w:p w14:paraId="251B7A89">
      <w:pPr>
        <w:widowControl/>
      </w:pPr>
      <w:r>
        <w:t>Vehicle telemetry can be interrupted by tunnels and other signal-loss areas. During an interruption, a dispatch platform may keep the last received position and speed. The reading remains available, but its Age of Information (AoI) grows (Kaul, Yates and Gruteser, 2012). An attention map can therefore continue to look complete even though some of the nodes represent old information. The interface reveals where the model placed attention, but it does not reveal whether that information is fresh or whether removing it would change the decision.</w:t>
      </w:r>
    </w:p>
    <w:p w14:paraId="6FA6AFAC">
      <w:pPr>
        <w:widowControl/>
      </w:pPr>
      <w:r>
        <w:t>This creates an assurance problem. An operator may read a complete attention map as a trustworthy reason even when its evidence is stale, and stable dispatch performance cannot show whether the explanation is valid. The dissertation is therefore not trying to improve the number of pickups. It is trying to determine whether raw graph-attention weights provide dependable evidence about a decision under clean and degraded telemetry.</w:t>
      </w:r>
    </w:p>
    <w:p w14:paraId="54949071">
      <w:pPr>
        <w:widowControl/>
      </w:pPr>
      <w:r>
        <w:t xml:space="preserve">The study uses </w:t>
      </w:r>
      <w:r>
        <w:rPr>
          <w:b/>
          <w:i w:val="0"/>
        </w:rPr>
        <w:t>faithfulness decoupling</w:t>
      </w:r>
      <w:r>
        <w:t xml:space="preserve"> for the risk that an explanation remains available and visually plausible after the freshness of its supporting data has expired, without a dependable link between the displayed weights and the evidence that changes the decision. The original hypothesis expected faithfulness to decline while performance remained stable. The final experiment tests this possible pattern, but the broader problem is whether attention offers a reliable assurance at all.</w:t>
      </w:r>
    </w:p>
    <w:p w14:paraId="5807ADB0">
      <w:pPr>
        <w:pStyle w:val="3"/>
        <w:keepNext/>
      </w:pPr>
      <w:r>
        <w:t>1.3 Research questions</w:t>
      </w:r>
    </w:p>
    <w:p w14:paraId="18512BC1">
      <w:pPr>
        <w:widowControl/>
      </w:pPr>
      <w:r>
        <w:t>The central research question is:</w:t>
      </w:r>
    </w:p>
    <w:p w14:paraId="3E123CCC">
      <w:pPr>
        <w:widowControl/>
      </w:pPr>
      <w:r>
        <w:rPr>
          <w:b/>
          <w:i w:val="0"/>
        </w:rPr>
        <w:t>Can raw graph-attention weights be trusted as explanations of fleet-dispatch decisions when vehicle telemetry becomes stale?</w:t>
      </w:r>
    </w:p>
    <w:p w14:paraId="269E54E8">
      <w:pPr>
        <w:widowControl/>
      </w:pPr>
      <w:r>
        <w:t>Four operational questions provide the evidence needed to answer it:</w:t>
      </w:r>
    </w:p>
    <w:p w14:paraId="3BB05D5F">
      <w:pPr>
        <w:pStyle w:val="14"/>
        <w:keepLines/>
      </w:pPr>
      <w:r>
        <w:rPr>
          <w:b/>
          <w:i w:val="0"/>
        </w:rPr>
        <w:t>RQ1:</w:t>
      </w:r>
      <w:r>
        <w:t xml:space="preserve"> Is graph attention a faithful explanation under clean telemetry?</w:t>
      </w:r>
    </w:p>
    <w:p w14:paraId="687FFBB1">
      <w:pPr>
        <w:pStyle w:val="14"/>
        <w:keepLines/>
      </w:pPr>
      <w:r>
        <w:rPr>
          <w:b/>
          <w:i w:val="0"/>
        </w:rPr>
        <w:t>RQ2:</w:t>
      </w:r>
      <w:r>
        <w:t xml:space="preserve"> When tunnel-triggered outages occur, does attention move toward</w:t>
      </w:r>
    </w:p>
    <w:p w14:paraId="64ECFE62">
      <w:pPr>
        <w:widowControl/>
      </w:pPr>
      <w:r>
        <w:t>stale vehicle nodes?</w:t>
      </w:r>
    </w:p>
    <w:p w14:paraId="225BC4DB">
      <w:pPr>
        <w:pStyle w:val="14"/>
        <w:keepLines/>
      </w:pPr>
      <w:r>
        <w:rPr>
          <w:b/>
          <w:i w:val="0"/>
        </w:rPr>
        <w:t>RQ3:</w:t>
      </w:r>
      <w:r>
        <w:t xml:space="preserve"> Does explanation faithfulness change more than dispatch behaviour</w:t>
      </w:r>
    </w:p>
    <w:p w14:paraId="33FE8040">
      <w:pPr>
        <w:widowControl/>
      </w:pPr>
      <w:r>
        <w:t>as outage duration increases?</w:t>
      </w:r>
    </w:p>
    <w:p w14:paraId="58E89173">
      <w:pPr>
        <w:pStyle w:val="14"/>
        <w:keepLines/>
      </w:pPr>
      <w:r>
        <w:rPr>
          <w:b/>
          <w:i w:val="0"/>
        </w:rPr>
        <w:t>RQ4:</w:t>
      </w:r>
      <w:r>
        <w:t xml:space="preserve"> Does training the policy under telemetry degradation make the</w:t>
      </w:r>
    </w:p>
    <w:p w14:paraId="1FF47099">
      <w:pPr>
        <w:widowControl/>
      </w:pPr>
      <w:r>
        <w:t>explanation response more reliable?</w:t>
      </w:r>
    </w:p>
    <w:p w14:paraId="1FE9BB10">
      <w:pPr>
        <w:widowControl/>
      </w:pPr>
      <w:r>
        <w:t>The construct-validity audit supports RQ1-RQ3. It is not a separate primary problem. Its purpose is to check that the faithfulness metric measures hidden information rather than the accidental deletion of an available action.</w:t>
      </w:r>
    </w:p>
    <w:p w14:paraId="0D585BAB">
      <w:pPr>
        <w:pStyle w:val="3"/>
        <w:keepNext/>
      </w:pPr>
      <w:r>
        <w:t>1.4 Objectives</w:t>
      </w:r>
    </w:p>
    <w:p w14:paraId="67F6D6A5">
      <w:pPr>
        <w:widowControl/>
      </w:pPr>
      <w:r>
        <w:t>The measurable objectives are to:</w:t>
      </w:r>
    </w:p>
    <w:p w14:paraId="3525C76C">
      <w:pPr>
        <w:pStyle w:val="13"/>
        <w:keepLines/>
      </w:pPr>
      <w:r>
        <w:t>build a reproducible SUMO fleet-dispatch benchmark with train, validation,</w:t>
      </w:r>
    </w:p>
    <w:p w14:paraId="27D6386B">
      <w:pPr>
        <w:widowControl/>
      </w:pPr>
      <w:r>
        <w:t>and held-out test demand;</w:t>
      </w:r>
    </w:p>
    <w:p w14:paraId="26595526">
      <w:pPr>
        <w:pStyle w:val="13"/>
        <w:keepLines/>
      </w:pPr>
      <w:r>
        <w:t>train clean and degradation-aware policies across three independent seeds;</w:t>
      </w:r>
    </w:p>
    <w:p w14:paraId="7CB61200">
      <w:pPr>
        <w:pStyle w:val="13"/>
        <w:keepLines/>
      </w:pPr>
      <w:r>
        <w:t>trigger signal loss from tunnel entry while applying the resulting freeze at</w:t>
      </w:r>
    </w:p>
    <w:p w14:paraId="13A05466">
      <w:pPr>
        <w:widowControl/>
      </w:pPr>
      <w:r>
        <w:t>the observation boundary;</w:t>
      </w:r>
    </w:p>
    <w:p w14:paraId="349326F0">
      <w:pPr>
        <w:pStyle w:val="13"/>
        <w:keepLines/>
      </w:pPr>
      <w:r>
        <w:t>compare clean telemetry with fixed observation-layer outages of 10, 20, 30,</w:t>
      </w:r>
    </w:p>
    <w:p w14:paraId="1BE0F0BC">
      <w:pPr>
        <w:widowControl/>
      </w:pPr>
      <w:r>
        <w:t>and 60 seconds;</w:t>
      </w:r>
    </w:p>
    <w:p w14:paraId="0320E76F">
      <w:pPr>
        <w:pStyle w:val="13"/>
        <w:keepLines/>
      </w:pPr>
      <w:r>
        <w:t>measure explanation faithfulness with action-aware, type-matched</w:t>
      </w:r>
    </w:p>
    <w:p w14:paraId="2FB380B3">
      <w:pPr>
        <w:widowControl/>
      </w:pPr>
      <w:r>
        <w:t>counterfactual controls;</w:t>
      </w:r>
    </w:p>
    <w:p w14:paraId="0CF125AD">
      <w:pPr>
        <w:pStyle w:val="13"/>
        <w:keepLines/>
      </w:pPr>
      <w:r>
        <w:t>measure how much attention is assigned to stale vehicle information;</w:t>
      </w:r>
    </w:p>
    <w:p w14:paraId="45B8ACD6">
      <w:pPr>
        <w:pStyle w:val="13"/>
        <w:keepLines/>
      </w:pPr>
      <w:r>
        <w:t>treat the trained policy, rather than each individual decision, as the unit</w:t>
      </w:r>
    </w:p>
    <w:p w14:paraId="6AB5E77E">
      <w:pPr>
        <w:widowControl/>
      </w:pPr>
      <w:r>
        <w:t>for judging whether a finding is consistent.</w:t>
      </w:r>
    </w:p>
    <w:p w14:paraId="2E1EA687">
      <w:pPr>
        <w:pStyle w:val="3"/>
        <w:keepNext/>
      </w:pPr>
      <w:r>
        <w:t>1.5 Main findings</w:t>
      </w:r>
    </w:p>
    <w:p w14:paraId="16BED0E8">
      <w:pPr>
        <w:widowControl/>
      </w:pPr>
      <w:r>
        <w:t xml:space="preserve">The completed v4 experiment gives one consistent overall answer: </w:t>
      </w:r>
      <w:r>
        <w:rPr>
          <w:b/>
          <w:i w:val="0"/>
        </w:rPr>
        <w:t>raw attention weights are not validated as dependable explanations by this study</w:t>
      </w:r>
      <w:r>
        <w:t>. This is a negative assurance result, supported by three connected findings.</w:t>
      </w:r>
    </w:p>
    <w:p w14:paraId="774A4684">
      <w:pPr>
        <w:widowControl/>
      </w:pPr>
      <w:r>
        <w:t>First, type-matched DEF remains close to zero for the audited GAT policies. This does not prove that attention is harmful; it means the experiment finds little evidence that the displayed weights identify more decision-relevant information than a fair random explanation. The supporting audit shows why a uniform random baseline gives misleading results when request nodes are also actions.</w:t>
      </w:r>
    </w:p>
    <w:p w14:paraId="2C5B6D1B">
      <w:pPr>
        <w:widowControl/>
      </w:pPr>
      <w:r>
        <w:t xml:space="preserve">Second, longer outages consistently increase WAMSN. This result appears in all three clean-trained B2 policies and all three degradation-trained H5 policies. It shows that more of the displayed attention is attached to stale information when stale exposure lasts longer. It does </w:t>
      </w:r>
      <w:r>
        <w:rPr>
          <w:b/>
          <w:i w:val="0"/>
        </w:rPr>
        <w:t>not</w:t>
      </w:r>
      <w:r>
        <w:t xml:space="preserve"> show that AoI causes lower faithfulness.</w:t>
      </w:r>
    </w:p>
    <w:p w14:paraId="5D5A1E24">
      <w:pPr>
        <w:widowControl/>
      </w:pPr>
      <w:r>
        <w:t>Third, the paired change in stale-node attention is not consistent across training seeds. It is positive for seeds 42 and 43 but negative for seed 44 in both B2 and H5. H1 and H2 are unsupported in every trained policy. The association between WAMSN and DEF is supported for two H5 seeds, but not the third and not any B2 seed. This disagreement is not an absence of a conclusion: it shows that raw attention has no stable, model-independent response to stale telemetry.</w:t>
      </w:r>
    </w:p>
    <w:p w14:paraId="530D6AF4">
      <w:pPr>
        <w:widowControl/>
      </w:pPr>
      <w:r>
        <w:t>Finally, degradation-aware training does not remove training-seed variation. It also produces one weak policy replicate, which limits any mitigation claim. Taken together, the results do not prove that attention is always unfaithful. They show that attention cannot be trusted by default; freshness and faithfulness must be checked separately for every released policy.</w:t>
      </w:r>
    </w:p>
    <w:p w14:paraId="721C1101">
      <w:pPr>
        <w:pStyle w:val="3"/>
        <w:keepNext/>
      </w:pPr>
      <w:r>
        <w:t>1.6 Contributions</w:t>
      </w:r>
    </w:p>
    <w:p w14:paraId="1FC94434">
      <w:pPr>
        <w:widowControl/>
      </w:pPr>
      <w:r>
        <w:t>The dissertation contributes:</w:t>
      </w:r>
    </w:p>
    <w:p w14:paraId="7B08CABD">
      <w:pPr>
        <w:pStyle w:val="13"/>
        <w:keepLines/>
      </w:pPr>
      <w:r>
        <w:t>a paired clean/degraded benchmark in which SUMO ground truth is separated</w:t>
      </w:r>
    </w:p>
    <w:p w14:paraId="0307166A">
      <w:pPr>
        <w:widowControl/>
      </w:pPr>
      <w:r>
        <w:t>from the observation received by the policy;</w:t>
      </w:r>
    </w:p>
    <w:p w14:paraId="4F10437D">
      <w:pPr>
        <w:pStyle w:val="13"/>
        <w:keepLines/>
      </w:pPr>
      <w:r>
        <w:t>an explicit distinction between a tunnel trigger and an observation-layer</w:t>
      </w:r>
    </w:p>
    <w:p w14:paraId="24F2BF01">
      <w:pPr>
        <w:widowControl/>
      </w:pPr>
      <w:r>
        <w:t>outage;</w:t>
      </w:r>
    </w:p>
    <w:p w14:paraId="69E2DDD4">
      <w:pPr>
        <w:pStyle w:val="13"/>
        <w:keepLines/>
      </w:pPr>
      <w:r>
        <w:t>a type-matched faithfulness protocol for graphs where request nodes also</w:t>
      </w:r>
    </w:p>
    <w:p w14:paraId="05FC8EDA">
      <w:pPr>
        <w:widowControl/>
      </w:pPr>
      <w:r>
        <w:t>define available actions;</w:t>
      </w:r>
    </w:p>
    <w:p w14:paraId="65298488">
      <w:pPr>
        <w:pStyle w:val="13"/>
        <w:keepLines/>
      </w:pPr>
      <w:r>
        <w:t>evidence across independently trained policies that stale-data exposure is</w:t>
      </w:r>
    </w:p>
    <w:p w14:paraId="1BA207D7">
      <w:pPr>
        <w:widowControl/>
      </w:pPr>
      <w:r>
        <w:t>consistent, while attention reallocation and faithfulness effects are not;</w:t>
      </w:r>
    </w:p>
    <w:p w14:paraId="0ABA54F9">
      <w:pPr>
        <w:pStyle w:val="13"/>
        <w:keepLines/>
      </w:pPr>
      <w:r>
        <w:t>a reproducible experiment runner, validation-selected checkpoints,</w:t>
      </w:r>
    </w:p>
    <w:p w14:paraId="06A77C5D">
      <w:pPr>
        <w:widowControl/>
      </w:pPr>
      <w:r>
        <w:t>preflight checks, machine-readable results, and training-seed synthesis.</w:t>
      </w:r>
    </w:p>
    <w:p w14:paraId="7CA84272">
      <w:pPr>
        <w:pStyle w:val="3"/>
        <w:keepNext/>
      </w:pPr>
      <w:r>
        <w:t>1.7 Dissertation structure</w:t>
      </w:r>
    </w:p>
    <w:p w14:paraId="274DBE11">
      <w:pPr>
        <w:pStyle w:val="13"/>
        <w:bidi w:val="0"/>
        <w:ind w:left="460" w:leftChars="0" w:hanging="260" w:firstLineChars="0"/>
      </w:pPr>
      <w:r>
        <w:t>Chapter 2 reviews MARL dispatch, graph attention, explanation faithfulness, and AoI.</w:t>
      </w:r>
    </w:p>
    <w:p w14:paraId="4A2D1FC1">
      <w:pPr>
        <w:pStyle w:val="13"/>
        <w:bidi w:val="0"/>
        <w:ind w:left="460" w:leftChars="0" w:hanging="260" w:firstLineChars="0"/>
      </w:pPr>
      <w:r>
        <w:t xml:space="preserve">Chapter 3 describes the simulator, models, degradation layer, metrics, and statistical design. </w:t>
      </w:r>
    </w:p>
    <w:p w14:paraId="54179681">
      <w:pPr>
        <w:pStyle w:val="13"/>
        <w:bidi w:val="0"/>
        <w:ind w:left="460" w:leftChars="0" w:hanging="260" w:firstLineChars="0"/>
      </w:pPr>
      <w:r>
        <w:t xml:space="preserve">Chapter 4 reports the v4 results. </w:t>
      </w:r>
    </w:p>
    <w:p w14:paraId="7C713400">
      <w:pPr>
        <w:pStyle w:val="13"/>
        <w:bidi w:val="0"/>
        <w:ind w:left="460" w:leftChars="0" w:hanging="260" w:firstLineChars="0"/>
      </w:pPr>
      <w:r>
        <w:t xml:space="preserve">Chapter 5 discusses what can and cannot be concluded. </w:t>
      </w:r>
    </w:p>
    <w:p w14:paraId="220908EA">
      <w:pPr>
        <w:pStyle w:val="13"/>
        <w:bidi w:val="0"/>
        <w:ind w:left="460" w:leftChars="0" w:hanging="260" w:firstLineChars="0"/>
      </w:pPr>
      <w:r>
        <w:t>Chapter 6 closes with the practical implications for trustworthy fleet-dispatch explanations.</w:t>
      </w:r>
    </w:p>
    <w:p w14:paraId="12316E8C">
      <w:pPr>
        <w:pStyle w:val="2"/>
        <w:keepNext/>
      </w:pPr>
      <w:r>
        <w:t>Chapter 2: Literature Review</w:t>
      </w:r>
    </w:p>
    <w:p w14:paraId="12A891A7">
      <w:pPr>
        <w:widowControl/>
      </w:pPr>
      <w:r>
        <w:t>This work sits at the intersection of three literatures that have not previously met: reinforcement learning for fleet dispatch, the faithfulness of attention-based explanations, and the Age of Information. Each is reviewed for what it contributes and for the assumption this dissertation removes.</w:t>
      </w:r>
    </w:p>
    <w:p w14:paraId="5C26D430">
      <w:pPr>
        <w:pStyle w:val="3"/>
        <w:keepNext/>
      </w:pPr>
      <w:r>
        <w:t>2.1 Reinforcement learning for fleet dispatch</w:t>
      </w:r>
    </w:p>
    <w:p w14:paraId="7388246E">
      <w:pPr>
        <w:widowControl/>
      </w:pPr>
      <w:r>
        <w:t>Lin et al. framed city-scale fleet management as a contextual multi-agent RL problem and demonstrated strong gains on real ride-hailing data (Lin et al., 2018); surveys confirm RL as the state of the art for ridesharing operations (Qin, Zhu and Ye, 2022). Because dispatch couples agents through shared roads and demand, cooperative MARL methods dominate: MADDPG (Lowe et al., 2017), value factorisation in QMIX (Rashid et al., 2020), and — the backbone adopted here — MAPPO, whose combination of parameter sharing and centralised training / decentralised execution (CTDE) is simple and empirically strong (Yu et al., 2022).</w:t>
      </w:r>
    </w:p>
    <w:p w14:paraId="501F3B70">
      <w:pPr>
        <w:widowControl/>
      </w:pPr>
      <w:r>
        <w:t xml:space="preserve">Two formulations recur. </w:t>
      </w:r>
      <w:r>
        <w:rPr>
          <w:b w:val="0"/>
          <w:i/>
        </w:rPr>
        <w:t>Centralised</w:t>
      </w:r>
      <w:r>
        <w:t xml:space="preserve"> dispatch computes a global vehicle–order matching each step; </w:t>
      </w:r>
      <w:r>
        <w:rPr>
          <w:b w:val="0"/>
          <w:i/>
        </w:rPr>
        <w:t>decentralised</w:t>
      </w:r>
      <w:r>
        <w:t xml:space="preserve"> dispatch lets each idle vehicle choose independently whether to accept a nearby order (Lin et al., 2018). This work adopts the decentralised formulation for a reason specific to its explanation focus (elaborated in §3.2): a per-agent graph makes every attention distribution correspond one-to-one to a single vehicle's decision, so faithfulness can be evaluated per decision rather than on an aggregate dispatcher output.</w:t>
      </w:r>
    </w:p>
    <w:p w14:paraId="42F9C804">
      <w:pPr>
        <w:widowControl/>
      </w:pPr>
      <w:r>
        <w:t xml:space="preserve">Graph structure enters through graph neural networks (Scarselli et al., 2009); graph </w:t>
      </w:r>
      <w:r>
        <w:rPr>
          <w:b w:val="0"/>
          <w:i/>
        </w:rPr>
        <w:t>attention</w:t>
      </w:r>
      <w:r>
        <w:t xml:space="preserve"> networks (Velickovic et al., 2018) additionally learn a per-node weighting that attention-based MARL such as MAAC exploits for inter-agent reasoning (Iqbal and Sha, 2019). It is exactly this weighting that platforms surface as an explanation — the object under audit here.</w:t>
      </w:r>
    </w:p>
    <w:p w14:paraId="1B51A3A2">
      <w:pPr>
        <w:widowControl/>
      </w:pPr>
      <w:r>
        <w:t>Recent dispatch studies reinforce the relevance of this setting. BMG-Q uses a local bipartite match graph for ride-pooling dispatch (Hu, Feng and Li, 2025), CoopRide studies cooperative city-scale MARL (Wang et al., 2025), and DualG-MARL combines vehicle-state and task graphs for ride-sharing scheduling (Sha et al., 2026). These studies focus on dispatch quality and coordination; they do not test whether an attention channel remains faithful when its vehicle telemetry is stale.</w:t>
      </w:r>
    </w:p>
    <w:p w14:paraId="4F3C18BC">
      <w:pPr>
        <w:pStyle w:val="3"/>
        <w:keepNext/>
      </w:pPr>
      <w:r>
        <w:t>2.2 Is attention an explanation?</w:t>
      </w:r>
    </w:p>
    <w:p w14:paraId="485B2FB7">
      <w:pPr>
        <w:widowControl/>
      </w:pPr>
      <w:r>
        <w:t xml:space="preserve">The debate opened by "Attention is not Explanation" (Jain and Wallace, 2019) established that attention maps can be uncorrelated with feature importance and can be substituted without behavioural change. Wiegreffe and Pinter's reply (Wiegreffe and Pinter, 2019) and Serrano and Smith's analysis (Serrano and Smith, 2019) refined rather than reversed the verdict: whether attention "explains" depends on the definition and the test. Jacovi and Goldberg's position piece (Jacovi and Goldberg, 2020) supplied the discipline this dissertation adopts wholesale — faithfulness must be </w:t>
      </w:r>
      <w:r>
        <w:rPr>
          <w:b w:val="0"/>
          <w:i/>
        </w:rPr>
        <w:t>defined and measured</w:t>
      </w:r>
      <w:r>
        <w:t>, never assumed, and the measurement must itself be scrutinised.</w:t>
      </w:r>
    </w:p>
    <w:p w14:paraId="1D4C23AD">
      <w:pPr>
        <w:widowControl/>
      </w:pPr>
      <w:r>
        <w:t>The dominant measurement family is perturbation-based: comprehensiveness and sufficiency in the ERASER benchmark (DeYoung et al., 2020), the faithfulness-violation test for attention models (Liu et al., 2022), and reference-attribution methods such as LIME (Ribeiro, Singh and Guestrin, 2016). Robustness studies warn that interpretability methods are themselves fragile (Alvarez-Melis and Jaakkola, 2018), and Lipton's survey cautions against conflating plausibility with validity (Lipton, 2018).</w:t>
      </w:r>
    </w:p>
    <w:p w14:paraId="1BE32C2D">
      <w:pPr>
        <w:widowControl/>
      </w:pPr>
      <w:r>
        <w:t xml:space="preserve">Two gaps matter here. First, the entire debate operates on clean, static inputs; no prior work asks what happens to faithfulness when the </w:t>
      </w:r>
      <w:r>
        <w:rPr>
          <w:b w:val="0"/>
          <w:i/>
        </w:rPr>
        <w:t>data behind the explanation</w:t>
      </w:r>
      <w:r>
        <w:t xml:space="preserve"> ages. Second — a gap this work discovered rather than inherited — perturbation protocols implicitly assume that occluding an explanation unit leaves the model's output space intact. In RL architectures where explanation nodes double as action candidates, that assumption fails: occlusion deletes actions. The resulting baseline confound (Chapter 4) is closest in spirit to the critique that removal-based evaluation puts inputs off-distribution (the ROAR line of argument), but is more severe: the perturbation changes the </w:t>
      </w:r>
      <w:r>
        <w:rPr>
          <w:b w:val="0"/>
          <w:i/>
        </w:rPr>
        <w:t>decision problem</w:t>
      </w:r>
      <w:r>
        <w:t>, not merely the input distribution. To the author's knowledge no prior faithfulness study controls for it.</w:t>
      </w:r>
    </w:p>
    <w:p w14:paraId="5C98B685">
      <w:pPr>
        <w:pStyle w:val="3"/>
        <w:keepNext/>
      </w:pPr>
      <w:r>
        <w:t>2.3 Age of Information</w:t>
      </w:r>
    </w:p>
    <w:p w14:paraId="4EACA993">
      <w:pPr>
        <w:widowControl/>
      </w:pPr>
      <w:r>
        <w:t xml:space="preserve">The AoI literature (Kaul, Yates and Gruteser, 2012) formalises data freshness as time since last update and studies its cost for </w:t>
      </w:r>
      <w:r>
        <w:rPr>
          <w:b w:val="0"/>
          <w:i/>
        </w:rPr>
        <w:t>control</w:t>
      </w:r>
      <w:r>
        <w:t xml:space="preserve"> — how stale state degrades estimation and decision quality. AoI has rarely been coupled to </w:t>
      </w:r>
      <w:r>
        <w:rPr>
          <w:b w:val="0"/>
          <w:i/>
        </w:rPr>
        <w:t>explanation</w:t>
      </w:r>
      <w:r>
        <w:t xml:space="preserve"> quality. This dissertation uses AoI as a descriptor of each frozen vehicle reading and as the per-node staleness weight inside WAMSN (§3.6). The manipulated variable is the fixed observation-layer outage duration, not AoI itself; the study therefore does not claim that AoI causes a change in faithfulness.</w:t>
      </w:r>
    </w:p>
    <w:p w14:paraId="21FE0C97">
      <w:pPr>
        <w:pStyle w:val="3"/>
        <w:keepNext/>
      </w:pPr>
      <w:r>
        <w:t>2.4 Simulation platform</w:t>
      </w:r>
    </w:p>
    <w:p w14:paraId="662CAE71">
      <w:pPr>
        <w:widowControl/>
      </w:pPr>
      <w:r>
        <w:t>SUMO (Lopez et al., 2018) provides the microscopic traffic substrate: a real OpenStreetMap district with tunnel attributes preserved, a taxi dispatch device driven through TraCI, and reproducible demand generation. SUMO is an experimental vehicle here, not a contribution; the same applies to the GAT-MAPPO dispatcher itself.</w:t>
      </w:r>
    </w:p>
    <w:p w14:paraId="398FF27B">
      <w:pPr>
        <w:pStyle w:val="3"/>
        <w:keepNext/>
      </w:pPr>
      <w:r>
        <w:t>2.5 Positioning</w:t>
      </w:r>
    </w:p>
    <w:p w14:paraId="5F276A12">
      <w:pPr>
        <w:widowControl/>
      </w:pPr>
      <w:r>
        <w:t>Relative to (Jain and Wallace, 2019) and its successors, this work contributes (i) a temporal axis based on fixed observation outages and measured data freshness; (ii) the closed-loop MARL setting, where explanations attach to individual dispatch decisions taken under degraded observations; (iii) a paired clean/degraded evaluation design with exact per-decision counterfactuals; and (iv) the candidate-action occlusion artifact and its controls. The closest robustness studies perturb model inputs (Alvarez-Melis and Jaakkola, 2018), but do not examine whether explanation behaviour remains stable as operational telemetry becomes stale.</w:t>
      </w:r>
    </w:p>
    <w:p w14:paraId="6129EC27">
      <w:pPr>
        <w:pStyle w:val="2"/>
        <w:keepNext/>
      </w:pPr>
      <w:r>
        <w:t>Chapter 3: Methodology</w:t>
      </w:r>
    </w:p>
    <w:p w14:paraId="2916E130">
      <w:pPr>
        <w:pStyle w:val="3"/>
        <w:keepNext/>
      </w:pPr>
      <w:r>
        <w:t>3.1 Study design</w:t>
      </w:r>
    </w:p>
    <w:p w14:paraId="04184D33">
      <w:pPr>
        <w:widowControl/>
      </w:pPr>
      <w:r>
        <w:t>The study uses a controlled simulation because the research question requires the same decision to be observed in two ways: once with current telemetry and once with degraded telemetry. A real operational log cannot provide this exact clean twin. SUMO provides the physical ground truth, while a separate observation layer controls what the policy receives.</w:t>
      </w:r>
    </w:p>
    <w:p w14:paraId="60709906">
      <w:pPr>
        <w:widowControl/>
      </w:pPr>
      <w:r>
        <w:t>The final protocol is defined in configs/experiments/dissertation_v4.toml. The full run contains three stages: training, validation-based checkpoint selection, and held-out evaluation. Faithfulness sweeps are run only after the selected checkpoints are frozen.</w:t>
      </w:r>
    </w:p>
    <w:p w14:paraId="3049E84B">
      <w:pPr>
        <w:pStyle w:val="3"/>
        <w:keepNext/>
      </w:pPr>
      <w:r>
        <w:t>3.2 SUMO environment and data</w:t>
      </w:r>
    </w:p>
    <w:p w14:paraId="30EDADF9">
      <w:pPr>
        <w:widowControl/>
      </w:pPr>
      <w:r>
        <w:t>The road network is an OpenStreetMap extract of the Central Park area in Yubei, Chongqing. Roads marked as tunnels supply physically meaningful signal-loss triggers. SUMO simulates 20 taxis and 50 passenger requests during each 1,200-second episode. Taxi dispatch is controlled through TraCI, while SUMO continues to update the true position and speed of every vehicle.</w:t>
      </w:r>
    </w:p>
    <w:p w14:paraId="1711F9A1">
      <w:pPr>
        <w:widowControl/>
      </w:pPr>
      <w:r>
        <w:t>Demand variants are separated into training, validation, and test splits. The policy is fitted on training demand. Candidate checkpoints are compared on validation demand. The final reported runs use held-out test demand. This separation prevents test results from influencing model selection.</w:t>
      </w:r>
    </w:p>
    <w:p w14:paraId="1E1A9446">
      <w:pPr>
        <w:pStyle w:val="3"/>
        <w:keepNext/>
      </w:pPr>
      <w:r>
        <w:t>3.3 Observation graph and action space</w:t>
      </w:r>
    </w:p>
    <w:p w14:paraId="65F46750">
      <w:pPr>
        <w:widowControl/>
      </w:pPr>
      <w:r>
        <w:t>Each idle taxi receives a self-centred graph containing:</w:t>
      </w:r>
    </w:p>
    <w:p w14:paraId="3DA032E8">
      <w:pPr>
        <w:pStyle w:val="12"/>
        <w:keepNext/>
      </w:pPr>
      <w:r>
        <w:rPr>
          <w:b/>
        </w:rPr>
        <w:t>Table 3.1: Observation graph node types and roles</w:t>
      </w:r>
    </w:p>
    <w:tbl>
      <w:tblPr>
        <w:tblStyle w:val="6"/>
        <w:tblW w:w="9020" w:type="dxa"/>
        <w:jc w:val="center"/>
        <w:tblBorders>
          <w:top w:val="single" w:color="7F7F7F" w:sz="8" w:space="0"/>
          <w:left w:val="none" w:color="FFFFFF" w:sz="0" w:space="0"/>
          <w:bottom w:val="single" w:color="7F7F7F" w:sz="8" w:space="0"/>
          <w:right w:val="none" w:color="FFFFFF" w:sz="0" w:space="0"/>
          <w:insideH w:val="single" w:color="D9D9D9" w:sz="4" w:space="0"/>
          <w:insideV w:val="none" w:color="FFFFFF" w:sz="0" w:space="0"/>
        </w:tblBorders>
        <w:tblLayout w:type="fixed"/>
        <w:tblCellMar>
          <w:top w:w="0" w:type="dxa"/>
          <w:left w:w="108" w:type="dxa"/>
          <w:bottom w:w="0" w:type="dxa"/>
          <w:right w:w="108" w:type="dxa"/>
        </w:tblCellMar>
      </w:tblPr>
      <w:tblGrid>
        <w:gridCol w:w="1703"/>
        <w:gridCol w:w="4510"/>
        <w:gridCol w:w="2807"/>
      </w:tblGrid>
      <w:tr w14:paraId="7961EBE2">
        <w:trPr>
          <w:cantSplit/>
          <w:tblHeader/>
          <w:jc w:val="center"/>
        </w:trPr>
        <w:tc>
          <w:tcPr>
            <w:tcW w:w="1703" w:type="dxa"/>
            <w:shd w:val="clear" w:color="auto" w:fill="E7E6E6"/>
            <w:tcMar>
              <w:top w:w="45" w:type="dxa"/>
              <w:left w:w="90" w:type="dxa"/>
              <w:bottom w:w="45" w:type="dxa"/>
              <w:right w:w="90" w:type="dxa"/>
            </w:tcMar>
            <w:vAlign w:val="center"/>
          </w:tcPr>
          <w:p w14:paraId="6970E4BA">
            <w:pPr>
              <w:keepLines/>
              <w:widowControl/>
              <w:spacing w:after="0" w:line="240" w:lineRule="auto"/>
              <w:jc w:val="left"/>
            </w:pPr>
            <w:r>
              <w:rPr>
                <w:rFonts w:ascii="Times New Roman" w:hAnsi="Times New Roman"/>
                <w:b/>
                <w:sz w:val="20"/>
              </w:rPr>
              <w:t>Node type</w:t>
            </w:r>
          </w:p>
        </w:tc>
        <w:tc>
          <w:tcPr>
            <w:tcW w:w="4510" w:type="dxa"/>
            <w:shd w:val="clear" w:color="auto" w:fill="E7E6E6"/>
            <w:tcMar>
              <w:top w:w="45" w:type="dxa"/>
              <w:left w:w="90" w:type="dxa"/>
              <w:bottom w:w="45" w:type="dxa"/>
              <w:right w:w="90" w:type="dxa"/>
            </w:tcMar>
            <w:vAlign w:val="center"/>
          </w:tcPr>
          <w:p w14:paraId="018F9D54">
            <w:pPr>
              <w:keepLines/>
              <w:widowControl/>
              <w:spacing w:after="0" w:line="240" w:lineRule="auto"/>
              <w:jc w:val="center"/>
            </w:pPr>
            <w:r>
              <w:rPr>
                <w:rFonts w:ascii="Times New Roman" w:hAnsi="Times New Roman"/>
                <w:b/>
                <w:sz w:val="20"/>
              </w:rPr>
              <w:t>Main features</w:t>
            </w:r>
          </w:p>
        </w:tc>
        <w:tc>
          <w:tcPr>
            <w:tcW w:w="2807" w:type="dxa"/>
            <w:shd w:val="clear" w:color="auto" w:fill="E7E6E6"/>
            <w:tcMar>
              <w:top w:w="45" w:type="dxa"/>
              <w:left w:w="90" w:type="dxa"/>
              <w:bottom w:w="45" w:type="dxa"/>
              <w:right w:w="90" w:type="dxa"/>
            </w:tcMar>
            <w:vAlign w:val="center"/>
          </w:tcPr>
          <w:p w14:paraId="0E7CED7F">
            <w:pPr>
              <w:keepLines/>
              <w:widowControl/>
              <w:spacing w:after="0" w:line="240" w:lineRule="auto"/>
              <w:jc w:val="center"/>
            </w:pPr>
            <w:r>
              <w:rPr>
                <w:rFonts w:ascii="Times New Roman" w:hAnsi="Times New Roman"/>
                <w:b/>
                <w:sz w:val="20"/>
              </w:rPr>
              <w:t>Role</w:t>
            </w:r>
          </w:p>
        </w:tc>
      </w:tr>
      <w:tr w14:paraId="63BE0374">
        <w:trPr>
          <w:cantSplit/>
          <w:jc w:val="center"/>
        </w:trPr>
        <w:tc>
          <w:tcPr>
            <w:tcW w:w="1703" w:type="dxa"/>
            <w:tcMar>
              <w:top w:w="45" w:type="dxa"/>
              <w:left w:w="90" w:type="dxa"/>
              <w:bottom w:w="45" w:type="dxa"/>
              <w:right w:w="90" w:type="dxa"/>
            </w:tcMar>
            <w:vAlign w:val="center"/>
          </w:tcPr>
          <w:p w14:paraId="4C8E4702">
            <w:pPr>
              <w:keepLines/>
              <w:widowControl/>
              <w:spacing w:after="0" w:line="240" w:lineRule="auto"/>
              <w:jc w:val="left"/>
            </w:pPr>
            <w:r>
              <w:rPr>
                <w:rFonts w:ascii="Times New Roman" w:hAnsi="Times New Roman"/>
                <w:sz w:val="20"/>
              </w:rPr>
              <w:t>Self taxi</w:t>
            </w:r>
          </w:p>
        </w:tc>
        <w:tc>
          <w:tcPr>
            <w:tcW w:w="4510" w:type="dxa"/>
            <w:tcMar>
              <w:top w:w="45" w:type="dxa"/>
              <w:left w:w="90" w:type="dxa"/>
              <w:bottom w:w="45" w:type="dxa"/>
              <w:right w:w="90" w:type="dxa"/>
            </w:tcMar>
            <w:vAlign w:val="center"/>
          </w:tcPr>
          <w:p w14:paraId="4346F054">
            <w:pPr>
              <w:keepLines/>
              <w:widowControl/>
              <w:spacing w:after="0" w:line="240" w:lineRule="auto"/>
              <w:jc w:val="left"/>
            </w:pPr>
            <w:r>
              <w:rPr>
                <w:rFonts w:ascii="Times New Roman" w:hAnsi="Times New Roman"/>
                <w:sz w:val="20"/>
              </w:rPr>
              <w:t>position, time, speed, AoI, position-valid flag</w:t>
            </w:r>
          </w:p>
        </w:tc>
        <w:tc>
          <w:tcPr>
            <w:tcW w:w="2807" w:type="dxa"/>
            <w:tcMar>
              <w:top w:w="45" w:type="dxa"/>
              <w:left w:w="90" w:type="dxa"/>
              <w:bottom w:w="45" w:type="dxa"/>
              <w:right w:w="90" w:type="dxa"/>
            </w:tcMar>
            <w:vAlign w:val="center"/>
          </w:tcPr>
          <w:p w14:paraId="7F355FD8">
            <w:pPr>
              <w:keepLines/>
              <w:widowControl/>
              <w:spacing w:after="0" w:line="240" w:lineRule="auto"/>
              <w:jc w:val="center"/>
            </w:pPr>
            <w:r>
              <w:rPr>
                <w:rFonts w:ascii="Times New Roman" w:hAnsi="Times New Roman"/>
                <w:sz w:val="20"/>
              </w:rPr>
              <w:t>acting vehicle</w:t>
            </w:r>
          </w:p>
        </w:tc>
      </w:tr>
      <w:tr w14:paraId="5F22DB49">
        <w:trPr>
          <w:cantSplit/>
          <w:jc w:val="center"/>
        </w:trPr>
        <w:tc>
          <w:tcPr>
            <w:tcW w:w="1703" w:type="dxa"/>
            <w:tcMar>
              <w:top w:w="45" w:type="dxa"/>
              <w:left w:w="90" w:type="dxa"/>
              <w:bottom w:w="45" w:type="dxa"/>
              <w:right w:w="90" w:type="dxa"/>
            </w:tcMar>
            <w:vAlign w:val="center"/>
          </w:tcPr>
          <w:p w14:paraId="44CC150D">
            <w:pPr>
              <w:keepLines/>
              <w:widowControl/>
              <w:spacing w:after="0" w:line="240" w:lineRule="auto"/>
              <w:jc w:val="left"/>
            </w:pPr>
            <w:r>
              <w:rPr>
                <w:rFonts w:ascii="Times New Roman" w:hAnsi="Times New Roman"/>
                <w:sz w:val="20"/>
              </w:rPr>
              <w:t>Peer taxi</w:t>
            </w:r>
          </w:p>
        </w:tc>
        <w:tc>
          <w:tcPr>
            <w:tcW w:w="4510" w:type="dxa"/>
            <w:tcMar>
              <w:top w:w="45" w:type="dxa"/>
              <w:left w:w="90" w:type="dxa"/>
              <w:bottom w:w="45" w:type="dxa"/>
              <w:right w:w="90" w:type="dxa"/>
            </w:tcMar>
            <w:vAlign w:val="center"/>
          </w:tcPr>
          <w:p w14:paraId="4EE8D5C7">
            <w:pPr>
              <w:keepLines/>
              <w:widowControl/>
              <w:spacing w:after="0" w:line="240" w:lineRule="auto"/>
              <w:jc w:val="left"/>
            </w:pPr>
            <w:r>
              <w:rPr>
                <w:rFonts w:ascii="Times New Roman" w:hAnsi="Times New Roman"/>
                <w:sz w:val="20"/>
              </w:rPr>
              <w:t>relative position, availability, distance, AoI</w:t>
            </w:r>
          </w:p>
        </w:tc>
        <w:tc>
          <w:tcPr>
            <w:tcW w:w="2807" w:type="dxa"/>
            <w:tcMar>
              <w:top w:w="45" w:type="dxa"/>
              <w:left w:w="90" w:type="dxa"/>
              <w:bottom w:w="45" w:type="dxa"/>
              <w:right w:w="90" w:type="dxa"/>
            </w:tcMar>
            <w:vAlign w:val="center"/>
          </w:tcPr>
          <w:p w14:paraId="5402C830">
            <w:pPr>
              <w:keepLines/>
              <w:widowControl/>
              <w:spacing w:after="0" w:line="240" w:lineRule="auto"/>
              <w:jc w:val="center"/>
            </w:pPr>
            <w:r>
              <w:rPr>
                <w:rFonts w:ascii="Times New Roman" w:hAnsi="Times New Roman"/>
                <w:sz w:val="20"/>
              </w:rPr>
              <w:t>nearby fleet context</w:t>
            </w:r>
          </w:p>
        </w:tc>
      </w:tr>
      <w:tr w14:paraId="0C8B9D17">
        <w:trPr>
          <w:cantSplit/>
          <w:jc w:val="center"/>
        </w:trPr>
        <w:tc>
          <w:tcPr>
            <w:tcW w:w="1703" w:type="dxa"/>
            <w:tcMar>
              <w:top w:w="45" w:type="dxa"/>
              <w:left w:w="90" w:type="dxa"/>
              <w:bottom w:w="45" w:type="dxa"/>
              <w:right w:w="90" w:type="dxa"/>
            </w:tcMar>
            <w:vAlign w:val="center"/>
          </w:tcPr>
          <w:p w14:paraId="5249CC3F">
            <w:pPr>
              <w:keepLines/>
              <w:widowControl/>
              <w:spacing w:after="0" w:line="240" w:lineRule="auto"/>
              <w:jc w:val="left"/>
            </w:pPr>
            <w:r>
              <w:rPr>
                <w:rFonts w:ascii="Times New Roman" w:hAnsi="Times New Roman"/>
                <w:sz w:val="20"/>
              </w:rPr>
              <w:t>Passenger request</w:t>
            </w:r>
          </w:p>
        </w:tc>
        <w:tc>
          <w:tcPr>
            <w:tcW w:w="4510" w:type="dxa"/>
            <w:tcMar>
              <w:top w:w="45" w:type="dxa"/>
              <w:left w:w="90" w:type="dxa"/>
              <w:bottom w:w="45" w:type="dxa"/>
              <w:right w:w="90" w:type="dxa"/>
            </w:tcMar>
            <w:vAlign w:val="center"/>
          </w:tcPr>
          <w:p w14:paraId="163BE168">
            <w:pPr>
              <w:keepLines/>
              <w:widowControl/>
              <w:spacing w:after="0" w:line="240" w:lineRule="auto"/>
              <w:jc w:val="left"/>
            </w:pPr>
            <w:r>
              <w:rPr>
                <w:rFonts w:ascii="Times New Roman" w:hAnsi="Times New Roman"/>
                <w:sz w:val="20"/>
              </w:rPr>
              <w:t>pickup/drop-off vectors, waiting time</w:t>
            </w:r>
          </w:p>
        </w:tc>
        <w:tc>
          <w:tcPr>
            <w:tcW w:w="2807" w:type="dxa"/>
            <w:tcMar>
              <w:top w:w="45" w:type="dxa"/>
              <w:left w:w="90" w:type="dxa"/>
              <w:bottom w:w="45" w:type="dxa"/>
              <w:right w:w="90" w:type="dxa"/>
            </w:tcMar>
            <w:vAlign w:val="center"/>
          </w:tcPr>
          <w:p w14:paraId="2DE7BB75">
            <w:pPr>
              <w:keepLines/>
              <w:widowControl/>
              <w:spacing w:after="0" w:line="240" w:lineRule="auto"/>
              <w:jc w:val="left"/>
            </w:pPr>
            <w:r>
              <w:rPr>
                <w:rFonts w:ascii="Times New Roman" w:hAnsi="Times New Roman"/>
                <w:sz w:val="20"/>
              </w:rPr>
              <w:t>candidate request and action</w:t>
            </w:r>
          </w:p>
        </w:tc>
      </w:tr>
    </w:tbl>
    <w:p w14:paraId="21A21B79">
      <w:pPr>
        <w:widowControl/>
      </w:pPr>
    </w:p>
    <w:p w14:paraId="57887191">
      <w:pPr>
        <w:widowControl/>
      </w:pPr>
      <w:r>
        <w:t>The graph contains up to five nearby taxis and five nearby requests. Features are normalised and request/taxi masks prevent padded nodes from receiving attention.</w:t>
      </w:r>
    </w:p>
    <w:p w14:paraId="02FC8990">
      <w:pPr>
        <w:widowControl/>
      </w:pPr>
      <w:r>
        <w:t>The discrete action space contains no-op plus one action for each visible passenger request. This one-to-one relationship is important: deleting a passenger-request node also removes the associated action, whereas deleting a peer-taxi node only hides information about that taxi. Section 3.7 explains how the faithfulness audit controls this asymmetry.</w:t>
      </w:r>
    </w:p>
    <w:p w14:paraId="6D94567A">
      <w:pPr>
        <w:keepNext/>
        <w:keepLines/>
        <w:spacing w:before="120" w:after="40"/>
        <w:jc w:val="center"/>
      </w:pPr>
      <w:r>
        <w:drawing>
          <wp:inline distT="0" distB="0" distL="114300" distR="114300">
            <wp:extent cx="5623560" cy="2769870"/>
            <wp:effectExtent l="0" t="0" r="15240" b="24130"/>
            <wp:docPr id="2" name="Picture 2" descr="Observation graph and request-to-action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Observation graph and request-to-action mapping"/>
                    <pic:cNvPicPr>
                      <a:picLocks noChangeAspect="1"/>
                    </pic:cNvPicPr>
                  </pic:nvPicPr>
                  <pic:blipFill>
                    <a:blip r:embed="rId12"/>
                    <a:stretch>
                      <a:fillRect/>
                    </a:stretch>
                  </pic:blipFill>
                  <pic:spPr>
                    <a:xfrm>
                      <a:off x="0" y="0"/>
                      <a:ext cx="5623560" cy="2770177"/>
                    </a:xfrm>
                    <a:prstGeom prst="rect">
                      <a:avLst/>
                    </a:prstGeom>
                  </pic:spPr>
                </pic:pic>
              </a:graphicData>
            </a:graphic>
          </wp:inline>
        </w:drawing>
      </w:r>
    </w:p>
    <w:p w14:paraId="6AE8F91C">
      <w:pPr>
        <w:pStyle w:val="12"/>
        <w:keepLines/>
      </w:pPr>
      <w:r>
        <w:t>Figure 3.1. Self, peer-taxi and request nodes enter the same masked graph, but only request nodes map directly to dispatch actions. This difference is central to the construct-validity audit.</w:t>
      </w:r>
    </w:p>
    <w:p w14:paraId="2C012BC7">
      <w:pPr>
        <w:pStyle w:val="3"/>
        <w:keepNext/>
      </w:pPr>
      <w:r>
        <w:t>3.4 Policy models and training</w:t>
      </w:r>
    </w:p>
    <w:p w14:paraId="4775CD15">
      <w:pPr>
        <w:widowControl/>
      </w:pPr>
      <w:r>
        <w:t>The main policy uses per-node-type feature projections followed by two graph attention layers with four heads. The actor scores no-op and the visible requests. The critic estimates value for MAPPO training with centralised training and decentralised execution. The GAT implementation returns its attention tensors directly so they can be audited without changing the trained network.</w:t>
      </w:r>
    </w:p>
    <w:p w14:paraId="54E924B0">
      <w:pPr>
        <w:keepNext/>
        <w:keepLines/>
        <w:spacing w:before="120" w:after="40"/>
        <w:jc w:val="center"/>
      </w:pPr>
      <w:r>
        <w:drawing>
          <wp:inline distT="0" distB="0" distL="114300" distR="114300">
            <wp:extent cx="5623560" cy="2666365"/>
            <wp:effectExtent l="0" t="0" r="15240" b="635"/>
            <wp:docPr id="3" name="Picture 3" descr="Simplified graph-attention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implified graph-attention design"/>
                    <pic:cNvPicPr>
                      <a:picLocks noChangeAspect="1"/>
                    </pic:cNvPicPr>
                  </pic:nvPicPr>
                  <pic:blipFill>
                    <a:blip r:embed="rId13"/>
                    <a:stretch>
                      <a:fillRect/>
                    </a:stretch>
                  </pic:blipFill>
                  <pic:spPr>
                    <a:xfrm>
                      <a:off x="0" y="0"/>
                      <a:ext cx="5623560" cy="2666675"/>
                    </a:xfrm>
                    <a:prstGeom prst="rect">
                      <a:avLst/>
                    </a:prstGeom>
                  </pic:spPr>
                </pic:pic>
              </a:graphicData>
            </a:graphic>
          </wp:inline>
        </w:drawing>
      </w:r>
    </w:p>
    <w:p w14:paraId="25749DA1">
      <w:pPr>
        <w:pStyle w:val="12"/>
        <w:keepLines/>
      </w:pPr>
      <w:r>
        <w:t>Figure 3.2. The policy uses typed node embeddings and two masked, scaled-dot-product graph self-attention layers. The self-node attention row is retained for faithfulness testing.</w:t>
      </w:r>
    </w:p>
    <w:p w14:paraId="1A16FB7D">
      <w:pPr>
        <w:widowControl/>
      </w:pPr>
      <w:r>
        <w:t>Four policy conditions are included:</w:t>
      </w:r>
    </w:p>
    <w:p w14:paraId="311E18E9">
      <w:pPr>
        <w:pStyle w:val="12"/>
        <w:keepNext/>
      </w:pPr>
      <w:r>
        <w:rPr>
          <w:b/>
        </w:rPr>
        <w:t>Table 3.2: Policy conditions used in the v4 experiment</w:t>
      </w:r>
    </w:p>
    <w:tbl>
      <w:tblPr>
        <w:tblStyle w:val="6"/>
        <w:tblW w:w="9020" w:type="dxa"/>
        <w:jc w:val="center"/>
        <w:tblBorders>
          <w:top w:val="single" w:color="7F7F7F" w:sz="8" w:space="0"/>
          <w:left w:val="none" w:color="FFFFFF" w:sz="0" w:space="0"/>
          <w:bottom w:val="single" w:color="7F7F7F" w:sz="8" w:space="0"/>
          <w:right w:val="none" w:color="FFFFFF" w:sz="0" w:space="0"/>
          <w:insideH w:val="single" w:color="D9D9D9" w:sz="4" w:space="0"/>
          <w:insideV w:val="none" w:color="FFFFFF" w:sz="0" w:space="0"/>
        </w:tblBorders>
        <w:tblLayout w:type="fixed"/>
        <w:tblCellMar>
          <w:top w:w="0" w:type="dxa"/>
          <w:left w:w="108" w:type="dxa"/>
          <w:bottom w:w="0" w:type="dxa"/>
          <w:right w:w="108" w:type="dxa"/>
        </w:tblCellMar>
      </w:tblPr>
      <w:tblGrid>
        <w:gridCol w:w="644"/>
        <w:gridCol w:w="2174"/>
        <w:gridCol w:w="2738"/>
        <w:gridCol w:w="3464"/>
      </w:tblGrid>
      <w:tr w14:paraId="2D946784">
        <w:trPr>
          <w:cantSplit/>
          <w:tblHeader/>
          <w:jc w:val="center"/>
        </w:trPr>
        <w:tc>
          <w:tcPr>
            <w:tcW w:w="644" w:type="dxa"/>
            <w:shd w:val="clear" w:color="auto" w:fill="E7E6E6"/>
            <w:tcMar>
              <w:top w:w="45" w:type="dxa"/>
              <w:left w:w="90" w:type="dxa"/>
              <w:bottom w:w="45" w:type="dxa"/>
              <w:right w:w="90" w:type="dxa"/>
            </w:tcMar>
            <w:vAlign w:val="center"/>
          </w:tcPr>
          <w:p w14:paraId="2AC74709">
            <w:pPr>
              <w:keepLines/>
              <w:widowControl/>
              <w:spacing w:after="0" w:line="240" w:lineRule="auto"/>
              <w:jc w:val="left"/>
            </w:pPr>
            <w:r>
              <w:rPr>
                <w:rFonts w:ascii="Times New Roman" w:hAnsi="Times New Roman"/>
                <w:b/>
                <w:sz w:val="20"/>
              </w:rPr>
              <w:t>ID</w:t>
            </w:r>
          </w:p>
        </w:tc>
        <w:tc>
          <w:tcPr>
            <w:tcW w:w="2174" w:type="dxa"/>
            <w:shd w:val="clear" w:color="auto" w:fill="E7E6E6"/>
            <w:tcMar>
              <w:top w:w="45" w:type="dxa"/>
              <w:left w:w="90" w:type="dxa"/>
              <w:bottom w:w="45" w:type="dxa"/>
              <w:right w:w="90" w:type="dxa"/>
            </w:tcMar>
            <w:vAlign w:val="center"/>
          </w:tcPr>
          <w:p w14:paraId="7FEF0E06">
            <w:pPr>
              <w:keepLines/>
              <w:widowControl/>
              <w:spacing w:after="0" w:line="240" w:lineRule="auto"/>
              <w:jc w:val="center"/>
            </w:pPr>
            <w:r>
              <w:rPr>
                <w:rFonts w:ascii="Times New Roman" w:hAnsi="Times New Roman"/>
                <w:b/>
                <w:sz w:val="20"/>
              </w:rPr>
              <w:t>Policy</w:t>
            </w:r>
          </w:p>
        </w:tc>
        <w:tc>
          <w:tcPr>
            <w:tcW w:w="2738" w:type="dxa"/>
            <w:shd w:val="clear" w:color="auto" w:fill="E7E6E6"/>
            <w:tcMar>
              <w:top w:w="45" w:type="dxa"/>
              <w:left w:w="90" w:type="dxa"/>
              <w:bottom w:w="45" w:type="dxa"/>
              <w:right w:w="90" w:type="dxa"/>
            </w:tcMar>
            <w:vAlign w:val="center"/>
          </w:tcPr>
          <w:p w14:paraId="61D62BE5">
            <w:pPr>
              <w:keepLines/>
              <w:widowControl/>
              <w:spacing w:after="0" w:line="240" w:lineRule="auto"/>
              <w:jc w:val="center"/>
            </w:pPr>
            <w:r>
              <w:rPr>
                <w:rFonts w:ascii="Times New Roman" w:hAnsi="Times New Roman"/>
                <w:b/>
                <w:sz w:val="20"/>
              </w:rPr>
              <w:t>Training observations</w:t>
            </w:r>
          </w:p>
        </w:tc>
        <w:tc>
          <w:tcPr>
            <w:tcW w:w="3464" w:type="dxa"/>
            <w:shd w:val="clear" w:color="auto" w:fill="E7E6E6"/>
            <w:tcMar>
              <w:top w:w="45" w:type="dxa"/>
              <w:left w:w="90" w:type="dxa"/>
              <w:bottom w:w="45" w:type="dxa"/>
              <w:right w:w="90" w:type="dxa"/>
            </w:tcMar>
            <w:vAlign w:val="center"/>
          </w:tcPr>
          <w:p w14:paraId="61421F2B">
            <w:pPr>
              <w:keepLines/>
              <w:widowControl/>
              <w:spacing w:after="0" w:line="240" w:lineRule="auto"/>
              <w:jc w:val="center"/>
            </w:pPr>
            <w:r>
              <w:rPr>
                <w:rFonts w:ascii="Times New Roman" w:hAnsi="Times New Roman"/>
                <w:b/>
                <w:sz w:val="20"/>
              </w:rPr>
              <w:t>Purpose</w:t>
            </w:r>
          </w:p>
        </w:tc>
      </w:tr>
      <w:tr w14:paraId="23AAE3B2">
        <w:trPr>
          <w:cantSplit/>
          <w:jc w:val="center"/>
        </w:trPr>
        <w:tc>
          <w:tcPr>
            <w:tcW w:w="644" w:type="dxa"/>
            <w:tcMar>
              <w:top w:w="45" w:type="dxa"/>
              <w:left w:w="90" w:type="dxa"/>
              <w:bottom w:w="45" w:type="dxa"/>
              <w:right w:w="90" w:type="dxa"/>
            </w:tcMar>
            <w:vAlign w:val="center"/>
          </w:tcPr>
          <w:p w14:paraId="014CFE9F">
            <w:pPr>
              <w:keepLines/>
              <w:widowControl/>
              <w:spacing w:after="0" w:line="240" w:lineRule="auto"/>
              <w:jc w:val="left"/>
            </w:pPr>
            <w:r>
              <w:rPr>
                <w:rFonts w:ascii="Times New Roman" w:hAnsi="Times New Roman"/>
                <w:sz w:val="20"/>
              </w:rPr>
              <w:t>B1</w:t>
            </w:r>
          </w:p>
        </w:tc>
        <w:tc>
          <w:tcPr>
            <w:tcW w:w="2174" w:type="dxa"/>
            <w:tcMar>
              <w:top w:w="45" w:type="dxa"/>
              <w:left w:w="90" w:type="dxa"/>
              <w:bottom w:w="45" w:type="dxa"/>
              <w:right w:w="90" w:type="dxa"/>
            </w:tcMar>
            <w:vAlign w:val="center"/>
          </w:tcPr>
          <w:p w14:paraId="2D0AC72F">
            <w:pPr>
              <w:keepLines/>
              <w:widowControl/>
              <w:spacing w:after="0" w:line="240" w:lineRule="auto"/>
              <w:jc w:val="center"/>
            </w:pPr>
            <w:r>
              <w:rPr>
                <w:rFonts w:ascii="Times New Roman" w:hAnsi="Times New Roman"/>
                <w:sz w:val="20"/>
              </w:rPr>
              <w:t>MLP-MAPPO</w:t>
            </w:r>
          </w:p>
        </w:tc>
        <w:tc>
          <w:tcPr>
            <w:tcW w:w="2738" w:type="dxa"/>
            <w:tcMar>
              <w:top w:w="45" w:type="dxa"/>
              <w:left w:w="90" w:type="dxa"/>
              <w:bottom w:w="45" w:type="dxa"/>
              <w:right w:w="90" w:type="dxa"/>
            </w:tcMar>
            <w:vAlign w:val="center"/>
          </w:tcPr>
          <w:p w14:paraId="0BFD543A">
            <w:pPr>
              <w:keepLines/>
              <w:widowControl/>
              <w:spacing w:after="0" w:line="240" w:lineRule="auto"/>
              <w:jc w:val="center"/>
            </w:pPr>
            <w:r>
              <w:rPr>
                <w:rFonts w:ascii="Times New Roman" w:hAnsi="Times New Roman"/>
                <w:sz w:val="20"/>
              </w:rPr>
              <w:t>clean</w:t>
            </w:r>
          </w:p>
        </w:tc>
        <w:tc>
          <w:tcPr>
            <w:tcW w:w="3464" w:type="dxa"/>
            <w:tcMar>
              <w:top w:w="45" w:type="dxa"/>
              <w:left w:w="90" w:type="dxa"/>
              <w:bottom w:w="45" w:type="dxa"/>
              <w:right w:w="90" w:type="dxa"/>
            </w:tcMar>
            <w:vAlign w:val="center"/>
          </w:tcPr>
          <w:p w14:paraId="5E1C7702">
            <w:pPr>
              <w:keepLines/>
              <w:widowControl/>
              <w:spacing w:after="0" w:line="240" w:lineRule="auto"/>
              <w:jc w:val="left"/>
            </w:pPr>
            <w:r>
              <w:rPr>
                <w:rFonts w:ascii="Times New Roman" w:hAnsi="Times New Roman"/>
                <w:sz w:val="20"/>
              </w:rPr>
              <w:t>performance context without graph attention</w:t>
            </w:r>
          </w:p>
        </w:tc>
      </w:tr>
      <w:tr w14:paraId="7EBB83DC">
        <w:trPr>
          <w:cantSplit/>
          <w:jc w:val="center"/>
        </w:trPr>
        <w:tc>
          <w:tcPr>
            <w:tcW w:w="644" w:type="dxa"/>
            <w:tcMar>
              <w:top w:w="45" w:type="dxa"/>
              <w:left w:w="90" w:type="dxa"/>
              <w:bottom w:w="45" w:type="dxa"/>
              <w:right w:w="90" w:type="dxa"/>
            </w:tcMar>
            <w:vAlign w:val="center"/>
          </w:tcPr>
          <w:p w14:paraId="10E815EF">
            <w:pPr>
              <w:keepLines/>
              <w:widowControl/>
              <w:spacing w:after="0" w:line="240" w:lineRule="auto"/>
              <w:jc w:val="left"/>
            </w:pPr>
            <w:r>
              <w:rPr>
                <w:rFonts w:ascii="Times New Roman" w:hAnsi="Times New Roman"/>
                <w:sz w:val="20"/>
              </w:rPr>
              <w:t>B2</w:t>
            </w:r>
          </w:p>
        </w:tc>
        <w:tc>
          <w:tcPr>
            <w:tcW w:w="2174" w:type="dxa"/>
            <w:tcMar>
              <w:top w:w="45" w:type="dxa"/>
              <w:left w:w="90" w:type="dxa"/>
              <w:bottom w:w="45" w:type="dxa"/>
              <w:right w:w="90" w:type="dxa"/>
            </w:tcMar>
            <w:vAlign w:val="center"/>
          </w:tcPr>
          <w:p w14:paraId="71545CB2">
            <w:pPr>
              <w:keepLines/>
              <w:widowControl/>
              <w:spacing w:after="0" w:line="240" w:lineRule="auto"/>
              <w:jc w:val="center"/>
            </w:pPr>
            <w:r>
              <w:rPr>
                <w:rFonts w:ascii="Times New Roman" w:hAnsi="Times New Roman"/>
                <w:sz w:val="20"/>
              </w:rPr>
              <w:t>GAT-MAPPO</w:t>
            </w:r>
          </w:p>
        </w:tc>
        <w:tc>
          <w:tcPr>
            <w:tcW w:w="2738" w:type="dxa"/>
            <w:tcMar>
              <w:top w:w="45" w:type="dxa"/>
              <w:left w:w="90" w:type="dxa"/>
              <w:bottom w:w="45" w:type="dxa"/>
              <w:right w:w="90" w:type="dxa"/>
            </w:tcMar>
            <w:vAlign w:val="center"/>
          </w:tcPr>
          <w:p w14:paraId="2627228E">
            <w:pPr>
              <w:keepLines/>
              <w:widowControl/>
              <w:spacing w:after="0" w:line="240" w:lineRule="auto"/>
              <w:jc w:val="center"/>
            </w:pPr>
            <w:r>
              <w:rPr>
                <w:rFonts w:ascii="Times New Roman" w:hAnsi="Times New Roman"/>
                <w:sz w:val="20"/>
              </w:rPr>
              <w:t>clean</w:t>
            </w:r>
          </w:p>
        </w:tc>
        <w:tc>
          <w:tcPr>
            <w:tcW w:w="3464" w:type="dxa"/>
            <w:tcMar>
              <w:top w:w="45" w:type="dxa"/>
              <w:left w:w="90" w:type="dxa"/>
              <w:bottom w:w="45" w:type="dxa"/>
              <w:right w:w="90" w:type="dxa"/>
            </w:tcMar>
            <w:vAlign w:val="center"/>
          </w:tcPr>
          <w:p w14:paraId="1EE8CCB1">
            <w:pPr>
              <w:keepLines/>
              <w:widowControl/>
              <w:spacing w:after="0" w:line="240" w:lineRule="auto"/>
              <w:jc w:val="left"/>
            </w:pPr>
            <w:r>
              <w:rPr>
                <w:rFonts w:ascii="Times New Roman" w:hAnsi="Times New Roman"/>
                <w:sz w:val="20"/>
              </w:rPr>
              <w:t>primary attention model under audit</w:t>
            </w:r>
          </w:p>
        </w:tc>
      </w:tr>
      <w:tr w14:paraId="5808509C">
        <w:trPr>
          <w:cantSplit/>
          <w:jc w:val="center"/>
        </w:trPr>
        <w:tc>
          <w:tcPr>
            <w:tcW w:w="644" w:type="dxa"/>
            <w:tcMar>
              <w:top w:w="45" w:type="dxa"/>
              <w:left w:w="90" w:type="dxa"/>
              <w:bottom w:w="45" w:type="dxa"/>
              <w:right w:w="90" w:type="dxa"/>
            </w:tcMar>
            <w:vAlign w:val="center"/>
          </w:tcPr>
          <w:p w14:paraId="7743AB3F">
            <w:pPr>
              <w:keepLines/>
              <w:widowControl/>
              <w:spacing w:after="0" w:line="240" w:lineRule="auto"/>
              <w:jc w:val="left"/>
            </w:pPr>
            <w:r>
              <w:rPr>
                <w:rFonts w:ascii="Times New Roman" w:hAnsi="Times New Roman"/>
                <w:sz w:val="20"/>
              </w:rPr>
              <w:t>B3</w:t>
            </w:r>
          </w:p>
        </w:tc>
        <w:tc>
          <w:tcPr>
            <w:tcW w:w="2174" w:type="dxa"/>
            <w:tcMar>
              <w:top w:w="45" w:type="dxa"/>
              <w:left w:w="90" w:type="dxa"/>
              <w:bottom w:w="45" w:type="dxa"/>
              <w:right w:w="90" w:type="dxa"/>
            </w:tcMar>
            <w:vAlign w:val="center"/>
          </w:tcPr>
          <w:p w14:paraId="5E803BDA">
            <w:pPr>
              <w:keepLines/>
              <w:widowControl/>
              <w:spacing w:after="0" w:line="240" w:lineRule="auto"/>
              <w:jc w:val="left"/>
            </w:pPr>
            <w:r>
              <w:rPr>
                <w:rFonts w:ascii="Times New Roman" w:hAnsi="Times New Roman"/>
                <w:sz w:val="20"/>
              </w:rPr>
              <w:t>GAT-MAPPO without AoI input</w:t>
            </w:r>
          </w:p>
        </w:tc>
        <w:tc>
          <w:tcPr>
            <w:tcW w:w="2738" w:type="dxa"/>
            <w:tcMar>
              <w:top w:w="45" w:type="dxa"/>
              <w:left w:w="90" w:type="dxa"/>
              <w:bottom w:w="45" w:type="dxa"/>
              <w:right w:w="90" w:type="dxa"/>
            </w:tcMar>
            <w:vAlign w:val="center"/>
          </w:tcPr>
          <w:p w14:paraId="049EB9FD">
            <w:pPr>
              <w:keepLines/>
              <w:widowControl/>
              <w:spacing w:after="0" w:line="240" w:lineRule="auto"/>
              <w:jc w:val="center"/>
            </w:pPr>
            <w:r>
              <w:rPr>
                <w:rFonts w:ascii="Times New Roman" w:hAnsi="Times New Roman"/>
                <w:sz w:val="20"/>
              </w:rPr>
              <w:t>clean</w:t>
            </w:r>
          </w:p>
        </w:tc>
        <w:tc>
          <w:tcPr>
            <w:tcW w:w="3464" w:type="dxa"/>
            <w:tcMar>
              <w:top w:w="45" w:type="dxa"/>
              <w:left w:w="90" w:type="dxa"/>
              <w:bottom w:w="45" w:type="dxa"/>
              <w:right w:w="90" w:type="dxa"/>
            </w:tcMar>
            <w:vAlign w:val="center"/>
          </w:tcPr>
          <w:p w14:paraId="387F4459">
            <w:pPr>
              <w:keepLines/>
              <w:widowControl/>
              <w:spacing w:after="0" w:line="240" w:lineRule="auto"/>
              <w:jc w:val="left"/>
            </w:pPr>
            <w:r>
              <w:rPr>
                <w:rFonts w:ascii="Times New Roman" w:hAnsi="Times New Roman"/>
                <w:sz w:val="20"/>
              </w:rPr>
              <w:t>structural AoI-input control</w:t>
            </w:r>
          </w:p>
        </w:tc>
      </w:tr>
      <w:tr w14:paraId="4A0CF2D7">
        <w:trPr>
          <w:cantSplit/>
          <w:jc w:val="center"/>
        </w:trPr>
        <w:tc>
          <w:tcPr>
            <w:tcW w:w="644" w:type="dxa"/>
            <w:tcMar>
              <w:top w:w="45" w:type="dxa"/>
              <w:left w:w="90" w:type="dxa"/>
              <w:bottom w:w="45" w:type="dxa"/>
              <w:right w:w="90" w:type="dxa"/>
            </w:tcMar>
            <w:vAlign w:val="center"/>
          </w:tcPr>
          <w:p w14:paraId="5689B5C9">
            <w:pPr>
              <w:keepLines/>
              <w:widowControl/>
              <w:spacing w:after="0" w:line="240" w:lineRule="auto"/>
              <w:jc w:val="left"/>
            </w:pPr>
            <w:r>
              <w:rPr>
                <w:rFonts w:ascii="Times New Roman" w:hAnsi="Times New Roman"/>
                <w:sz w:val="20"/>
              </w:rPr>
              <w:t>H5</w:t>
            </w:r>
          </w:p>
        </w:tc>
        <w:tc>
          <w:tcPr>
            <w:tcW w:w="2174" w:type="dxa"/>
            <w:tcMar>
              <w:top w:w="45" w:type="dxa"/>
              <w:left w:w="90" w:type="dxa"/>
              <w:bottom w:w="45" w:type="dxa"/>
              <w:right w:w="90" w:type="dxa"/>
            </w:tcMar>
            <w:vAlign w:val="center"/>
          </w:tcPr>
          <w:p w14:paraId="0E6E2EFD">
            <w:pPr>
              <w:keepLines/>
              <w:widowControl/>
              <w:spacing w:after="0" w:line="240" w:lineRule="auto"/>
              <w:jc w:val="center"/>
            </w:pPr>
            <w:r>
              <w:rPr>
                <w:rFonts w:ascii="Times New Roman" w:hAnsi="Times New Roman"/>
                <w:sz w:val="20"/>
              </w:rPr>
              <w:t>GAT-MAPPO</w:t>
            </w:r>
          </w:p>
        </w:tc>
        <w:tc>
          <w:tcPr>
            <w:tcW w:w="2738" w:type="dxa"/>
            <w:tcMar>
              <w:top w:w="45" w:type="dxa"/>
              <w:left w:w="90" w:type="dxa"/>
              <w:bottom w:w="45" w:type="dxa"/>
              <w:right w:w="90" w:type="dxa"/>
            </w:tcMar>
            <w:vAlign w:val="center"/>
          </w:tcPr>
          <w:p w14:paraId="608C17B3">
            <w:pPr>
              <w:keepLines/>
              <w:widowControl/>
              <w:spacing w:after="0" w:line="240" w:lineRule="auto"/>
              <w:jc w:val="left"/>
            </w:pPr>
            <w:r>
              <w:rPr>
                <w:rFonts w:ascii="Times New Roman" w:hAnsi="Times New Roman"/>
                <w:sz w:val="20"/>
              </w:rPr>
              <w:t>tunnel-triggered 30-second outages</w:t>
            </w:r>
          </w:p>
        </w:tc>
        <w:tc>
          <w:tcPr>
            <w:tcW w:w="3464" w:type="dxa"/>
            <w:tcMar>
              <w:top w:w="45" w:type="dxa"/>
              <w:left w:w="90" w:type="dxa"/>
              <w:bottom w:w="45" w:type="dxa"/>
              <w:right w:w="90" w:type="dxa"/>
            </w:tcMar>
            <w:vAlign w:val="center"/>
          </w:tcPr>
          <w:p w14:paraId="0F8FB7B2">
            <w:pPr>
              <w:keepLines/>
              <w:widowControl/>
              <w:spacing w:after="0" w:line="240" w:lineRule="auto"/>
              <w:jc w:val="left"/>
            </w:pPr>
            <w:r>
              <w:rPr>
                <w:rFonts w:ascii="Times New Roman" w:hAnsi="Times New Roman"/>
                <w:sz w:val="20"/>
              </w:rPr>
              <w:t>degradation-aware training condition</w:t>
            </w:r>
          </w:p>
        </w:tc>
      </w:tr>
    </w:tbl>
    <w:p w14:paraId="5EABD73A">
      <w:pPr>
        <w:widowControl/>
      </w:pPr>
    </w:p>
    <w:p w14:paraId="1DF3745A">
      <w:pPr>
        <w:widowControl/>
      </w:pPr>
      <w:r>
        <w:t>Each condition is trained for 150 epochs with seeds 42, 43, and 44. B2 and B3 produce identical clean-test behaviour because AoI is always zero during clean training and clean evaluation; B3 is useful only when observations can become stale. It should not be described as evidence that AoI has no effect.</w:t>
      </w:r>
    </w:p>
    <w:p w14:paraId="54937489">
      <w:pPr>
        <w:widowControl/>
      </w:pPr>
      <w:r>
        <w:t>Candidate checkpoints are saved every ten epochs. Selection uses three stochastic validation episodes with seed 2026 and mean pickups as the primary criterion; mean reward and earlier epoch break ties. The test split is not read during selection. The selected epochs are:</w:t>
      </w:r>
    </w:p>
    <w:p w14:paraId="7946DEE4">
      <w:pPr>
        <w:pStyle w:val="12"/>
        <w:keepNext/>
      </w:pPr>
      <w:r>
        <w:rPr>
          <w:b/>
        </w:rPr>
        <w:t>Table 3.3: Validation-selected checkpoint epochs</w:t>
      </w:r>
    </w:p>
    <w:tbl>
      <w:tblPr>
        <w:tblStyle w:val="6"/>
        <w:tblW w:w="9020" w:type="dxa"/>
        <w:jc w:val="center"/>
        <w:tblBorders>
          <w:top w:val="single" w:color="7F7F7F" w:sz="8" w:space="0"/>
          <w:left w:val="none" w:color="FFFFFF" w:sz="0" w:space="0"/>
          <w:bottom w:val="single" w:color="7F7F7F" w:sz="8" w:space="0"/>
          <w:right w:val="none" w:color="FFFFFF" w:sz="0" w:space="0"/>
          <w:insideH w:val="single" w:color="D9D9D9" w:sz="4" w:space="0"/>
          <w:insideV w:val="none" w:color="FFFFFF" w:sz="0" w:space="0"/>
        </w:tblBorders>
        <w:tblLayout w:type="fixed"/>
        <w:tblCellMar>
          <w:top w:w="0" w:type="dxa"/>
          <w:left w:w="108" w:type="dxa"/>
          <w:bottom w:w="0" w:type="dxa"/>
          <w:right w:w="108" w:type="dxa"/>
        </w:tblCellMar>
      </w:tblPr>
      <w:tblGrid>
        <w:gridCol w:w="2255"/>
        <w:gridCol w:w="2255"/>
        <w:gridCol w:w="2255"/>
        <w:gridCol w:w="2255"/>
      </w:tblGrid>
      <w:tr w14:paraId="631FC394">
        <w:trPr>
          <w:cantSplit/>
          <w:tblHeader/>
          <w:jc w:val="center"/>
        </w:trPr>
        <w:tc>
          <w:tcPr>
            <w:tcW w:w="2255" w:type="dxa"/>
            <w:shd w:val="clear" w:color="auto" w:fill="E7E6E6"/>
            <w:tcMar>
              <w:top w:w="45" w:type="dxa"/>
              <w:left w:w="90" w:type="dxa"/>
              <w:bottom w:w="45" w:type="dxa"/>
              <w:right w:w="90" w:type="dxa"/>
            </w:tcMar>
            <w:vAlign w:val="center"/>
          </w:tcPr>
          <w:p w14:paraId="279C9F6B">
            <w:pPr>
              <w:keepLines/>
              <w:widowControl/>
              <w:spacing w:after="0" w:line="240" w:lineRule="auto"/>
              <w:jc w:val="left"/>
            </w:pPr>
            <w:r>
              <w:rPr>
                <w:rFonts w:ascii="Times New Roman" w:hAnsi="Times New Roman"/>
                <w:b/>
                <w:sz w:val="20"/>
              </w:rPr>
              <w:t>Model</w:t>
            </w:r>
          </w:p>
        </w:tc>
        <w:tc>
          <w:tcPr>
            <w:tcW w:w="2255" w:type="dxa"/>
            <w:shd w:val="clear" w:color="auto" w:fill="E7E6E6"/>
            <w:tcMar>
              <w:top w:w="45" w:type="dxa"/>
              <w:left w:w="90" w:type="dxa"/>
              <w:bottom w:w="45" w:type="dxa"/>
              <w:right w:w="90" w:type="dxa"/>
            </w:tcMar>
            <w:vAlign w:val="center"/>
          </w:tcPr>
          <w:p w14:paraId="516518E7">
            <w:pPr>
              <w:keepLines/>
              <w:widowControl/>
              <w:spacing w:after="0" w:line="240" w:lineRule="auto"/>
              <w:jc w:val="center"/>
            </w:pPr>
            <w:r>
              <w:rPr>
                <w:rFonts w:ascii="Times New Roman" w:hAnsi="Times New Roman"/>
                <w:b/>
                <w:sz w:val="20"/>
              </w:rPr>
              <w:t>seed 42</w:t>
            </w:r>
          </w:p>
        </w:tc>
        <w:tc>
          <w:tcPr>
            <w:tcW w:w="2255" w:type="dxa"/>
            <w:shd w:val="clear" w:color="auto" w:fill="E7E6E6"/>
            <w:tcMar>
              <w:top w:w="45" w:type="dxa"/>
              <w:left w:w="90" w:type="dxa"/>
              <w:bottom w:w="45" w:type="dxa"/>
              <w:right w:w="90" w:type="dxa"/>
            </w:tcMar>
            <w:vAlign w:val="center"/>
          </w:tcPr>
          <w:p w14:paraId="111AC045">
            <w:pPr>
              <w:keepLines/>
              <w:widowControl/>
              <w:spacing w:after="0" w:line="240" w:lineRule="auto"/>
              <w:jc w:val="center"/>
            </w:pPr>
            <w:r>
              <w:rPr>
                <w:rFonts w:ascii="Times New Roman" w:hAnsi="Times New Roman"/>
                <w:b/>
                <w:sz w:val="20"/>
              </w:rPr>
              <w:t>seed 43</w:t>
            </w:r>
          </w:p>
        </w:tc>
        <w:tc>
          <w:tcPr>
            <w:tcW w:w="2255" w:type="dxa"/>
            <w:shd w:val="clear" w:color="auto" w:fill="E7E6E6"/>
            <w:tcMar>
              <w:top w:w="45" w:type="dxa"/>
              <w:left w:w="90" w:type="dxa"/>
              <w:bottom w:w="45" w:type="dxa"/>
              <w:right w:w="90" w:type="dxa"/>
            </w:tcMar>
            <w:vAlign w:val="center"/>
          </w:tcPr>
          <w:p w14:paraId="5923D2B3">
            <w:pPr>
              <w:keepLines/>
              <w:widowControl/>
              <w:spacing w:after="0" w:line="240" w:lineRule="auto"/>
              <w:jc w:val="center"/>
            </w:pPr>
            <w:r>
              <w:rPr>
                <w:rFonts w:ascii="Times New Roman" w:hAnsi="Times New Roman"/>
                <w:b/>
                <w:sz w:val="20"/>
              </w:rPr>
              <w:t>seed 44</w:t>
            </w:r>
          </w:p>
        </w:tc>
      </w:tr>
      <w:tr w14:paraId="1551165E">
        <w:trPr>
          <w:cantSplit/>
          <w:jc w:val="center"/>
        </w:trPr>
        <w:tc>
          <w:tcPr>
            <w:tcW w:w="2255" w:type="dxa"/>
            <w:tcMar>
              <w:top w:w="45" w:type="dxa"/>
              <w:left w:w="90" w:type="dxa"/>
              <w:bottom w:w="45" w:type="dxa"/>
              <w:right w:w="90" w:type="dxa"/>
            </w:tcMar>
            <w:vAlign w:val="center"/>
          </w:tcPr>
          <w:p w14:paraId="03A6E684">
            <w:pPr>
              <w:keepLines/>
              <w:widowControl/>
              <w:spacing w:after="0" w:line="240" w:lineRule="auto"/>
              <w:jc w:val="left"/>
            </w:pPr>
            <w:r>
              <w:rPr>
                <w:rFonts w:ascii="Times New Roman" w:hAnsi="Times New Roman"/>
                <w:sz w:val="20"/>
              </w:rPr>
              <w:t>B1</w:t>
            </w:r>
          </w:p>
        </w:tc>
        <w:tc>
          <w:tcPr>
            <w:tcW w:w="2255" w:type="dxa"/>
            <w:tcMar>
              <w:top w:w="45" w:type="dxa"/>
              <w:left w:w="90" w:type="dxa"/>
              <w:bottom w:w="45" w:type="dxa"/>
              <w:right w:w="90" w:type="dxa"/>
            </w:tcMar>
            <w:vAlign w:val="center"/>
          </w:tcPr>
          <w:p w14:paraId="761918B5">
            <w:pPr>
              <w:keepLines/>
              <w:widowControl/>
              <w:spacing w:after="0" w:line="240" w:lineRule="auto"/>
              <w:jc w:val="center"/>
            </w:pPr>
            <w:r>
              <w:rPr>
                <w:rFonts w:ascii="Times New Roman" w:hAnsi="Times New Roman"/>
                <w:sz w:val="20"/>
              </w:rPr>
              <w:t>50</w:t>
            </w:r>
          </w:p>
        </w:tc>
        <w:tc>
          <w:tcPr>
            <w:tcW w:w="2255" w:type="dxa"/>
            <w:tcMar>
              <w:top w:w="45" w:type="dxa"/>
              <w:left w:w="90" w:type="dxa"/>
              <w:bottom w:w="45" w:type="dxa"/>
              <w:right w:w="90" w:type="dxa"/>
            </w:tcMar>
            <w:vAlign w:val="center"/>
          </w:tcPr>
          <w:p w14:paraId="2D073FA4">
            <w:pPr>
              <w:keepLines/>
              <w:widowControl/>
              <w:spacing w:after="0" w:line="240" w:lineRule="auto"/>
              <w:jc w:val="center"/>
            </w:pPr>
            <w:r>
              <w:rPr>
                <w:rFonts w:ascii="Times New Roman" w:hAnsi="Times New Roman"/>
                <w:sz w:val="20"/>
              </w:rPr>
              <w:t>30</w:t>
            </w:r>
          </w:p>
        </w:tc>
        <w:tc>
          <w:tcPr>
            <w:tcW w:w="2255" w:type="dxa"/>
            <w:tcMar>
              <w:top w:w="45" w:type="dxa"/>
              <w:left w:w="90" w:type="dxa"/>
              <w:bottom w:w="45" w:type="dxa"/>
              <w:right w:w="90" w:type="dxa"/>
            </w:tcMar>
            <w:vAlign w:val="center"/>
          </w:tcPr>
          <w:p w14:paraId="15D47F1C">
            <w:pPr>
              <w:keepLines/>
              <w:widowControl/>
              <w:spacing w:after="0" w:line="240" w:lineRule="auto"/>
              <w:jc w:val="center"/>
            </w:pPr>
            <w:r>
              <w:rPr>
                <w:rFonts w:ascii="Times New Roman" w:hAnsi="Times New Roman"/>
                <w:sz w:val="20"/>
              </w:rPr>
              <w:t>40</w:t>
            </w:r>
          </w:p>
        </w:tc>
      </w:tr>
      <w:tr w14:paraId="72647A4A">
        <w:trPr>
          <w:cantSplit/>
          <w:jc w:val="center"/>
        </w:trPr>
        <w:tc>
          <w:tcPr>
            <w:tcW w:w="2255" w:type="dxa"/>
            <w:tcMar>
              <w:top w:w="45" w:type="dxa"/>
              <w:left w:w="90" w:type="dxa"/>
              <w:bottom w:w="45" w:type="dxa"/>
              <w:right w:w="90" w:type="dxa"/>
            </w:tcMar>
            <w:vAlign w:val="center"/>
          </w:tcPr>
          <w:p w14:paraId="7E7AE87D">
            <w:pPr>
              <w:keepLines/>
              <w:widowControl/>
              <w:spacing w:after="0" w:line="240" w:lineRule="auto"/>
              <w:jc w:val="left"/>
            </w:pPr>
            <w:r>
              <w:rPr>
                <w:rFonts w:ascii="Times New Roman" w:hAnsi="Times New Roman"/>
                <w:sz w:val="20"/>
              </w:rPr>
              <w:t>B2</w:t>
            </w:r>
          </w:p>
        </w:tc>
        <w:tc>
          <w:tcPr>
            <w:tcW w:w="2255" w:type="dxa"/>
            <w:tcMar>
              <w:top w:w="45" w:type="dxa"/>
              <w:left w:w="90" w:type="dxa"/>
              <w:bottom w:w="45" w:type="dxa"/>
              <w:right w:w="90" w:type="dxa"/>
            </w:tcMar>
            <w:vAlign w:val="center"/>
          </w:tcPr>
          <w:p w14:paraId="54A560FE">
            <w:pPr>
              <w:keepLines/>
              <w:widowControl/>
              <w:spacing w:after="0" w:line="240" w:lineRule="auto"/>
              <w:jc w:val="center"/>
            </w:pPr>
            <w:r>
              <w:rPr>
                <w:rFonts w:ascii="Times New Roman" w:hAnsi="Times New Roman"/>
                <w:sz w:val="20"/>
              </w:rPr>
              <w:t>10</w:t>
            </w:r>
          </w:p>
        </w:tc>
        <w:tc>
          <w:tcPr>
            <w:tcW w:w="2255" w:type="dxa"/>
            <w:tcMar>
              <w:top w:w="45" w:type="dxa"/>
              <w:left w:w="90" w:type="dxa"/>
              <w:bottom w:w="45" w:type="dxa"/>
              <w:right w:w="90" w:type="dxa"/>
            </w:tcMar>
            <w:vAlign w:val="center"/>
          </w:tcPr>
          <w:p w14:paraId="7C620897">
            <w:pPr>
              <w:keepLines/>
              <w:widowControl/>
              <w:spacing w:after="0" w:line="240" w:lineRule="auto"/>
              <w:jc w:val="center"/>
            </w:pPr>
            <w:r>
              <w:rPr>
                <w:rFonts w:ascii="Times New Roman" w:hAnsi="Times New Roman"/>
                <w:sz w:val="20"/>
              </w:rPr>
              <w:t>70</w:t>
            </w:r>
          </w:p>
        </w:tc>
        <w:tc>
          <w:tcPr>
            <w:tcW w:w="2255" w:type="dxa"/>
            <w:tcMar>
              <w:top w:w="45" w:type="dxa"/>
              <w:left w:w="90" w:type="dxa"/>
              <w:bottom w:w="45" w:type="dxa"/>
              <w:right w:w="90" w:type="dxa"/>
            </w:tcMar>
            <w:vAlign w:val="center"/>
          </w:tcPr>
          <w:p w14:paraId="2DF44278">
            <w:pPr>
              <w:keepLines/>
              <w:widowControl/>
              <w:spacing w:after="0" w:line="240" w:lineRule="auto"/>
              <w:jc w:val="center"/>
            </w:pPr>
            <w:r>
              <w:rPr>
                <w:rFonts w:ascii="Times New Roman" w:hAnsi="Times New Roman"/>
                <w:sz w:val="20"/>
              </w:rPr>
              <w:t>10</w:t>
            </w:r>
          </w:p>
        </w:tc>
      </w:tr>
      <w:tr w14:paraId="727AFC65">
        <w:trPr>
          <w:cantSplit/>
          <w:jc w:val="center"/>
        </w:trPr>
        <w:tc>
          <w:tcPr>
            <w:tcW w:w="2255" w:type="dxa"/>
            <w:tcMar>
              <w:top w:w="45" w:type="dxa"/>
              <w:left w:w="90" w:type="dxa"/>
              <w:bottom w:w="45" w:type="dxa"/>
              <w:right w:w="90" w:type="dxa"/>
            </w:tcMar>
            <w:vAlign w:val="center"/>
          </w:tcPr>
          <w:p w14:paraId="2FF38950">
            <w:pPr>
              <w:keepLines/>
              <w:widowControl/>
              <w:spacing w:after="0" w:line="240" w:lineRule="auto"/>
              <w:jc w:val="left"/>
            </w:pPr>
            <w:r>
              <w:rPr>
                <w:rFonts w:ascii="Times New Roman" w:hAnsi="Times New Roman"/>
                <w:sz w:val="20"/>
              </w:rPr>
              <w:t>B3</w:t>
            </w:r>
          </w:p>
        </w:tc>
        <w:tc>
          <w:tcPr>
            <w:tcW w:w="2255" w:type="dxa"/>
            <w:tcMar>
              <w:top w:w="45" w:type="dxa"/>
              <w:left w:w="90" w:type="dxa"/>
              <w:bottom w:w="45" w:type="dxa"/>
              <w:right w:w="90" w:type="dxa"/>
            </w:tcMar>
            <w:vAlign w:val="center"/>
          </w:tcPr>
          <w:p w14:paraId="15B0811F">
            <w:pPr>
              <w:keepLines/>
              <w:widowControl/>
              <w:spacing w:after="0" w:line="240" w:lineRule="auto"/>
              <w:jc w:val="center"/>
            </w:pPr>
            <w:r>
              <w:rPr>
                <w:rFonts w:ascii="Times New Roman" w:hAnsi="Times New Roman"/>
                <w:sz w:val="20"/>
              </w:rPr>
              <w:t>10</w:t>
            </w:r>
          </w:p>
        </w:tc>
        <w:tc>
          <w:tcPr>
            <w:tcW w:w="2255" w:type="dxa"/>
            <w:tcMar>
              <w:top w:w="45" w:type="dxa"/>
              <w:left w:w="90" w:type="dxa"/>
              <w:bottom w:w="45" w:type="dxa"/>
              <w:right w:w="90" w:type="dxa"/>
            </w:tcMar>
            <w:vAlign w:val="center"/>
          </w:tcPr>
          <w:p w14:paraId="5A220017">
            <w:pPr>
              <w:keepLines/>
              <w:widowControl/>
              <w:spacing w:after="0" w:line="240" w:lineRule="auto"/>
              <w:jc w:val="center"/>
            </w:pPr>
            <w:r>
              <w:rPr>
                <w:rFonts w:ascii="Times New Roman" w:hAnsi="Times New Roman"/>
                <w:sz w:val="20"/>
              </w:rPr>
              <w:t>70</w:t>
            </w:r>
          </w:p>
        </w:tc>
        <w:tc>
          <w:tcPr>
            <w:tcW w:w="2255" w:type="dxa"/>
            <w:tcMar>
              <w:top w:w="45" w:type="dxa"/>
              <w:left w:w="90" w:type="dxa"/>
              <w:bottom w:w="45" w:type="dxa"/>
              <w:right w:w="90" w:type="dxa"/>
            </w:tcMar>
            <w:vAlign w:val="center"/>
          </w:tcPr>
          <w:p w14:paraId="7A1446CF">
            <w:pPr>
              <w:keepLines/>
              <w:widowControl/>
              <w:spacing w:after="0" w:line="240" w:lineRule="auto"/>
              <w:jc w:val="center"/>
            </w:pPr>
            <w:r>
              <w:rPr>
                <w:rFonts w:ascii="Times New Roman" w:hAnsi="Times New Roman"/>
                <w:sz w:val="20"/>
              </w:rPr>
              <w:t>10</w:t>
            </w:r>
          </w:p>
        </w:tc>
      </w:tr>
      <w:tr w14:paraId="694BAE7A">
        <w:trPr>
          <w:cantSplit/>
          <w:jc w:val="center"/>
        </w:trPr>
        <w:tc>
          <w:tcPr>
            <w:tcW w:w="2255" w:type="dxa"/>
            <w:tcMar>
              <w:top w:w="45" w:type="dxa"/>
              <w:left w:w="90" w:type="dxa"/>
              <w:bottom w:w="45" w:type="dxa"/>
              <w:right w:w="90" w:type="dxa"/>
            </w:tcMar>
            <w:vAlign w:val="center"/>
          </w:tcPr>
          <w:p w14:paraId="00B4678A">
            <w:pPr>
              <w:keepLines/>
              <w:widowControl/>
              <w:spacing w:after="0" w:line="240" w:lineRule="auto"/>
              <w:jc w:val="left"/>
            </w:pPr>
            <w:r>
              <w:rPr>
                <w:rFonts w:ascii="Times New Roman" w:hAnsi="Times New Roman"/>
                <w:sz w:val="20"/>
              </w:rPr>
              <w:t>H5</w:t>
            </w:r>
          </w:p>
        </w:tc>
        <w:tc>
          <w:tcPr>
            <w:tcW w:w="2255" w:type="dxa"/>
            <w:tcMar>
              <w:top w:w="45" w:type="dxa"/>
              <w:left w:w="90" w:type="dxa"/>
              <w:bottom w:w="45" w:type="dxa"/>
              <w:right w:w="90" w:type="dxa"/>
            </w:tcMar>
            <w:vAlign w:val="center"/>
          </w:tcPr>
          <w:p w14:paraId="02731241">
            <w:pPr>
              <w:keepLines/>
              <w:widowControl/>
              <w:spacing w:after="0" w:line="240" w:lineRule="auto"/>
              <w:jc w:val="center"/>
            </w:pPr>
            <w:r>
              <w:rPr>
                <w:rFonts w:ascii="Times New Roman" w:hAnsi="Times New Roman"/>
                <w:sz w:val="20"/>
              </w:rPr>
              <w:t>10</w:t>
            </w:r>
          </w:p>
        </w:tc>
        <w:tc>
          <w:tcPr>
            <w:tcW w:w="2255" w:type="dxa"/>
            <w:tcMar>
              <w:top w:w="45" w:type="dxa"/>
              <w:left w:w="90" w:type="dxa"/>
              <w:bottom w:w="45" w:type="dxa"/>
              <w:right w:w="90" w:type="dxa"/>
            </w:tcMar>
            <w:vAlign w:val="center"/>
          </w:tcPr>
          <w:p w14:paraId="44E3A444">
            <w:pPr>
              <w:keepLines/>
              <w:widowControl/>
              <w:spacing w:after="0" w:line="240" w:lineRule="auto"/>
              <w:jc w:val="center"/>
            </w:pPr>
            <w:r>
              <w:rPr>
                <w:rFonts w:ascii="Times New Roman" w:hAnsi="Times New Roman"/>
                <w:sz w:val="20"/>
              </w:rPr>
              <w:t>90</w:t>
            </w:r>
          </w:p>
        </w:tc>
        <w:tc>
          <w:tcPr>
            <w:tcW w:w="2255" w:type="dxa"/>
            <w:tcMar>
              <w:top w:w="45" w:type="dxa"/>
              <w:left w:w="90" w:type="dxa"/>
              <w:bottom w:w="45" w:type="dxa"/>
              <w:right w:w="90" w:type="dxa"/>
            </w:tcMar>
            <w:vAlign w:val="center"/>
          </w:tcPr>
          <w:p w14:paraId="1BB71663">
            <w:pPr>
              <w:keepLines/>
              <w:widowControl/>
              <w:spacing w:after="0" w:line="240" w:lineRule="auto"/>
              <w:jc w:val="center"/>
            </w:pPr>
            <w:r>
              <w:rPr>
                <w:rFonts w:ascii="Times New Roman" w:hAnsi="Times New Roman"/>
                <w:sz w:val="20"/>
              </w:rPr>
              <w:t>10</w:t>
            </w:r>
          </w:p>
        </w:tc>
      </w:tr>
    </w:tbl>
    <w:p w14:paraId="0B5EA24F">
      <w:pPr>
        <w:keepNext/>
        <w:keepLines/>
        <w:spacing w:before="120" w:after="40"/>
        <w:jc w:val="center"/>
      </w:pPr>
      <w:r>
        <w:drawing>
          <wp:inline distT="0" distB="0" distL="114300" distR="114300">
            <wp:extent cx="5623560" cy="2903855"/>
            <wp:effectExtent l="0" t="0" r="15240" b="17145"/>
            <wp:docPr id="4" name="Picture 4" descr="Model conditions and train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odel conditions and training process"/>
                    <pic:cNvPicPr>
                      <a:picLocks noChangeAspect="1"/>
                    </pic:cNvPicPr>
                  </pic:nvPicPr>
                  <pic:blipFill>
                    <a:blip r:embed="rId14"/>
                    <a:stretch>
                      <a:fillRect/>
                    </a:stretch>
                  </pic:blipFill>
                  <pic:spPr>
                    <a:xfrm>
                      <a:off x="0" y="0"/>
                      <a:ext cx="5623560" cy="2904119"/>
                    </a:xfrm>
                    <a:prstGeom prst="rect">
                      <a:avLst/>
                    </a:prstGeom>
                  </pic:spPr>
                </pic:pic>
              </a:graphicData>
            </a:graphic>
          </wp:inline>
        </w:drawing>
      </w:r>
    </w:p>
    <w:p w14:paraId="36BB257A">
      <w:pPr>
        <w:pStyle w:val="12"/>
        <w:keepLines/>
      </w:pPr>
      <w:r>
        <w:t>Figure 3.3. All learned conditions use the same training, validation and held-out evaluation protocol. Only the declared architecture, AoI input or training telemetry changes.</w:t>
      </w:r>
    </w:p>
    <w:p w14:paraId="10882909">
      <w:pPr>
        <w:pStyle w:val="3"/>
        <w:keepNext/>
      </w:pPr>
      <w:r>
        <w:t>3.5 Telemetry degradation</w:t>
      </w:r>
    </w:p>
    <w:p w14:paraId="032D040B">
      <w:pPr>
        <w:widowControl/>
      </w:pPr>
      <w:r>
        <w:t>The trigger and the degradation location are separate parts of the design.</w:t>
      </w:r>
    </w:p>
    <w:p w14:paraId="3F4216A9">
      <w:pPr>
        <w:pStyle w:val="14"/>
        <w:keepLines/>
      </w:pPr>
      <w:r>
        <w:rPr>
          <w:b/>
          <w:i w:val="0"/>
        </w:rPr>
        <w:t>Trigger:</w:t>
      </w:r>
      <w:r>
        <w:t xml:space="preserve"> when a taxi enters a tunnel edge, the event starts one outage.</w:t>
      </w:r>
    </w:p>
    <w:p w14:paraId="52078EE7">
      <w:pPr>
        <w:pStyle w:val="14"/>
        <w:keepLines/>
      </w:pPr>
      <w:r>
        <w:rPr>
          <w:b/>
          <w:i w:val="0"/>
        </w:rPr>
        <w:t>Observation-layer outage:</w:t>
      </w:r>
      <w:r>
        <w:t xml:space="preserve"> for the declared duration, the policy sees the</w:t>
      </w:r>
    </w:p>
    <w:p w14:paraId="44DD8A93">
      <w:pPr>
        <w:widowControl/>
      </w:pPr>
      <w:r>
        <w:t>taxi's last valid position and speed. SUMO continues to simulate the true state.</w:t>
      </w:r>
    </w:p>
    <w:p w14:paraId="0DCF831D">
      <w:pPr>
        <w:pStyle w:val="14"/>
        <w:keepLines/>
      </w:pPr>
      <w:r>
        <w:rPr>
          <w:b/>
          <w:i w:val="0"/>
        </w:rPr>
        <w:t>Recovery:</w:t>
      </w:r>
      <w:r>
        <w:t xml:space="preserve"> after the fixed window expires, a current reading is accepted.</w:t>
      </w:r>
    </w:p>
    <w:p w14:paraId="6A4720A8">
      <w:pPr>
        <w:widowControl/>
      </w:pPr>
      <w:r>
        <w:t>A taxi must leave and enter a tunnel again before another tunnel-entry event can trigger.</w:t>
      </w:r>
    </w:p>
    <w:p w14:paraId="65140A37">
      <w:pPr>
        <w:widowControl/>
      </w:pPr>
      <w:r>
        <w:t>The fixed outage durations are 10, 20, 30, and 60 seconds. They are easy to monitor and compare, and they create increasing empirical degradation rates. They are not treated as direct causal doses of explanation faithfulness.</w:t>
      </w:r>
    </w:p>
    <w:p w14:paraId="2522384A">
      <w:pPr>
        <w:widowControl/>
      </w:pPr>
      <w:r>
        <w:t>AoI is calculated as the current simulation time minus the time of the last valid update. It is included in the GAT observation unless the B3 control is used. WAMSN uses normalised AoI as a staleness weight. For this reason, an increase in WAMSN with outage duration partly verifies that the manipulation created longer stale exposure; it is not by itself proof that AoI changed DEF.</w:t>
      </w:r>
    </w:p>
    <w:p w14:paraId="3836A583">
      <w:pPr>
        <w:keepNext/>
        <w:keepLines/>
        <w:spacing w:before="120" w:after="40"/>
        <w:jc w:val="center"/>
      </w:pPr>
      <w:r>
        <w:drawing>
          <wp:inline distT="0" distB="0" distL="114300" distR="114300">
            <wp:extent cx="5623560" cy="2903855"/>
            <wp:effectExtent l="0" t="0" r="15240" b="17145"/>
            <wp:docPr id="5" name="Picture 5" descr="Telemetry degradation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metry degradation data flow"/>
                    <pic:cNvPicPr>
                      <a:picLocks noChangeAspect="1"/>
                    </pic:cNvPicPr>
                  </pic:nvPicPr>
                  <pic:blipFill>
                    <a:blip r:embed="rId15"/>
                    <a:stretch>
                      <a:fillRect/>
                    </a:stretch>
                  </pic:blipFill>
                  <pic:spPr>
                    <a:xfrm>
                      <a:off x="0" y="0"/>
                      <a:ext cx="5623560" cy="2904119"/>
                    </a:xfrm>
                    <a:prstGeom prst="rect">
                      <a:avLst/>
                    </a:prstGeom>
                  </pic:spPr>
                </pic:pic>
              </a:graphicData>
            </a:graphic>
          </wp:inline>
        </w:drawing>
      </w:r>
    </w:p>
    <w:p w14:paraId="7195D5FD">
      <w:pPr>
        <w:pStyle w:val="12"/>
        <w:keepLines/>
      </w:pPr>
      <w:r>
        <w:t>Figure 3.4. A tunnel-entry transition triggers one fixed observation-layer outage. Remaining inside the tunnel does not retrigger it, and SUMO ground truth remains unchanged.</w:t>
      </w:r>
    </w:p>
    <w:p w14:paraId="454A3931">
      <w:pPr>
        <w:pStyle w:val="3"/>
        <w:keepNext/>
      </w:pPr>
      <w:r>
        <w:t>3.6 Explanation measures</w:t>
      </w:r>
    </w:p>
    <w:p w14:paraId="19AECE7D">
      <w:pPr>
        <w:pStyle w:val="4"/>
        <w:keepNext/>
      </w:pPr>
      <w:r>
        <w:t>3.6.1 Decision-level explanation faithfulness</w:t>
      </w:r>
    </w:p>
    <w:p w14:paraId="24E06F7B">
      <w:pPr>
        <w:widowControl/>
      </w:pPr>
      <w:r>
        <w:t>DEF asks whether the nodes ranked highly by an explanation affect the chosen action more than a size- and type-matched random set. For top-k nodes R_k, comprehensiveness measures the output change when those nodes are removed; sufficiency measures the output retained when only those nodes remain. The two gains are compared with five matched random subsets for each k in {1,2,3} and then averaged.</w:t>
      </w:r>
    </w:p>
    <w:p w14:paraId="5DC427D6">
      <w:pPr>
        <w:widowControl/>
      </w:pPr>
      <w:r>
        <w:t>Positive DEF means the explanation is more informative than its random control; zero means no measured advantage. Both probability DEF and an action-protected logit-margin variant are recorded. The final interpretation uses the type-matched baseline described below.</w:t>
      </w:r>
    </w:p>
    <w:p w14:paraId="495F4678">
      <w:pPr>
        <w:pStyle w:val="4"/>
        <w:keepNext/>
      </w:pPr>
      <w:r>
        <w:t>3.6.2 Stale-node attention</w:t>
      </w:r>
    </w:p>
    <w:p w14:paraId="0F542508">
      <w:pPr>
        <w:widowControl/>
      </w:pPr>
      <w:r>
        <w:t>WAMSN measures attention attached to stale vehicle information:</w:t>
      </w:r>
    </w:p>
    <w:p w14:paraId="10E435B7">
      <w:pPr>
        <w:keepLines/>
        <w:ind w:left="504" w:right="504"/>
        <w:jc w:val="left"/>
      </w:pPr>
      <w:r>
        <w:rPr>
          <w:rFonts w:ascii="Courier New" w:hAnsi="Courier New"/>
          <w:sz w:val="18"/>
        </w:rPr>
        <w:t>WAMSN = sum(attention_i * normalised_AoI_i) / sum(attention_i)</w:t>
      </w:r>
    </w:p>
    <w:p w14:paraId="4DE62442">
      <w:pPr>
        <w:widowControl/>
      </w:pPr>
      <w:r>
        <w:t>Only self and peer-taxi nodes contribute because request nodes do not carry vehicle telemetry. The analysis reports WAMSN when at least one stale vehicle node is visible, together with stale-node attention share, stale-node mass, and whether a stale node enters the top three.</w:t>
      </w:r>
    </w:p>
    <w:p w14:paraId="0ECFA843">
      <w:pPr>
        <w:widowControl/>
      </w:pPr>
      <w:r>
        <w:t>The paired stale-attention shift compares the degraded observation with its exact clean twin at the same simulation step. Positive values mean the degraded observation assigns more attention mass to nodes marked stale; negative values mean it assigns less.</w:t>
      </w:r>
    </w:p>
    <w:p w14:paraId="45DDC012">
      <w:pPr>
        <w:pStyle w:val="3"/>
        <w:keepNext/>
      </w:pPr>
      <w:r>
        <w:t>3.7 Construct-validity audit</w:t>
      </w:r>
    </w:p>
    <w:p w14:paraId="7AB618D6">
      <w:pPr>
        <w:widowControl/>
      </w:pPr>
      <w:r>
        <w:t>The audit supports the primary research problem by checking whether DEF is a valid comparison in this action-candidate graph.</w:t>
      </w:r>
    </w:p>
    <w:p w14:paraId="3DD119E2">
      <w:pPr>
        <w:widowControl/>
      </w:pPr>
      <w:r>
        <w:t>A uniform random occlusion can select passenger requests more often than the attention top-k. Removing such a request changes both the observation and the available action set. A nearby-taxi occlusion changes only information. The result can therefore reflect different node-type composition rather than explanation quality.</w:t>
      </w:r>
    </w:p>
    <w:p w14:paraId="0F1E0922">
      <w:pPr>
        <w:widowControl/>
      </w:pPr>
      <w:r>
        <w:t>The corrected protocol uses three controls:</w:t>
      </w:r>
    </w:p>
    <w:p w14:paraId="4288203E">
      <w:pPr>
        <w:pStyle w:val="13"/>
        <w:keepLines/>
      </w:pPr>
      <w:r>
        <w:rPr>
          <w:b/>
          <w:i w:val="0"/>
        </w:rPr>
        <w:t>type matching:</w:t>
      </w:r>
      <w:r>
        <w:t xml:space="preserve"> random subsets contain the same mixture of taxi and</w:t>
      </w:r>
    </w:p>
    <w:p w14:paraId="2DBC0118">
      <w:pPr>
        <w:widowControl/>
      </w:pPr>
      <w:r>
        <w:t>request nodes as the explanation subset;</w:t>
      </w:r>
    </w:p>
    <w:p w14:paraId="0564E02C">
      <w:pPr>
        <w:pStyle w:val="13"/>
        <w:keepLines/>
      </w:pPr>
      <w:r>
        <w:rPr>
          <w:b/>
          <w:i w:val="0"/>
        </w:rPr>
        <w:t>chosen-action protection:</w:t>
      </w:r>
      <w:r>
        <w:t xml:space="preserve"> the request associated with the selected</w:t>
      </w:r>
    </w:p>
    <w:p w14:paraId="3BC3A34C">
      <w:pPr>
        <w:widowControl/>
      </w:pPr>
      <w:r>
        <w:t>action is not deleted in the action-protected variant;</w:t>
      </w:r>
    </w:p>
    <w:p w14:paraId="31E955A7">
      <w:pPr>
        <w:pStyle w:val="13"/>
        <w:keepLines/>
      </w:pPr>
      <w:r>
        <w:rPr>
          <w:b/>
          <w:i w:val="0"/>
        </w:rPr>
        <w:t>clamp logging:</w:t>
      </w:r>
      <w:r>
        <w:t xml:space="preserve"> counterfactual action-margin clamps are counted so that</w:t>
      </w:r>
    </w:p>
    <w:p w14:paraId="40277714">
      <w:pPr>
        <w:widowControl/>
      </w:pPr>
      <w:r>
        <w:t>action deletion can be detected.</w:t>
      </w:r>
    </w:p>
    <w:p w14:paraId="5535E42D">
      <w:pPr>
        <w:keepNext/>
        <w:keepLines/>
        <w:spacing w:before="120" w:after="40"/>
        <w:jc w:val="center"/>
      </w:pPr>
      <w:r>
        <w:drawing>
          <wp:inline distT="0" distB="0" distL="114300" distR="114300">
            <wp:extent cx="5623560" cy="2769870"/>
            <wp:effectExtent l="0" t="0" r="15240" b="24130"/>
            <wp:docPr id="6" name="Picture 6" descr="Construct-validity controls for action-linked request n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onstruct-validity controls for action-linked request nodes"/>
                    <pic:cNvPicPr>
                      <a:picLocks noChangeAspect="1"/>
                    </pic:cNvPicPr>
                  </pic:nvPicPr>
                  <pic:blipFill>
                    <a:blip r:embed="rId16"/>
                    <a:stretch>
                      <a:fillRect/>
                    </a:stretch>
                  </pic:blipFill>
                  <pic:spPr>
                    <a:xfrm>
                      <a:off x="0" y="0"/>
                      <a:ext cx="5623560" cy="2770177"/>
                    </a:xfrm>
                    <a:prstGeom prst="rect">
                      <a:avLst/>
                    </a:prstGeom>
                  </pic:spPr>
                </pic:pic>
              </a:graphicData>
            </a:graphic>
          </wp:inline>
        </w:drawing>
      </w:r>
    </w:p>
    <w:p w14:paraId="7F98E117">
      <w:pPr>
        <w:pStyle w:val="12"/>
        <w:keepLines/>
      </w:pPr>
      <w:r>
        <w:t>Figure 3.5. Request-node and peer-taxi occlusions are not equivalent interventions. The v4 protocol therefore matches node types, protects the chosen request-action and records margin clamps.</w:t>
      </w:r>
    </w:p>
    <w:p w14:paraId="10491597">
      <w:pPr>
        <w:widowControl/>
      </w:pPr>
      <w:r>
        <w:t>The earlier uniform-baseline results are retained only as an audit trail. They are not used for the final v4 hypothesis verdicts.</w:t>
      </w:r>
    </w:p>
    <w:p w14:paraId="05723049">
      <w:pPr>
        <w:pStyle w:val="3"/>
        <w:keepNext/>
      </w:pPr>
      <w:r>
        <w:t>3.8 Evaluation matrix</w:t>
      </w:r>
    </w:p>
    <w:p w14:paraId="37146D5D">
      <w:pPr>
        <w:widowControl/>
      </w:pPr>
      <w:r>
        <w:t>B1, B2, B3, and H5 are evaluated under clean telemetry with eight evaluation seeds (42-49) and three episodes per seed. This gives 24 held-out episodes per training seed for performance context.</w:t>
      </w:r>
    </w:p>
    <w:p w14:paraId="23D1C17D">
      <w:pPr>
        <w:widowControl/>
      </w:pPr>
      <w:r>
        <w:t>B2 and H5 also receive the full faithfulness sweep:</w:t>
      </w:r>
    </w:p>
    <w:p w14:paraId="3CB3497F">
      <w:pPr>
        <w:keepLines/>
        <w:ind w:left="504" w:right="504"/>
        <w:jc w:val="left"/>
      </w:pPr>
      <w:r>
        <w:rPr>
          <w:rFonts w:ascii="Courier New" w:hAnsi="Courier New"/>
          <w:sz w:val="18"/>
        </w:rPr>
        <w:t>3 training seeds x 5 conditions x 8 evaluation seeds x 3 episodes</w:t>
      </w:r>
    </w:p>
    <w:p w14:paraId="4C1C5F65">
      <w:pPr>
        <w:widowControl/>
      </w:pPr>
      <w:r>
        <w:t>The five conditions are clean plus four outage durations. Faithfulness is sampled every eight decisions, with raw per-decision records retained. Each sweep must pass preflight checks for expected cells, provenance, type-matched controls, chosen-action exclusion, and empirical degradation differentiation. All six v4 sweeps pass.</w:t>
      </w:r>
    </w:p>
    <w:p w14:paraId="67B66C0E">
      <w:pPr>
        <w:pStyle w:val="3"/>
        <w:keepNext/>
      </w:pPr>
      <w:r>
        <w:t>3.9 Hypotheses and statistics</w:t>
      </w:r>
    </w:p>
    <w:p w14:paraId="354E0A41">
      <w:pPr>
        <w:widowControl/>
      </w:pPr>
      <w:r>
        <w:t>The confirmatory hypotheses are:</w:t>
      </w:r>
    </w:p>
    <w:p w14:paraId="2FE16454">
      <w:pPr>
        <w:pStyle w:val="13"/>
        <w:keepLines/>
      </w:pPr>
      <w:r>
        <w:rPr>
          <w:b/>
          <w:i w:val="0"/>
        </w:rPr>
        <w:t>H1:</w:t>
      </w:r>
      <w:r>
        <w:t xml:space="preserve"> DEF decreases as outage duration increases.</w:t>
      </w:r>
    </w:p>
    <w:p w14:paraId="549855D5">
      <w:pPr>
        <w:pStyle w:val="13"/>
        <w:keepLines/>
      </w:pPr>
      <w:r>
        <w:rPr>
          <w:b/>
          <w:i w:val="0"/>
        </w:rPr>
        <w:t>H2:</w:t>
      </w:r>
      <w:r>
        <w:t xml:space="preserve"> faithfulness declines faster than dispatch performance.</w:t>
      </w:r>
    </w:p>
    <w:p w14:paraId="4A5D4A1A">
      <w:pPr>
        <w:pStyle w:val="13"/>
        <w:keepLines/>
      </w:pPr>
      <w:r>
        <w:rPr>
          <w:b/>
          <w:i w:val="0"/>
        </w:rPr>
        <w:t>H3:</w:t>
      </w:r>
      <w:r>
        <w:t xml:space="preserve"> WAMSN increases as outage duration increases.</w:t>
      </w:r>
    </w:p>
    <w:p w14:paraId="2BCBFAE7">
      <w:pPr>
        <w:pStyle w:val="13"/>
        <w:keepLines/>
      </w:pPr>
      <w:r>
        <w:rPr>
          <w:b/>
          <w:i w:val="0"/>
        </w:rPr>
        <w:t>H4:</w:t>
      </w:r>
      <w:r>
        <w:t xml:space="preserve"> decisions with greater WAMSN have lower DEF within an episode.</w:t>
      </w:r>
    </w:p>
    <w:p w14:paraId="0D6DEE95">
      <w:pPr>
        <w:pStyle w:val="13"/>
        <w:keepLines/>
      </w:pPr>
      <w:r>
        <w:rPr>
          <w:b/>
          <w:i w:val="0"/>
        </w:rPr>
        <w:t>H5:</w:t>
      </w:r>
      <w:r>
        <w:t xml:space="preserve"> degradation-aware training changes or mitigates these relationships.</w:t>
      </w:r>
    </w:p>
    <w:p w14:paraId="1009E1EA">
      <w:pPr>
        <w:widowControl/>
      </w:pPr>
      <w:r>
        <w:t>H1 and H3 use episode-block permutation trend tests and cluster bootstrap confidence intervals. H2 uses paired cell-level sign flips relative to each evaluation seed's clean condition. H4 calculates Spearman correlation within each episode before a sign-flip test. Holm correction is applied to H1-H4 within each trained policy.</w:t>
      </w:r>
    </w:p>
    <w:p w14:paraId="1D88D76F">
      <w:pPr>
        <w:widowControl/>
      </w:pPr>
      <w:r>
        <w:t>Thousands of decisions improve measurement precision but do not replace independent model replication. The final synthesis therefore treats each training seed as one trained-policy replicate. With only three seeds per model, the dissertation reports the range and number of supporting seeds and does not claim a cross-seed population p-value.</w:t>
      </w:r>
    </w:p>
    <w:p w14:paraId="702F3A7B">
      <w:pPr>
        <w:pStyle w:val="3"/>
        <w:keepNext/>
      </w:pPr>
      <w:r>
        <w:t>3.10 Reproducibility</w:t>
      </w:r>
    </w:p>
    <w:p w14:paraId="3724E288">
      <w:pPr>
        <w:widowControl/>
      </w:pPr>
      <w:r>
        <w:t>The experiment runner records the configuration, commands, seeds, checkpoint hashes, source revision, and preflight reports under the local runs/dissertation_v4/ directory. Compact thesis-ready outputs are committed under results/dissertation_v4/: summary.csv, performance_context.csv, and training_seed_synthesis.csv. The last file makes training-seed consistency explicit. Reproduction commands and expected outputs are documented in docs/REPRODUCE_EXPERIMENTS.md.</w:t>
      </w:r>
    </w:p>
    <w:p w14:paraId="1A6C01A3">
      <w:pPr>
        <w:pStyle w:val="2"/>
        <w:keepNext/>
      </w:pPr>
      <w:r>
        <w:t>Chapter 4: Results</w:t>
      </w:r>
    </w:p>
    <w:p w14:paraId="0CE829BB">
      <w:pPr>
        <w:widowControl/>
      </w:pPr>
      <w:r>
        <w:t>All primary numbers in this chapter come from the completed v4 experiment, whose citable outputs are in results/dissertation_v4/. Every B2 and H5 sweep passed the protocol preflight. Results are shown first for each training seed and then summarised across independently trained policies. A per-decision p-value is not used to claim that an effect generalises across training seeds.</w:t>
      </w:r>
    </w:p>
    <w:p w14:paraId="7300391B">
      <w:pPr>
        <w:pStyle w:val="3"/>
        <w:keepNext/>
      </w:pPr>
      <w:r>
        <w:t>4.1 Checkpoint selection and performance context</w:t>
      </w:r>
    </w:p>
    <w:p w14:paraId="6F3CCDC5">
      <w:pPr>
        <w:widowControl/>
      </w:pPr>
      <w:r>
        <w:t>Validation selected different epochs for different training runs. B2 and B3 selected epochs 10, 70, and 10; H5 selected 10, 90, and 10. This variation confirms that a fixed final epoch would not represent the same learning stage across seeds.</w:t>
      </w:r>
    </w:p>
    <w:p w14:paraId="4E03E5D4">
      <w:pPr>
        <w:keepNext/>
        <w:keepLines/>
        <w:spacing w:before="120" w:after="40"/>
        <w:jc w:val="center"/>
      </w:pPr>
      <w:r>
        <w:drawing>
          <wp:inline distT="0" distB="0" distL="114300" distR="114300">
            <wp:extent cx="5623560" cy="4231640"/>
            <wp:effectExtent l="0" t="0" r="15240" b="10160"/>
            <wp:docPr id="7" name="Picture 7" descr="Validation checkpoint selection by model and training s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Validation checkpoint selection by model and training seed"/>
                    <pic:cNvPicPr>
                      <a:picLocks noChangeAspect="1"/>
                    </pic:cNvPicPr>
                  </pic:nvPicPr>
                  <pic:blipFill>
                    <a:blip r:embed="rId17"/>
                    <a:stretch>
                      <a:fillRect/>
                    </a:stretch>
                  </pic:blipFill>
                  <pic:spPr>
                    <a:xfrm>
                      <a:off x="0" y="0"/>
                      <a:ext cx="5623560" cy="4232264"/>
                    </a:xfrm>
                    <a:prstGeom prst="rect">
                      <a:avLst/>
                    </a:prstGeom>
                  </pic:spPr>
                </pic:pic>
              </a:graphicData>
            </a:graphic>
          </wp:inline>
        </w:drawing>
      </w:r>
    </w:p>
    <w:p w14:paraId="5BAF24A1">
      <w:pPr>
        <w:pStyle w:val="12"/>
        <w:keepLines/>
      </w:pPr>
      <w:r>
        <w:t>Figure 4.1. Validation pickups vary strongly across checkpoints and training seeds. Stars mark the checkpoints selected without reading the held-out test split. The curves are selection evidence, not estimates of final test performance.</w:t>
      </w:r>
    </w:p>
    <w:p w14:paraId="37560507">
      <w:pPr>
        <w:widowControl/>
      </w:pPr>
      <w:r>
        <w:t>Table 4.1 reports clean-test pickups. Performance is included to describe the policies being explained, not as the research outcome.</w:t>
      </w:r>
    </w:p>
    <w:p w14:paraId="2206E7B1">
      <w:pPr>
        <w:pStyle w:val="12"/>
        <w:keepNext/>
      </w:pPr>
      <w:r>
        <w:rPr>
          <w:b/>
        </w:rPr>
        <w:t>Table 4.1: Clean-test performance context across training seeds</w:t>
      </w:r>
    </w:p>
    <w:tbl>
      <w:tblPr>
        <w:tblStyle w:val="6"/>
        <w:tblW w:w="9020" w:type="dxa"/>
        <w:jc w:val="center"/>
        <w:tblBorders>
          <w:top w:val="single" w:color="7F7F7F" w:sz="8" w:space="0"/>
          <w:left w:val="none" w:color="FFFFFF" w:sz="0" w:space="0"/>
          <w:bottom w:val="single" w:color="7F7F7F" w:sz="8" w:space="0"/>
          <w:right w:val="none" w:color="FFFFFF" w:sz="0" w:space="0"/>
          <w:insideH w:val="single" w:color="D9D9D9" w:sz="4" w:space="0"/>
          <w:insideV w:val="none" w:color="FFFFFF" w:sz="0" w:space="0"/>
        </w:tblBorders>
        <w:tblLayout w:type="fixed"/>
        <w:tblCellMar>
          <w:top w:w="0" w:type="dxa"/>
          <w:left w:w="108" w:type="dxa"/>
          <w:bottom w:w="0" w:type="dxa"/>
          <w:right w:w="108" w:type="dxa"/>
        </w:tblCellMar>
      </w:tblPr>
      <w:tblGrid>
        <w:gridCol w:w="2968"/>
        <w:gridCol w:w="2968"/>
        <w:gridCol w:w="3084"/>
      </w:tblGrid>
      <w:tr w14:paraId="2FDA1481">
        <w:trPr>
          <w:cantSplit/>
          <w:tblHeader/>
          <w:jc w:val="center"/>
        </w:trPr>
        <w:tc>
          <w:tcPr>
            <w:tcW w:w="2968" w:type="dxa"/>
            <w:shd w:val="clear" w:color="auto" w:fill="E7E6E6"/>
            <w:tcMar>
              <w:top w:w="45" w:type="dxa"/>
              <w:left w:w="90" w:type="dxa"/>
              <w:bottom w:w="45" w:type="dxa"/>
              <w:right w:w="90" w:type="dxa"/>
            </w:tcMar>
            <w:vAlign w:val="center"/>
          </w:tcPr>
          <w:p w14:paraId="670EA10A">
            <w:pPr>
              <w:keepLines/>
              <w:widowControl/>
              <w:spacing w:after="0" w:line="240" w:lineRule="auto"/>
              <w:jc w:val="left"/>
            </w:pPr>
            <w:r>
              <w:rPr>
                <w:rFonts w:ascii="Times New Roman" w:hAnsi="Times New Roman"/>
                <w:b/>
                <w:sz w:val="20"/>
              </w:rPr>
              <w:t>Model</w:t>
            </w:r>
          </w:p>
        </w:tc>
        <w:tc>
          <w:tcPr>
            <w:tcW w:w="2968" w:type="dxa"/>
            <w:shd w:val="clear" w:color="auto" w:fill="E7E6E6"/>
            <w:tcMar>
              <w:top w:w="45" w:type="dxa"/>
              <w:left w:w="90" w:type="dxa"/>
              <w:bottom w:w="45" w:type="dxa"/>
              <w:right w:w="90" w:type="dxa"/>
            </w:tcMar>
            <w:vAlign w:val="center"/>
          </w:tcPr>
          <w:p w14:paraId="473135B4">
            <w:pPr>
              <w:keepLines/>
              <w:widowControl/>
              <w:spacing w:after="0" w:line="240" w:lineRule="auto"/>
              <w:jc w:val="left"/>
            </w:pPr>
            <w:r>
              <w:rPr>
                <w:rFonts w:ascii="Times New Roman" w:hAnsi="Times New Roman"/>
                <w:b/>
                <w:sz w:val="20"/>
              </w:rPr>
              <w:t>Mean across training seeds</w:t>
            </w:r>
          </w:p>
        </w:tc>
        <w:tc>
          <w:tcPr>
            <w:tcW w:w="3084" w:type="dxa"/>
            <w:shd w:val="clear" w:color="auto" w:fill="E7E6E6"/>
            <w:tcMar>
              <w:top w:w="45" w:type="dxa"/>
              <w:left w:w="90" w:type="dxa"/>
              <w:bottom w:w="45" w:type="dxa"/>
              <w:right w:w="90" w:type="dxa"/>
            </w:tcMar>
            <w:vAlign w:val="center"/>
          </w:tcPr>
          <w:p w14:paraId="6A0D90BA">
            <w:pPr>
              <w:keepLines/>
              <w:widowControl/>
              <w:spacing w:after="0" w:line="240" w:lineRule="auto"/>
              <w:jc w:val="left"/>
            </w:pPr>
            <w:r>
              <w:rPr>
                <w:rFonts w:ascii="Times New Roman" w:hAnsi="Times New Roman"/>
                <w:b/>
                <w:sz w:val="20"/>
              </w:rPr>
              <w:t>Range across training seeds</w:t>
            </w:r>
          </w:p>
        </w:tc>
      </w:tr>
      <w:tr w14:paraId="3C55D241">
        <w:trPr>
          <w:cantSplit/>
          <w:jc w:val="center"/>
        </w:trPr>
        <w:tc>
          <w:tcPr>
            <w:tcW w:w="2968" w:type="dxa"/>
            <w:tcMar>
              <w:top w:w="45" w:type="dxa"/>
              <w:left w:w="90" w:type="dxa"/>
              <w:bottom w:w="45" w:type="dxa"/>
              <w:right w:w="90" w:type="dxa"/>
            </w:tcMar>
            <w:vAlign w:val="center"/>
          </w:tcPr>
          <w:p w14:paraId="62E7C995">
            <w:pPr>
              <w:keepLines/>
              <w:widowControl/>
              <w:spacing w:after="0" w:line="240" w:lineRule="auto"/>
              <w:jc w:val="left"/>
            </w:pPr>
            <w:r>
              <w:rPr>
                <w:rFonts w:ascii="Times New Roman" w:hAnsi="Times New Roman"/>
                <w:sz w:val="20"/>
              </w:rPr>
              <w:t>B1 MLP</w:t>
            </w:r>
          </w:p>
        </w:tc>
        <w:tc>
          <w:tcPr>
            <w:tcW w:w="2968" w:type="dxa"/>
            <w:tcMar>
              <w:top w:w="45" w:type="dxa"/>
              <w:left w:w="90" w:type="dxa"/>
              <w:bottom w:w="45" w:type="dxa"/>
              <w:right w:w="90" w:type="dxa"/>
            </w:tcMar>
            <w:vAlign w:val="center"/>
          </w:tcPr>
          <w:p w14:paraId="21DC685E">
            <w:pPr>
              <w:keepLines/>
              <w:widowControl/>
              <w:spacing w:after="0" w:line="240" w:lineRule="auto"/>
              <w:jc w:val="center"/>
            </w:pPr>
            <w:r>
              <w:rPr>
                <w:rFonts w:ascii="Times New Roman" w:hAnsi="Times New Roman"/>
                <w:sz w:val="20"/>
              </w:rPr>
              <w:t>13.25</w:t>
            </w:r>
          </w:p>
        </w:tc>
        <w:tc>
          <w:tcPr>
            <w:tcW w:w="3084" w:type="dxa"/>
            <w:tcMar>
              <w:top w:w="45" w:type="dxa"/>
              <w:left w:w="90" w:type="dxa"/>
              <w:bottom w:w="45" w:type="dxa"/>
              <w:right w:w="90" w:type="dxa"/>
            </w:tcMar>
            <w:vAlign w:val="center"/>
          </w:tcPr>
          <w:p w14:paraId="4E6C1DDA">
            <w:pPr>
              <w:keepLines/>
              <w:widowControl/>
              <w:spacing w:after="0" w:line="240" w:lineRule="auto"/>
              <w:jc w:val="center"/>
            </w:pPr>
            <w:r>
              <w:rPr>
                <w:rFonts w:ascii="Times New Roman" w:hAnsi="Times New Roman"/>
                <w:sz w:val="20"/>
              </w:rPr>
              <w:t>11.50-14.67</w:t>
            </w:r>
          </w:p>
        </w:tc>
      </w:tr>
      <w:tr w14:paraId="39C9DB94">
        <w:trPr>
          <w:cantSplit/>
          <w:jc w:val="center"/>
        </w:trPr>
        <w:tc>
          <w:tcPr>
            <w:tcW w:w="2968" w:type="dxa"/>
            <w:tcMar>
              <w:top w:w="45" w:type="dxa"/>
              <w:left w:w="90" w:type="dxa"/>
              <w:bottom w:w="45" w:type="dxa"/>
              <w:right w:w="90" w:type="dxa"/>
            </w:tcMar>
            <w:vAlign w:val="center"/>
          </w:tcPr>
          <w:p w14:paraId="32BF0A0A">
            <w:pPr>
              <w:keepLines/>
              <w:widowControl/>
              <w:spacing w:after="0" w:line="240" w:lineRule="auto"/>
              <w:jc w:val="left"/>
            </w:pPr>
            <w:r>
              <w:rPr>
                <w:rFonts w:ascii="Times New Roman" w:hAnsi="Times New Roman"/>
                <w:sz w:val="20"/>
              </w:rPr>
              <w:t>B2 GAT</w:t>
            </w:r>
          </w:p>
        </w:tc>
        <w:tc>
          <w:tcPr>
            <w:tcW w:w="2968" w:type="dxa"/>
            <w:tcMar>
              <w:top w:w="45" w:type="dxa"/>
              <w:left w:w="90" w:type="dxa"/>
              <w:bottom w:w="45" w:type="dxa"/>
              <w:right w:w="90" w:type="dxa"/>
            </w:tcMar>
            <w:vAlign w:val="center"/>
          </w:tcPr>
          <w:p w14:paraId="2E2678A6">
            <w:pPr>
              <w:keepLines/>
              <w:widowControl/>
              <w:spacing w:after="0" w:line="240" w:lineRule="auto"/>
              <w:jc w:val="center"/>
            </w:pPr>
            <w:r>
              <w:rPr>
                <w:rFonts w:ascii="Times New Roman" w:hAnsi="Times New Roman"/>
                <w:sz w:val="20"/>
              </w:rPr>
              <w:t>13.29</w:t>
            </w:r>
          </w:p>
        </w:tc>
        <w:tc>
          <w:tcPr>
            <w:tcW w:w="3084" w:type="dxa"/>
            <w:tcMar>
              <w:top w:w="45" w:type="dxa"/>
              <w:left w:w="90" w:type="dxa"/>
              <w:bottom w:w="45" w:type="dxa"/>
              <w:right w:w="90" w:type="dxa"/>
            </w:tcMar>
            <w:vAlign w:val="center"/>
          </w:tcPr>
          <w:p w14:paraId="3BF1F9B8">
            <w:pPr>
              <w:keepLines/>
              <w:widowControl/>
              <w:spacing w:after="0" w:line="240" w:lineRule="auto"/>
              <w:jc w:val="center"/>
            </w:pPr>
            <w:r>
              <w:rPr>
                <w:rFonts w:ascii="Times New Roman" w:hAnsi="Times New Roman"/>
                <w:sz w:val="20"/>
              </w:rPr>
              <w:t>11.46-14.67</w:t>
            </w:r>
          </w:p>
        </w:tc>
      </w:tr>
      <w:tr w14:paraId="5C768E95">
        <w:trPr>
          <w:cantSplit/>
          <w:jc w:val="center"/>
        </w:trPr>
        <w:tc>
          <w:tcPr>
            <w:tcW w:w="2968" w:type="dxa"/>
            <w:tcMar>
              <w:top w:w="45" w:type="dxa"/>
              <w:left w:w="90" w:type="dxa"/>
              <w:bottom w:w="45" w:type="dxa"/>
              <w:right w:w="90" w:type="dxa"/>
            </w:tcMar>
            <w:vAlign w:val="center"/>
          </w:tcPr>
          <w:p w14:paraId="0A79A005">
            <w:pPr>
              <w:keepLines/>
              <w:widowControl/>
              <w:spacing w:after="0" w:line="240" w:lineRule="auto"/>
              <w:jc w:val="left"/>
            </w:pPr>
            <w:r>
              <w:rPr>
                <w:rFonts w:ascii="Times New Roman" w:hAnsi="Times New Roman"/>
                <w:sz w:val="20"/>
              </w:rPr>
              <w:t>B3 GAT without AoI</w:t>
            </w:r>
          </w:p>
        </w:tc>
        <w:tc>
          <w:tcPr>
            <w:tcW w:w="2968" w:type="dxa"/>
            <w:tcMar>
              <w:top w:w="45" w:type="dxa"/>
              <w:left w:w="90" w:type="dxa"/>
              <w:bottom w:w="45" w:type="dxa"/>
              <w:right w:w="90" w:type="dxa"/>
            </w:tcMar>
            <w:vAlign w:val="center"/>
          </w:tcPr>
          <w:p w14:paraId="2DBBA1F6">
            <w:pPr>
              <w:keepLines/>
              <w:widowControl/>
              <w:spacing w:after="0" w:line="240" w:lineRule="auto"/>
              <w:jc w:val="center"/>
            </w:pPr>
            <w:r>
              <w:rPr>
                <w:rFonts w:ascii="Times New Roman" w:hAnsi="Times New Roman"/>
                <w:sz w:val="20"/>
              </w:rPr>
              <w:t>13.29</w:t>
            </w:r>
          </w:p>
        </w:tc>
        <w:tc>
          <w:tcPr>
            <w:tcW w:w="3084" w:type="dxa"/>
            <w:tcMar>
              <w:top w:w="45" w:type="dxa"/>
              <w:left w:w="90" w:type="dxa"/>
              <w:bottom w:w="45" w:type="dxa"/>
              <w:right w:w="90" w:type="dxa"/>
            </w:tcMar>
            <w:vAlign w:val="center"/>
          </w:tcPr>
          <w:p w14:paraId="74D570FF">
            <w:pPr>
              <w:keepLines/>
              <w:widowControl/>
              <w:spacing w:after="0" w:line="240" w:lineRule="auto"/>
              <w:jc w:val="center"/>
            </w:pPr>
            <w:r>
              <w:rPr>
                <w:rFonts w:ascii="Times New Roman" w:hAnsi="Times New Roman"/>
                <w:sz w:val="20"/>
              </w:rPr>
              <w:t>11.46-14.67</w:t>
            </w:r>
          </w:p>
        </w:tc>
      </w:tr>
      <w:tr w14:paraId="7E4808F6">
        <w:trPr>
          <w:cantSplit/>
          <w:jc w:val="center"/>
        </w:trPr>
        <w:tc>
          <w:tcPr>
            <w:tcW w:w="2968" w:type="dxa"/>
            <w:tcMar>
              <w:top w:w="45" w:type="dxa"/>
              <w:left w:w="90" w:type="dxa"/>
              <w:bottom w:w="45" w:type="dxa"/>
              <w:right w:w="90" w:type="dxa"/>
            </w:tcMar>
            <w:vAlign w:val="center"/>
          </w:tcPr>
          <w:p w14:paraId="3C23013E">
            <w:pPr>
              <w:keepLines/>
              <w:widowControl/>
              <w:spacing w:after="0" w:line="240" w:lineRule="auto"/>
              <w:jc w:val="left"/>
            </w:pPr>
            <w:r>
              <w:rPr>
                <w:rFonts w:ascii="Times New Roman" w:hAnsi="Times New Roman"/>
                <w:sz w:val="20"/>
              </w:rPr>
              <w:t>H5 degradation-trained GAT</w:t>
            </w:r>
          </w:p>
        </w:tc>
        <w:tc>
          <w:tcPr>
            <w:tcW w:w="2968" w:type="dxa"/>
            <w:tcMar>
              <w:top w:w="45" w:type="dxa"/>
              <w:left w:w="90" w:type="dxa"/>
              <w:bottom w:w="45" w:type="dxa"/>
              <w:right w:w="90" w:type="dxa"/>
            </w:tcMar>
            <w:vAlign w:val="center"/>
          </w:tcPr>
          <w:p w14:paraId="542C2BB0">
            <w:pPr>
              <w:keepLines/>
              <w:widowControl/>
              <w:spacing w:after="0" w:line="240" w:lineRule="auto"/>
              <w:jc w:val="center"/>
            </w:pPr>
            <w:r>
              <w:rPr>
                <w:rFonts w:ascii="Times New Roman" w:hAnsi="Times New Roman"/>
                <w:sz w:val="20"/>
              </w:rPr>
              <w:t>9.56</w:t>
            </w:r>
          </w:p>
        </w:tc>
        <w:tc>
          <w:tcPr>
            <w:tcW w:w="3084" w:type="dxa"/>
            <w:tcMar>
              <w:top w:w="45" w:type="dxa"/>
              <w:left w:w="90" w:type="dxa"/>
              <w:bottom w:w="45" w:type="dxa"/>
              <w:right w:w="90" w:type="dxa"/>
            </w:tcMar>
            <w:vAlign w:val="center"/>
          </w:tcPr>
          <w:p w14:paraId="06FE4DA1">
            <w:pPr>
              <w:keepLines/>
              <w:widowControl/>
              <w:spacing w:after="0" w:line="240" w:lineRule="auto"/>
              <w:jc w:val="center"/>
            </w:pPr>
            <w:r>
              <w:rPr>
                <w:rFonts w:ascii="Times New Roman" w:hAnsi="Times New Roman"/>
                <w:sz w:val="20"/>
              </w:rPr>
              <w:t>4.54-12.88</w:t>
            </w:r>
          </w:p>
        </w:tc>
      </w:tr>
    </w:tbl>
    <w:p w14:paraId="514B5377">
      <w:pPr>
        <w:widowControl/>
      </w:pPr>
      <w:r>
        <w:t>B2 and B3 are identical under clean evaluation because their AoI inputs are zero. H5 is less stable: seed 44 averages 4.54 pickups, compared with 12.88 and 11.25 for seeds 42 and 43. This weak replicate is retained because excluding it would hide training instability.</w:t>
      </w:r>
    </w:p>
    <w:p w14:paraId="0E46D0EF">
      <w:pPr>
        <w:keepNext/>
        <w:keepLines/>
        <w:spacing w:before="120" w:after="40"/>
        <w:jc w:val="center"/>
      </w:pPr>
      <w:r>
        <w:drawing>
          <wp:inline distT="0" distB="0" distL="114300" distR="114300">
            <wp:extent cx="5623560" cy="2954655"/>
            <wp:effectExtent l="0" t="0" r="15240" b="17145"/>
            <wp:docPr id="8" name="Picture 8" descr="Clean-test performance by training s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lean-test performance by training seed"/>
                    <pic:cNvPicPr>
                      <a:picLocks noChangeAspect="1"/>
                    </pic:cNvPicPr>
                  </pic:nvPicPr>
                  <pic:blipFill>
                    <a:blip r:embed="rId18"/>
                    <a:stretch>
                      <a:fillRect/>
                    </a:stretch>
                  </pic:blipFill>
                  <pic:spPr>
                    <a:xfrm>
                      <a:off x="0" y="0"/>
                      <a:ext cx="5623560" cy="2955183"/>
                    </a:xfrm>
                    <a:prstGeom prst="rect">
                      <a:avLst/>
                    </a:prstGeom>
                  </pic:spPr>
                </pic:pic>
              </a:graphicData>
            </a:graphic>
          </wp:inline>
        </w:drawing>
      </w:r>
    </w:p>
    <w:p w14:paraId="229FEF97">
      <w:pPr>
        <w:pStyle w:val="12"/>
        <w:keepLines/>
      </w:pPr>
      <w:r>
        <w:t>Figure 4.2. Each point is one independently trained policy evaluated over 24 held-out episodes; horizontal lines show the mean across training seeds.</w:t>
      </w:r>
    </w:p>
    <w:p w14:paraId="7FE71348">
      <w:pPr>
        <w:pStyle w:val="3"/>
        <w:keepNext/>
      </w:pPr>
      <w:r>
        <w:t>4.2 Supporting construct-validity result</w:t>
      </w:r>
    </w:p>
    <w:p w14:paraId="68866F77">
      <w:pPr>
        <w:widowControl/>
      </w:pPr>
      <w:r>
        <w:t>The earlier audit showed that a uniform random occlusion is not a fair control for this graph. Removing a passenger-request node can remove the chosen action, while removing a taxi node only withholds information. The sign and size of DEF can therefore be driven by node-type composition.</w:t>
      </w:r>
    </w:p>
    <w:p w14:paraId="2DB4235D">
      <w:pPr>
        <w:pStyle w:val="12"/>
        <w:keepNext/>
      </w:pPr>
      <w:r>
        <w:rPr>
          <w:b/>
        </w:rPr>
        <w:t>Table 4.2: Construct-validity audit of random controls</w:t>
      </w:r>
    </w:p>
    <w:tbl>
      <w:tblPr>
        <w:tblStyle w:val="6"/>
        <w:tblW w:w="9020" w:type="dxa"/>
        <w:jc w:val="center"/>
        <w:tblBorders>
          <w:top w:val="single" w:color="7F7F7F" w:sz="8" w:space="0"/>
          <w:left w:val="none" w:color="FFFFFF" w:sz="0" w:space="0"/>
          <w:bottom w:val="single" w:color="7F7F7F" w:sz="8" w:space="0"/>
          <w:right w:val="none" w:color="FFFFFF" w:sz="0" w:space="0"/>
          <w:insideH w:val="single" w:color="D9D9D9" w:sz="4" w:space="0"/>
          <w:insideV w:val="none" w:color="FFFFFF" w:sz="0" w:space="0"/>
        </w:tblBorders>
        <w:tblLayout w:type="fixed"/>
        <w:tblCellMar>
          <w:top w:w="0" w:type="dxa"/>
          <w:left w:w="108" w:type="dxa"/>
          <w:bottom w:w="0" w:type="dxa"/>
          <w:right w:w="108" w:type="dxa"/>
        </w:tblCellMar>
      </w:tblPr>
      <w:tblGrid>
        <w:gridCol w:w="1766"/>
        <w:gridCol w:w="1394"/>
        <w:gridCol w:w="1673"/>
        <w:gridCol w:w="4187"/>
      </w:tblGrid>
      <w:tr w14:paraId="5D983530">
        <w:trPr>
          <w:cantSplit/>
          <w:tblHeader/>
          <w:jc w:val="center"/>
        </w:trPr>
        <w:tc>
          <w:tcPr>
            <w:tcW w:w="1766" w:type="dxa"/>
            <w:shd w:val="clear" w:color="auto" w:fill="E7E6E6"/>
            <w:tcMar>
              <w:top w:w="45" w:type="dxa"/>
              <w:left w:w="90" w:type="dxa"/>
              <w:bottom w:w="45" w:type="dxa"/>
              <w:right w:w="90" w:type="dxa"/>
            </w:tcMar>
            <w:vAlign w:val="center"/>
          </w:tcPr>
          <w:p w14:paraId="0D1F9280">
            <w:pPr>
              <w:keepLines/>
              <w:widowControl/>
              <w:spacing w:after="0" w:line="240" w:lineRule="auto"/>
              <w:jc w:val="left"/>
            </w:pPr>
            <w:r>
              <w:rPr>
                <w:rFonts w:ascii="Times New Roman" w:hAnsi="Times New Roman"/>
                <w:b/>
                <w:sz w:val="20"/>
              </w:rPr>
              <w:t>Random control</w:t>
            </w:r>
          </w:p>
        </w:tc>
        <w:tc>
          <w:tcPr>
            <w:tcW w:w="1394" w:type="dxa"/>
            <w:shd w:val="clear" w:color="auto" w:fill="E7E6E6"/>
            <w:tcMar>
              <w:top w:w="45" w:type="dxa"/>
              <w:left w:w="90" w:type="dxa"/>
              <w:bottom w:w="45" w:type="dxa"/>
              <w:right w:w="90" w:type="dxa"/>
            </w:tcMar>
            <w:vAlign w:val="center"/>
          </w:tcPr>
          <w:p w14:paraId="4A553A28">
            <w:pPr>
              <w:keepLines/>
              <w:widowControl/>
              <w:spacing w:after="0" w:line="240" w:lineRule="auto"/>
              <w:jc w:val="center"/>
            </w:pPr>
            <w:r>
              <w:rPr>
                <w:rFonts w:ascii="Times New Roman" w:hAnsi="Times New Roman"/>
                <w:b/>
                <w:sz w:val="20"/>
              </w:rPr>
              <w:t>Mean margin-DEF</w:t>
            </w:r>
          </w:p>
        </w:tc>
        <w:tc>
          <w:tcPr>
            <w:tcW w:w="1673" w:type="dxa"/>
            <w:shd w:val="clear" w:color="auto" w:fill="E7E6E6"/>
            <w:tcMar>
              <w:top w:w="45" w:type="dxa"/>
              <w:left w:w="90" w:type="dxa"/>
              <w:bottom w:w="45" w:type="dxa"/>
              <w:right w:w="90" w:type="dxa"/>
            </w:tcMar>
            <w:vAlign w:val="center"/>
          </w:tcPr>
          <w:p w14:paraId="0DE01AC8">
            <w:pPr>
              <w:keepLines/>
              <w:widowControl/>
              <w:spacing w:after="0" w:line="240" w:lineRule="auto"/>
              <w:jc w:val="center"/>
            </w:pPr>
            <w:r>
              <w:rPr>
                <w:rFonts w:ascii="Times New Roman" w:hAnsi="Times New Roman"/>
                <w:b/>
                <w:sz w:val="20"/>
              </w:rPr>
              <w:t>95% CI</w:t>
            </w:r>
          </w:p>
        </w:tc>
        <w:tc>
          <w:tcPr>
            <w:tcW w:w="4187" w:type="dxa"/>
            <w:shd w:val="clear" w:color="auto" w:fill="E7E6E6"/>
            <w:tcMar>
              <w:top w:w="45" w:type="dxa"/>
              <w:left w:w="90" w:type="dxa"/>
              <w:bottom w:w="45" w:type="dxa"/>
              <w:right w:w="90" w:type="dxa"/>
            </w:tcMar>
            <w:vAlign w:val="center"/>
          </w:tcPr>
          <w:p w14:paraId="172FAF93">
            <w:pPr>
              <w:keepLines/>
              <w:widowControl/>
              <w:spacing w:after="0" w:line="240" w:lineRule="auto"/>
              <w:jc w:val="center"/>
            </w:pPr>
            <w:r>
              <w:rPr>
                <w:rFonts w:ascii="Times New Roman" w:hAnsi="Times New Roman"/>
                <w:b/>
                <w:sz w:val="20"/>
              </w:rPr>
              <w:t>Interpretation</w:t>
            </w:r>
          </w:p>
        </w:tc>
      </w:tr>
      <w:tr w14:paraId="42C8B9A5">
        <w:trPr>
          <w:cantSplit/>
          <w:jc w:val="center"/>
        </w:trPr>
        <w:tc>
          <w:tcPr>
            <w:tcW w:w="1766" w:type="dxa"/>
            <w:tcMar>
              <w:top w:w="45" w:type="dxa"/>
              <w:left w:w="90" w:type="dxa"/>
              <w:bottom w:w="45" w:type="dxa"/>
              <w:right w:w="90" w:type="dxa"/>
            </w:tcMar>
            <w:vAlign w:val="center"/>
          </w:tcPr>
          <w:p w14:paraId="7633C5A0">
            <w:pPr>
              <w:keepLines/>
              <w:widowControl/>
              <w:spacing w:after="0" w:line="240" w:lineRule="auto"/>
              <w:jc w:val="left"/>
            </w:pPr>
            <w:r>
              <w:rPr>
                <w:rFonts w:ascii="Times New Roman" w:hAnsi="Times New Roman"/>
                <w:sz w:val="20"/>
              </w:rPr>
              <w:t>Uniform random</w:t>
            </w:r>
          </w:p>
        </w:tc>
        <w:tc>
          <w:tcPr>
            <w:tcW w:w="1394" w:type="dxa"/>
            <w:tcMar>
              <w:top w:w="45" w:type="dxa"/>
              <w:left w:w="90" w:type="dxa"/>
              <w:bottom w:w="45" w:type="dxa"/>
              <w:right w:w="90" w:type="dxa"/>
            </w:tcMar>
            <w:vAlign w:val="center"/>
          </w:tcPr>
          <w:p w14:paraId="08A52334">
            <w:pPr>
              <w:keepLines/>
              <w:widowControl/>
              <w:spacing w:after="0" w:line="240" w:lineRule="auto"/>
              <w:jc w:val="center"/>
            </w:pPr>
            <w:r>
              <w:rPr>
                <w:rFonts w:ascii="Times New Roman" w:hAnsi="Times New Roman"/>
                <w:sz w:val="20"/>
              </w:rPr>
              <w:t>-0.5540</w:t>
            </w:r>
          </w:p>
        </w:tc>
        <w:tc>
          <w:tcPr>
            <w:tcW w:w="1673" w:type="dxa"/>
            <w:tcMar>
              <w:top w:w="45" w:type="dxa"/>
              <w:left w:w="90" w:type="dxa"/>
              <w:bottom w:w="45" w:type="dxa"/>
              <w:right w:w="90" w:type="dxa"/>
            </w:tcMar>
            <w:vAlign w:val="center"/>
          </w:tcPr>
          <w:p w14:paraId="7B4D4F5B">
            <w:pPr>
              <w:keepLines/>
              <w:widowControl/>
              <w:spacing w:after="0" w:line="240" w:lineRule="auto"/>
              <w:jc w:val="center"/>
            </w:pPr>
            <w:r>
              <w:rPr>
                <w:rFonts w:ascii="Times New Roman" w:hAnsi="Times New Roman"/>
                <w:sz w:val="20"/>
              </w:rPr>
              <w:t>[-0.5808, -0.5288]</w:t>
            </w:r>
          </w:p>
        </w:tc>
        <w:tc>
          <w:tcPr>
            <w:tcW w:w="4187" w:type="dxa"/>
            <w:tcMar>
              <w:top w:w="45" w:type="dxa"/>
              <w:left w:w="90" w:type="dxa"/>
              <w:bottom w:w="45" w:type="dxa"/>
              <w:right w:w="90" w:type="dxa"/>
            </w:tcMar>
            <w:vAlign w:val="center"/>
          </w:tcPr>
          <w:p w14:paraId="46C82145">
            <w:pPr>
              <w:keepLines/>
              <w:widowControl/>
              <w:spacing w:after="0" w:line="240" w:lineRule="auto"/>
              <w:jc w:val="left"/>
            </w:pPr>
            <w:r>
              <w:rPr>
                <w:rFonts w:ascii="Times New Roman" w:hAnsi="Times New Roman"/>
                <w:sz w:val="20"/>
              </w:rPr>
              <w:t>dominated by node-type and action-deletion imbalance</w:t>
            </w:r>
          </w:p>
        </w:tc>
      </w:tr>
      <w:tr w14:paraId="40CED97E">
        <w:trPr>
          <w:cantSplit/>
          <w:jc w:val="center"/>
        </w:trPr>
        <w:tc>
          <w:tcPr>
            <w:tcW w:w="1766" w:type="dxa"/>
            <w:tcMar>
              <w:top w:w="45" w:type="dxa"/>
              <w:left w:w="90" w:type="dxa"/>
              <w:bottom w:w="45" w:type="dxa"/>
              <w:right w:w="90" w:type="dxa"/>
            </w:tcMar>
            <w:vAlign w:val="center"/>
          </w:tcPr>
          <w:p w14:paraId="7D1CDF4B">
            <w:pPr>
              <w:keepLines/>
              <w:widowControl/>
              <w:spacing w:after="0" w:line="240" w:lineRule="auto"/>
              <w:jc w:val="left"/>
            </w:pPr>
            <w:r>
              <w:rPr>
                <w:rFonts w:ascii="Times New Roman" w:hAnsi="Times New Roman"/>
                <w:sz w:val="20"/>
              </w:rPr>
              <w:t>Type-matched random</w:t>
            </w:r>
          </w:p>
        </w:tc>
        <w:tc>
          <w:tcPr>
            <w:tcW w:w="1394" w:type="dxa"/>
            <w:tcMar>
              <w:top w:w="45" w:type="dxa"/>
              <w:left w:w="90" w:type="dxa"/>
              <w:bottom w:w="45" w:type="dxa"/>
              <w:right w:w="90" w:type="dxa"/>
            </w:tcMar>
            <w:vAlign w:val="center"/>
          </w:tcPr>
          <w:p w14:paraId="4A50BAC9">
            <w:pPr>
              <w:keepLines/>
              <w:widowControl/>
              <w:spacing w:after="0" w:line="240" w:lineRule="auto"/>
              <w:jc w:val="center"/>
            </w:pPr>
            <w:r>
              <w:rPr>
                <w:rFonts w:ascii="Times New Roman" w:hAnsi="Times New Roman"/>
                <w:sz w:val="20"/>
              </w:rPr>
              <w:t>-0.0093</w:t>
            </w:r>
          </w:p>
        </w:tc>
        <w:tc>
          <w:tcPr>
            <w:tcW w:w="1673" w:type="dxa"/>
            <w:tcMar>
              <w:top w:w="45" w:type="dxa"/>
              <w:left w:w="90" w:type="dxa"/>
              <w:bottom w:w="45" w:type="dxa"/>
              <w:right w:w="90" w:type="dxa"/>
            </w:tcMar>
            <w:vAlign w:val="center"/>
          </w:tcPr>
          <w:p w14:paraId="3B2A2A54">
            <w:pPr>
              <w:keepLines/>
              <w:widowControl/>
              <w:spacing w:after="0" w:line="240" w:lineRule="auto"/>
              <w:jc w:val="center"/>
            </w:pPr>
            <w:r>
              <w:rPr>
                <w:rFonts w:ascii="Times New Roman" w:hAnsi="Times New Roman"/>
                <w:sz w:val="20"/>
              </w:rPr>
              <w:t>[-0.0159, -0.0013]</w:t>
            </w:r>
          </w:p>
        </w:tc>
        <w:tc>
          <w:tcPr>
            <w:tcW w:w="4187" w:type="dxa"/>
            <w:tcMar>
              <w:top w:w="45" w:type="dxa"/>
              <w:left w:w="90" w:type="dxa"/>
              <w:bottom w:w="45" w:type="dxa"/>
              <w:right w:w="90" w:type="dxa"/>
            </w:tcMar>
            <w:vAlign w:val="center"/>
          </w:tcPr>
          <w:p w14:paraId="6225BFD9">
            <w:pPr>
              <w:keepLines/>
              <w:widowControl/>
              <w:spacing w:after="0" w:line="240" w:lineRule="auto"/>
              <w:jc w:val="left"/>
            </w:pPr>
            <w:r>
              <w:rPr>
                <w:rFonts w:ascii="Times New Roman" w:hAnsi="Times New Roman"/>
                <w:sz w:val="20"/>
              </w:rPr>
              <w:t>approximately no advantage over matched random</w:t>
            </w:r>
          </w:p>
        </w:tc>
      </w:tr>
    </w:tbl>
    <w:p w14:paraId="7D32F816">
      <w:pPr>
        <w:widowControl/>
      </w:pPr>
    </w:p>
    <w:p w14:paraId="000F69D8">
      <w:pPr>
        <w:widowControl/>
      </w:pPr>
      <w:r>
        <w:t>The audit contains 1,199 paired clean decisions from the earlier B2 protocol. It diagnoses the measurement problem; it is not part of the v4 hypothesis test.</w:t>
      </w:r>
    </w:p>
    <w:p w14:paraId="45B55052">
      <w:pPr>
        <w:widowControl/>
      </w:pPr>
      <w:r>
        <w:t>The v4 rerun addresses this problem from the start. All headline DEF values use type-matched random subsets, and the action-protected margin variant is stored alongside probability DEF. Under these controls, clean DEF is close to zero for all B2 and H5 training seeds. The result should be read as "no measured advantage over the matched random explanation", not "attention is worse than random".</w:t>
      </w:r>
    </w:p>
    <w:p w14:paraId="08647A01">
      <w:pPr>
        <w:pStyle w:val="3"/>
        <w:keepNext/>
      </w:pPr>
      <w:r>
        <w:t>4.3 Manipulation check: stale exposure increases</w:t>
      </w:r>
    </w:p>
    <w:p w14:paraId="4DF505BB">
      <w:pPr>
        <w:widowControl/>
      </w:pPr>
      <w:r>
        <w:t>The observation-layer outages produce increasing empirical degradation. At 60 seconds, the mean degraded-decision rate is about 0.9-1.2% for B2 and 0.7-1.3% for H5, compared with zero in the clean condition. Exposure is sparse because it depends on taxis entering the mapped tunnels.</w:t>
      </w:r>
    </w:p>
    <w:p w14:paraId="7AA42A8B">
      <w:pPr>
        <w:widowControl/>
      </w:pPr>
      <w:r>
        <w:t>When at least one stale vehicle node is visible, mean WAMSN rises from about 0.023-0.031 at 10 seconds to 0.071-0.090 at 60 seconds. H3 is supported in all six trained GAT policies. The within-policy trend correlations range from rho = 0.082 to 0.105 for B2 and 0.078 to 0.121 for H5; every Holm-adjusted p-value is 0.0004.</w:t>
      </w:r>
    </w:p>
    <w:p w14:paraId="4E2A290C">
      <w:pPr>
        <w:keepNext/>
        <w:keepLines/>
        <w:spacing w:before="120" w:after="40"/>
        <w:jc w:val="center"/>
      </w:pPr>
      <w:r>
        <w:drawing>
          <wp:inline distT="0" distB="0" distL="114300" distR="114300">
            <wp:extent cx="5623560" cy="5471160"/>
            <wp:effectExtent l="0" t="0" r="15240" b="15240"/>
            <wp:docPr id="9" name="Picture 9" descr="WAMSN, type-matched DEF and pickups by outage d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AMSN, type-matched DEF and pickups by outage duration"/>
                    <pic:cNvPicPr>
                      <a:picLocks noChangeAspect="1"/>
                    </pic:cNvPicPr>
                  </pic:nvPicPr>
                  <pic:blipFill>
                    <a:blip r:embed="rId19"/>
                    <a:stretch>
                      <a:fillRect/>
                    </a:stretch>
                  </pic:blipFill>
                  <pic:spPr>
                    <a:xfrm>
                      <a:off x="0" y="0"/>
                      <a:ext cx="5623560" cy="5471659"/>
                    </a:xfrm>
                    <a:prstGeom prst="rect">
                      <a:avLst/>
                    </a:prstGeom>
                  </pic:spPr>
                </pic:pic>
              </a:graphicData>
            </a:graphic>
          </wp:inline>
        </w:drawing>
      </w:r>
    </w:p>
    <w:p w14:paraId="11D1881D">
      <w:pPr>
        <w:pStyle w:val="12"/>
        <w:keepLines/>
      </w:pPr>
      <w:r>
        <w:t>Figure 4.3. Conditional WAMSN rises with observation-layer outage duration for every training seed, while type-matched DEF and pickups remain nearly flat. The three rows make the decoupling visible, but they do not imply that AoI caused a change in faithfulness: WAMSN itself includes normalised AoI.</w:t>
      </w:r>
    </w:p>
    <w:p w14:paraId="5DDA03A6">
      <w:pPr>
        <w:pStyle w:val="3"/>
        <w:keepNext/>
      </w:pPr>
      <w:r>
        <w:t>4.4 Paired attention reallocation is seed-dependent</w:t>
      </w:r>
    </w:p>
    <w:p w14:paraId="5265929E">
      <w:pPr>
        <w:widowControl/>
      </w:pPr>
      <w:r>
        <w:t>The paired stale-attention shift compares the degraded observation with its clean twin. The result is not consistent across trained policies.</w:t>
      </w:r>
    </w:p>
    <w:p w14:paraId="6F7D6B30">
      <w:pPr>
        <w:pStyle w:val="12"/>
        <w:keepNext/>
      </w:pPr>
      <w:r>
        <w:rPr>
          <w:b/>
        </w:rPr>
        <w:t>Table 4.3: Paired stale-attention shift estimates and confidence intervals</w:t>
      </w:r>
    </w:p>
    <w:tbl>
      <w:tblPr>
        <w:tblStyle w:val="6"/>
        <w:tblW w:w="9020" w:type="dxa"/>
        <w:jc w:val="center"/>
        <w:tblBorders>
          <w:top w:val="single" w:color="7F7F7F" w:sz="8" w:space="0"/>
          <w:left w:val="none" w:color="FFFFFF" w:sz="0" w:space="0"/>
          <w:bottom w:val="single" w:color="7F7F7F" w:sz="8" w:space="0"/>
          <w:right w:val="none" w:color="FFFFFF" w:sz="0" w:space="0"/>
          <w:insideH w:val="single" w:color="D9D9D9" w:sz="4" w:space="0"/>
          <w:insideV w:val="none" w:color="FFFFFF" w:sz="0" w:space="0"/>
        </w:tblBorders>
        <w:tblLayout w:type="fixed"/>
        <w:tblCellMar>
          <w:top w:w="0" w:type="dxa"/>
          <w:left w:w="108" w:type="dxa"/>
          <w:bottom w:w="0" w:type="dxa"/>
          <w:right w:w="108" w:type="dxa"/>
        </w:tblCellMar>
      </w:tblPr>
      <w:tblGrid>
        <w:gridCol w:w="2775"/>
        <w:gridCol w:w="1804"/>
        <w:gridCol w:w="1387"/>
        <w:gridCol w:w="3054"/>
      </w:tblGrid>
      <w:tr w14:paraId="34C7E0FF">
        <w:trPr>
          <w:cantSplit/>
          <w:tblHeader/>
          <w:jc w:val="center"/>
        </w:trPr>
        <w:tc>
          <w:tcPr>
            <w:tcW w:w="2775" w:type="dxa"/>
            <w:shd w:val="clear" w:color="auto" w:fill="E7E6E6"/>
            <w:tcMar>
              <w:top w:w="45" w:type="dxa"/>
              <w:left w:w="90" w:type="dxa"/>
              <w:bottom w:w="45" w:type="dxa"/>
              <w:right w:w="90" w:type="dxa"/>
            </w:tcMar>
            <w:vAlign w:val="center"/>
          </w:tcPr>
          <w:p w14:paraId="7643CFE5">
            <w:pPr>
              <w:keepLines/>
              <w:widowControl/>
              <w:spacing w:after="0" w:line="240" w:lineRule="auto"/>
              <w:jc w:val="left"/>
            </w:pPr>
            <w:r>
              <w:rPr>
                <w:rFonts w:ascii="Times New Roman" w:hAnsi="Times New Roman"/>
                <w:b/>
                <w:sz w:val="20"/>
              </w:rPr>
              <w:t>Model</w:t>
            </w:r>
          </w:p>
        </w:tc>
        <w:tc>
          <w:tcPr>
            <w:tcW w:w="1804" w:type="dxa"/>
            <w:shd w:val="clear" w:color="auto" w:fill="E7E6E6"/>
            <w:tcMar>
              <w:top w:w="45" w:type="dxa"/>
              <w:left w:w="90" w:type="dxa"/>
              <w:bottom w:w="45" w:type="dxa"/>
              <w:right w:w="90" w:type="dxa"/>
            </w:tcMar>
            <w:vAlign w:val="center"/>
          </w:tcPr>
          <w:p w14:paraId="08CEACCE">
            <w:pPr>
              <w:keepLines/>
              <w:widowControl/>
              <w:spacing w:after="0" w:line="240" w:lineRule="auto"/>
              <w:jc w:val="center"/>
            </w:pPr>
            <w:r>
              <w:rPr>
                <w:rFonts w:ascii="Times New Roman" w:hAnsi="Times New Roman"/>
                <w:b/>
                <w:sz w:val="20"/>
              </w:rPr>
              <w:t>Training seed</w:t>
            </w:r>
          </w:p>
        </w:tc>
        <w:tc>
          <w:tcPr>
            <w:tcW w:w="1387" w:type="dxa"/>
            <w:shd w:val="clear" w:color="auto" w:fill="E7E6E6"/>
            <w:tcMar>
              <w:top w:w="45" w:type="dxa"/>
              <w:left w:w="90" w:type="dxa"/>
              <w:bottom w:w="45" w:type="dxa"/>
              <w:right w:w="90" w:type="dxa"/>
            </w:tcMar>
            <w:vAlign w:val="center"/>
          </w:tcPr>
          <w:p w14:paraId="7E3D2D95">
            <w:pPr>
              <w:keepLines/>
              <w:widowControl/>
              <w:spacing w:after="0" w:line="240" w:lineRule="auto"/>
              <w:jc w:val="center"/>
            </w:pPr>
            <w:r>
              <w:rPr>
                <w:rFonts w:ascii="Times New Roman" w:hAnsi="Times New Roman"/>
                <w:b/>
                <w:sz w:val="20"/>
              </w:rPr>
              <w:t>Mean shift</w:t>
            </w:r>
          </w:p>
        </w:tc>
        <w:tc>
          <w:tcPr>
            <w:tcW w:w="3054" w:type="dxa"/>
            <w:shd w:val="clear" w:color="auto" w:fill="E7E6E6"/>
            <w:tcMar>
              <w:top w:w="45" w:type="dxa"/>
              <w:left w:w="90" w:type="dxa"/>
              <w:bottom w:w="45" w:type="dxa"/>
              <w:right w:w="90" w:type="dxa"/>
            </w:tcMar>
            <w:vAlign w:val="center"/>
          </w:tcPr>
          <w:p w14:paraId="1091E63C">
            <w:pPr>
              <w:keepLines/>
              <w:widowControl/>
              <w:spacing w:after="0" w:line="240" w:lineRule="auto"/>
              <w:jc w:val="center"/>
            </w:pPr>
            <w:r>
              <w:rPr>
                <w:rFonts w:ascii="Times New Roman" w:hAnsi="Times New Roman"/>
                <w:b/>
                <w:sz w:val="20"/>
              </w:rPr>
              <w:t>95% CI</w:t>
            </w:r>
          </w:p>
        </w:tc>
      </w:tr>
      <w:tr w14:paraId="284A51A1">
        <w:trPr>
          <w:cantSplit/>
          <w:jc w:val="center"/>
        </w:trPr>
        <w:tc>
          <w:tcPr>
            <w:tcW w:w="2775" w:type="dxa"/>
            <w:tcMar>
              <w:top w:w="45" w:type="dxa"/>
              <w:left w:w="90" w:type="dxa"/>
              <w:bottom w:w="45" w:type="dxa"/>
              <w:right w:w="90" w:type="dxa"/>
            </w:tcMar>
            <w:vAlign w:val="center"/>
          </w:tcPr>
          <w:p w14:paraId="589075CE">
            <w:pPr>
              <w:keepLines/>
              <w:widowControl/>
              <w:spacing w:after="0" w:line="240" w:lineRule="auto"/>
              <w:jc w:val="left"/>
            </w:pPr>
            <w:r>
              <w:rPr>
                <w:rFonts w:ascii="Times New Roman" w:hAnsi="Times New Roman"/>
                <w:sz w:val="20"/>
              </w:rPr>
              <w:t>B2 GAT</w:t>
            </w:r>
          </w:p>
        </w:tc>
        <w:tc>
          <w:tcPr>
            <w:tcW w:w="1804" w:type="dxa"/>
            <w:tcMar>
              <w:top w:w="45" w:type="dxa"/>
              <w:left w:w="90" w:type="dxa"/>
              <w:bottom w:w="45" w:type="dxa"/>
              <w:right w:w="90" w:type="dxa"/>
            </w:tcMar>
            <w:vAlign w:val="center"/>
          </w:tcPr>
          <w:p w14:paraId="343CADA9">
            <w:pPr>
              <w:keepLines/>
              <w:widowControl/>
              <w:spacing w:after="0" w:line="240" w:lineRule="auto"/>
              <w:jc w:val="center"/>
            </w:pPr>
            <w:r>
              <w:rPr>
                <w:rFonts w:ascii="Times New Roman" w:hAnsi="Times New Roman"/>
                <w:sz w:val="20"/>
              </w:rPr>
              <w:t>42</w:t>
            </w:r>
          </w:p>
        </w:tc>
        <w:tc>
          <w:tcPr>
            <w:tcW w:w="1387" w:type="dxa"/>
            <w:tcMar>
              <w:top w:w="45" w:type="dxa"/>
              <w:left w:w="90" w:type="dxa"/>
              <w:bottom w:w="45" w:type="dxa"/>
              <w:right w:w="90" w:type="dxa"/>
            </w:tcMar>
            <w:vAlign w:val="center"/>
          </w:tcPr>
          <w:p w14:paraId="493865F1">
            <w:pPr>
              <w:keepLines/>
              <w:widowControl/>
              <w:spacing w:after="0" w:line="240" w:lineRule="auto"/>
              <w:jc w:val="center"/>
            </w:pPr>
            <w:r>
              <w:rPr>
                <w:rFonts w:ascii="Times New Roman" w:hAnsi="Times New Roman"/>
                <w:sz w:val="20"/>
              </w:rPr>
              <w:t>+0.002706</w:t>
            </w:r>
          </w:p>
        </w:tc>
        <w:tc>
          <w:tcPr>
            <w:tcW w:w="3054" w:type="dxa"/>
            <w:tcMar>
              <w:top w:w="45" w:type="dxa"/>
              <w:left w:w="90" w:type="dxa"/>
              <w:bottom w:w="45" w:type="dxa"/>
              <w:right w:w="90" w:type="dxa"/>
            </w:tcMar>
            <w:vAlign w:val="center"/>
          </w:tcPr>
          <w:p w14:paraId="5F9A2A0F">
            <w:pPr>
              <w:keepLines/>
              <w:widowControl/>
              <w:spacing w:after="0" w:line="240" w:lineRule="auto"/>
              <w:jc w:val="center"/>
            </w:pPr>
            <w:r>
              <w:rPr>
                <w:rFonts w:ascii="Times New Roman" w:hAnsi="Times New Roman"/>
                <w:sz w:val="20"/>
              </w:rPr>
              <w:t>[0.002395, 0.003036]</w:t>
            </w:r>
          </w:p>
        </w:tc>
      </w:tr>
      <w:tr w14:paraId="46B14B56">
        <w:trPr>
          <w:cantSplit/>
          <w:jc w:val="center"/>
        </w:trPr>
        <w:tc>
          <w:tcPr>
            <w:tcW w:w="2775" w:type="dxa"/>
            <w:tcMar>
              <w:top w:w="45" w:type="dxa"/>
              <w:left w:w="90" w:type="dxa"/>
              <w:bottom w:w="45" w:type="dxa"/>
              <w:right w:w="90" w:type="dxa"/>
            </w:tcMar>
            <w:vAlign w:val="center"/>
          </w:tcPr>
          <w:p w14:paraId="5CED4BA1">
            <w:pPr>
              <w:keepLines/>
              <w:widowControl/>
              <w:spacing w:after="0" w:line="240" w:lineRule="auto"/>
              <w:jc w:val="left"/>
            </w:pPr>
            <w:r>
              <w:rPr>
                <w:rFonts w:ascii="Times New Roman" w:hAnsi="Times New Roman"/>
                <w:sz w:val="20"/>
              </w:rPr>
              <w:t>B2 GAT</w:t>
            </w:r>
          </w:p>
        </w:tc>
        <w:tc>
          <w:tcPr>
            <w:tcW w:w="1804" w:type="dxa"/>
            <w:tcMar>
              <w:top w:w="45" w:type="dxa"/>
              <w:left w:w="90" w:type="dxa"/>
              <w:bottom w:w="45" w:type="dxa"/>
              <w:right w:w="90" w:type="dxa"/>
            </w:tcMar>
            <w:vAlign w:val="center"/>
          </w:tcPr>
          <w:p w14:paraId="682A0404">
            <w:pPr>
              <w:keepLines/>
              <w:widowControl/>
              <w:spacing w:after="0" w:line="240" w:lineRule="auto"/>
              <w:jc w:val="center"/>
            </w:pPr>
            <w:r>
              <w:rPr>
                <w:rFonts w:ascii="Times New Roman" w:hAnsi="Times New Roman"/>
                <w:sz w:val="20"/>
              </w:rPr>
              <w:t>43</w:t>
            </w:r>
          </w:p>
        </w:tc>
        <w:tc>
          <w:tcPr>
            <w:tcW w:w="1387" w:type="dxa"/>
            <w:tcMar>
              <w:top w:w="45" w:type="dxa"/>
              <w:left w:w="90" w:type="dxa"/>
              <w:bottom w:w="45" w:type="dxa"/>
              <w:right w:w="90" w:type="dxa"/>
            </w:tcMar>
            <w:vAlign w:val="center"/>
          </w:tcPr>
          <w:p w14:paraId="70C6BFF6">
            <w:pPr>
              <w:keepLines/>
              <w:widowControl/>
              <w:spacing w:after="0" w:line="240" w:lineRule="auto"/>
              <w:jc w:val="center"/>
            </w:pPr>
            <w:r>
              <w:rPr>
                <w:rFonts w:ascii="Times New Roman" w:hAnsi="Times New Roman"/>
                <w:sz w:val="20"/>
              </w:rPr>
              <w:t>+0.000618</w:t>
            </w:r>
          </w:p>
        </w:tc>
        <w:tc>
          <w:tcPr>
            <w:tcW w:w="3054" w:type="dxa"/>
            <w:tcMar>
              <w:top w:w="45" w:type="dxa"/>
              <w:left w:w="90" w:type="dxa"/>
              <w:bottom w:w="45" w:type="dxa"/>
              <w:right w:w="90" w:type="dxa"/>
            </w:tcMar>
            <w:vAlign w:val="center"/>
          </w:tcPr>
          <w:p w14:paraId="70BB33AF">
            <w:pPr>
              <w:keepLines/>
              <w:widowControl/>
              <w:spacing w:after="0" w:line="240" w:lineRule="auto"/>
              <w:jc w:val="center"/>
            </w:pPr>
            <w:r>
              <w:rPr>
                <w:rFonts w:ascii="Times New Roman" w:hAnsi="Times New Roman"/>
                <w:sz w:val="20"/>
              </w:rPr>
              <w:t>[0.000424, 0.000780]</w:t>
            </w:r>
          </w:p>
        </w:tc>
      </w:tr>
      <w:tr w14:paraId="37F66114">
        <w:trPr>
          <w:cantSplit/>
          <w:jc w:val="center"/>
        </w:trPr>
        <w:tc>
          <w:tcPr>
            <w:tcW w:w="2775" w:type="dxa"/>
            <w:tcMar>
              <w:top w:w="45" w:type="dxa"/>
              <w:left w:w="90" w:type="dxa"/>
              <w:bottom w:w="45" w:type="dxa"/>
              <w:right w:w="90" w:type="dxa"/>
            </w:tcMar>
            <w:vAlign w:val="center"/>
          </w:tcPr>
          <w:p w14:paraId="732943E2">
            <w:pPr>
              <w:keepLines/>
              <w:widowControl/>
              <w:spacing w:after="0" w:line="240" w:lineRule="auto"/>
              <w:jc w:val="left"/>
            </w:pPr>
            <w:r>
              <w:rPr>
                <w:rFonts w:ascii="Times New Roman" w:hAnsi="Times New Roman"/>
                <w:sz w:val="20"/>
              </w:rPr>
              <w:t>B2 GAT</w:t>
            </w:r>
          </w:p>
        </w:tc>
        <w:tc>
          <w:tcPr>
            <w:tcW w:w="1804" w:type="dxa"/>
            <w:tcMar>
              <w:top w:w="45" w:type="dxa"/>
              <w:left w:w="90" w:type="dxa"/>
              <w:bottom w:w="45" w:type="dxa"/>
              <w:right w:w="90" w:type="dxa"/>
            </w:tcMar>
            <w:vAlign w:val="center"/>
          </w:tcPr>
          <w:p w14:paraId="47CE1E6A">
            <w:pPr>
              <w:keepLines/>
              <w:widowControl/>
              <w:spacing w:after="0" w:line="240" w:lineRule="auto"/>
              <w:jc w:val="center"/>
            </w:pPr>
            <w:r>
              <w:rPr>
                <w:rFonts w:ascii="Times New Roman" w:hAnsi="Times New Roman"/>
                <w:sz w:val="20"/>
              </w:rPr>
              <w:t>44</w:t>
            </w:r>
          </w:p>
        </w:tc>
        <w:tc>
          <w:tcPr>
            <w:tcW w:w="1387" w:type="dxa"/>
            <w:tcMar>
              <w:top w:w="45" w:type="dxa"/>
              <w:left w:w="90" w:type="dxa"/>
              <w:bottom w:w="45" w:type="dxa"/>
              <w:right w:w="90" w:type="dxa"/>
            </w:tcMar>
            <w:vAlign w:val="center"/>
          </w:tcPr>
          <w:p w14:paraId="7C55EE76">
            <w:pPr>
              <w:keepLines/>
              <w:widowControl/>
              <w:spacing w:after="0" w:line="240" w:lineRule="auto"/>
              <w:jc w:val="center"/>
            </w:pPr>
            <w:r>
              <w:rPr>
                <w:rFonts w:ascii="Times New Roman" w:hAnsi="Times New Roman"/>
                <w:sz w:val="20"/>
              </w:rPr>
              <w:t>-0.001278</w:t>
            </w:r>
          </w:p>
        </w:tc>
        <w:tc>
          <w:tcPr>
            <w:tcW w:w="3054" w:type="dxa"/>
            <w:tcMar>
              <w:top w:w="45" w:type="dxa"/>
              <w:left w:w="90" w:type="dxa"/>
              <w:bottom w:w="45" w:type="dxa"/>
              <w:right w:w="90" w:type="dxa"/>
            </w:tcMar>
            <w:vAlign w:val="center"/>
          </w:tcPr>
          <w:p w14:paraId="6737DCDE">
            <w:pPr>
              <w:keepLines/>
              <w:widowControl/>
              <w:spacing w:after="0" w:line="240" w:lineRule="auto"/>
              <w:jc w:val="center"/>
            </w:pPr>
            <w:r>
              <w:rPr>
                <w:rFonts w:ascii="Times New Roman" w:hAnsi="Times New Roman"/>
                <w:sz w:val="20"/>
              </w:rPr>
              <w:t>[-0.001436, -0.001112]</w:t>
            </w:r>
          </w:p>
        </w:tc>
      </w:tr>
      <w:tr w14:paraId="0F86E439">
        <w:trPr>
          <w:cantSplit/>
          <w:jc w:val="center"/>
        </w:trPr>
        <w:tc>
          <w:tcPr>
            <w:tcW w:w="2775" w:type="dxa"/>
            <w:tcMar>
              <w:top w:w="45" w:type="dxa"/>
              <w:left w:w="90" w:type="dxa"/>
              <w:bottom w:w="45" w:type="dxa"/>
              <w:right w:w="90" w:type="dxa"/>
            </w:tcMar>
            <w:vAlign w:val="center"/>
          </w:tcPr>
          <w:p w14:paraId="37FC9C78">
            <w:pPr>
              <w:keepLines/>
              <w:widowControl/>
              <w:spacing w:after="0" w:line="240" w:lineRule="auto"/>
              <w:jc w:val="left"/>
            </w:pPr>
            <w:r>
              <w:rPr>
                <w:rFonts w:ascii="Times New Roman" w:hAnsi="Times New Roman"/>
                <w:sz w:val="20"/>
              </w:rPr>
              <w:t>H5 degraded training</w:t>
            </w:r>
          </w:p>
        </w:tc>
        <w:tc>
          <w:tcPr>
            <w:tcW w:w="1804" w:type="dxa"/>
            <w:tcMar>
              <w:top w:w="45" w:type="dxa"/>
              <w:left w:w="90" w:type="dxa"/>
              <w:bottom w:w="45" w:type="dxa"/>
              <w:right w:w="90" w:type="dxa"/>
            </w:tcMar>
            <w:vAlign w:val="center"/>
          </w:tcPr>
          <w:p w14:paraId="7EE7B9C7">
            <w:pPr>
              <w:keepLines/>
              <w:widowControl/>
              <w:spacing w:after="0" w:line="240" w:lineRule="auto"/>
              <w:jc w:val="center"/>
            </w:pPr>
            <w:r>
              <w:rPr>
                <w:rFonts w:ascii="Times New Roman" w:hAnsi="Times New Roman"/>
                <w:sz w:val="20"/>
              </w:rPr>
              <w:t>42</w:t>
            </w:r>
          </w:p>
        </w:tc>
        <w:tc>
          <w:tcPr>
            <w:tcW w:w="1387" w:type="dxa"/>
            <w:tcMar>
              <w:top w:w="45" w:type="dxa"/>
              <w:left w:w="90" w:type="dxa"/>
              <w:bottom w:w="45" w:type="dxa"/>
              <w:right w:w="90" w:type="dxa"/>
            </w:tcMar>
            <w:vAlign w:val="center"/>
          </w:tcPr>
          <w:p w14:paraId="3A01930A">
            <w:pPr>
              <w:keepLines/>
              <w:widowControl/>
              <w:spacing w:after="0" w:line="240" w:lineRule="auto"/>
              <w:jc w:val="center"/>
            </w:pPr>
            <w:r>
              <w:rPr>
                <w:rFonts w:ascii="Times New Roman" w:hAnsi="Times New Roman"/>
                <w:sz w:val="20"/>
              </w:rPr>
              <w:t>+0.002374</w:t>
            </w:r>
          </w:p>
        </w:tc>
        <w:tc>
          <w:tcPr>
            <w:tcW w:w="3054" w:type="dxa"/>
            <w:tcMar>
              <w:top w:w="45" w:type="dxa"/>
              <w:left w:w="90" w:type="dxa"/>
              <w:bottom w:w="45" w:type="dxa"/>
              <w:right w:w="90" w:type="dxa"/>
            </w:tcMar>
            <w:vAlign w:val="center"/>
          </w:tcPr>
          <w:p w14:paraId="1D029D30">
            <w:pPr>
              <w:keepLines/>
              <w:widowControl/>
              <w:spacing w:after="0" w:line="240" w:lineRule="auto"/>
              <w:jc w:val="center"/>
            </w:pPr>
            <w:r>
              <w:rPr>
                <w:rFonts w:ascii="Times New Roman" w:hAnsi="Times New Roman"/>
                <w:sz w:val="20"/>
              </w:rPr>
              <w:t>[0.002151, 0.002609]</w:t>
            </w:r>
          </w:p>
        </w:tc>
      </w:tr>
      <w:tr w14:paraId="1527E335">
        <w:trPr>
          <w:cantSplit/>
          <w:jc w:val="center"/>
        </w:trPr>
        <w:tc>
          <w:tcPr>
            <w:tcW w:w="2775" w:type="dxa"/>
            <w:tcMar>
              <w:top w:w="45" w:type="dxa"/>
              <w:left w:w="90" w:type="dxa"/>
              <w:bottom w:w="45" w:type="dxa"/>
              <w:right w:w="90" w:type="dxa"/>
            </w:tcMar>
            <w:vAlign w:val="center"/>
          </w:tcPr>
          <w:p w14:paraId="2B122104">
            <w:pPr>
              <w:keepLines/>
              <w:widowControl/>
              <w:spacing w:after="0" w:line="240" w:lineRule="auto"/>
              <w:jc w:val="left"/>
            </w:pPr>
            <w:r>
              <w:rPr>
                <w:rFonts w:ascii="Times New Roman" w:hAnsi="Times New Roman"/>
                <w:sz w:val="20"/>
              </w:rPr>
              <w:t>H5 degraded training</w:t>
            </w:r>
          </w:p>
        </w:tc>
        <w:tc>
          <w:tcPr>
            <w:tcW w:w="1804" w:type="dxa"/>
            <w:tcMar>
              <w:top w:w="45" w:type="dxa"/>
              <w:left w:w="90" w:type="dxa"/>
              <w:bottom w:w="45" w:type="dxa"/>
              <w:right w:w="90" w:type="dxa"/>
            </w:tcMar>
            <w:vAlign w:val="center"/>
          </w:tcPr>
          <w:p w14:paraId="53E35F83">
            <w:pPr>
              <w:keepLines/>
              <w:widowControl/>
              <w:spacing w:after="0" w:line="240" w:lineRule="auto"/>
              <w:jc w:val="center"/>
            </w:pPr>
            <w:r>
              <w:rPr>
                <w:rFonts w:ascii="Times New Roman" w:hAnsi="Times New Roman"/>
                <w:sz w:val="20"/>
              </w:rPr>
              <w:t>43</w:t>
            </w:r>
          </w:p>
        </w:tc>
        <w:tc>
          <w:tcPr>
            <w:tcW w:w="1387" w:type="dxa"/>
            <w:tcMar>
              <w:top w:w="45" w:type="dxa"/>
              <w:left w:w="90" w:type="dxa"/>
              <w:bottom w:w="45" w:type="dxa"/>
              <w:right w:w="90" w:type="dxa"/>
            </w:tcMar>
            <w:vAlign w:val="center"/>
          </w:tcPr>
          <w:p w14:paraId="2D668620">
            <w:pPr>
              <w:keepLines/>
              <w:widowControl/>
              <w:spacing w:after="0" w:line="240" w:lineRule="auto"/>
              <w:jc w:val="center"/>
            </w:pPr>
            <w:r>
              <w:rPr>
                <w:rFonts w:ascii="Times New Roman" w:hAnsi="Times New Roman"/>
                <w:sz w:val="20"/>
              </w:rPr>
              <w:t>+0.000783</w:t>
            </w:r>
          </w:p>
        </w:tc>
        <w:tc>
          <w:tcPr>
            <w:tcW w:w="3054" w:type="dxa"/>
            <w:tcMar>
              <w:top w:w="45" w:type="dxa"/>
              <w:left w:w="90" w:type="dxa"/>
              <w:bottom w:w="45" w:type="dxa"/>
              <w:right w:w="90" w:type="dxa"/>
            </w:tcMar>
            <w:vAlign w:val="center"/>
          </w:tcPr>
          <w:p w14:paraId="1E0F905E">
            <w:pPr>
              <w:keepLines/>
              <w:widowControl/>
              <w:spacing w:after="0" w:line="240" w:lineRule="auto"/>
              <w:jc w:val="center"/>
            </w:pPr>
            <w:r>
              <w:rPr>
                <w:rFonts w:ascii="Times New Roman" w:hAnsi="Times New Roman"/>
                <w:sz w:val="20"/>
              </w:rPr>
              <w:t>[0.000710, 0.000862]</w:t>
            </w:r>
          </w:p>
        </w:tc>
      </w:tr>
      <w:tr w14:paraId="13813830">
        <w:trPr>
          <w:cantSplit/>
          <w:jc w:val="center"/>
        </w:trPr>
        <w:tc>
          <w:tcPr>
            <w:tcW w:w="2775" w:type="dxa"/>
            <w:tcMar>
              <w:top w:w="45" w:type="dxa"/>
              <w:left w:w="90" w:type="dxa"/>
              <w:bottom w:w="45" w:type="dxa"/>
              <w:right w:w="90" w:type="dxa"/>
            </w:tcMar>
            <w:vAlign w:val="center"/>
          </w:tcPr>
          <w:p w14:paraId="51501116">
            <w:pPr>
              <w:keepLines/>
              <w:widowControl/>
              <w:spacing w:after="0" w:line="240" w:lineRule="auto"/>
              <w:jc w:val="left"/>
            </w:pPr>
            <w:r>
              <w:rPr>
                <w:rFonts w:ascii="Times New Roman" w:hAnsi="Times New Roman"/>
                <w:sz w:val="20"/>
              </w:rPr>
              <w:t>H5 degraded training</w:t>
            </w:r>
          </w:p>
        </w:tc>
        <w:tc>
          <w:tcPr>
            <w:tcW w:w="1804" w:type="dxa"/>
            <w:tcMar>
              <w:top w:w="45" w:type="dxa"/>
              <w:left w:w="90" w:type="dxa"/>
              <w:bottom w:w="45" w:type="dxa"/>
              <w:right w:w="90" w:type="dxa"/>
            </w:tcMar>
            <w:vAlign w:val="center"/>
          </w:tcPr>
          <w:p w14:paraId="546519A7">
            <w:pPr>
              <w:keepLines/>
              <w:widowControl/>
              <w:spacing w:after="0" w:line="240" w:lineRule="auto"/>
              <w:jc w:val="center"/>
            </w:pPr>
            <w:r>
              <w:rPr>
                <w:rFonts w:ascii="Times New Roman" w:hAnsi="Times New Roman"/>
                <w:sz w:val="20"/>
              </w:rPr>
              <w:t>44</w:t>
            </w:r>
          </w:p>
        </w:tc>
        <w:tc>
          <w:tcPr>
            <w:tcW w:w="1387" w:type="dxa"/>
            <w:tcMar>
              <w:top w:w="45" w:type="dxa"/>
              <w:left w:w="90" w:type="dxa"/>
              <w:bottom w:w="45" w:type="dxa"/>
              <w:right w:w="90" w:type="dxa"/>
            </w:tcMar>
            <w:vAlign w:val="center"/>
          </w:tcPr>
          <w:p w14:paraId="7F47FDC2">
            <w:pPr>
              <w:keepLines/>
              <w:widowControl/>
              <w:spacing w:after="0" w:line="240" w:lineRule="auto"/>
              <w:jc w:val="center"/>
            </w:pPr>
            <w:r>
              <w:rPr>
                <w:rFonts w:ascii="Times New Roman" w:hAnsi="Times New Roman"/>
                <w:sz w:val="20"/>
              </w:rPr>
              <w:t>-0.001231</w:t>
            </w:r>
          </w:p>
        </w:tc>
        <w:tc>
          <w:tcPr>
            <w:tcW w:w="3054" w:type="dxa"/>
            <w:tcMar>
              <w:top w:w="45" w:type="dxa"/>
              <w:left w:w="90" w:type="dxa"/>
              <w:bottom w:w="45" w:type="dxa"/>
              <w:right w:w="90" w:type="dxa"/>
            </w:tcMar>
            <w:vAlign w:val="center"/>
          </w:tcPr>
          <w:p w14:paraId="690BFE8C">
            <w:pPr>
              <w:keepLines/>
              <w:widowControl/>
              <w:spacing w:after="0" w:line="240" w:lineRule="auto"/>
              <w:jc w:val="center"/>
            </w:pPr>
            <w:r>
              <w:rPr>
                <w:rFonts w:ascii="Times New Roman" w:hAnsi="Times New Roman"/>
                <w:sz w:val="20"/>
              </w:rPr>
              <w:t>[-0.001410, -0.001072]</w:t>
            </w:r>
          </w:p>
        </w:tc>
      </w:tr>
    </w:tbl>
    <w:p w14:paraId="46523EE5">
      <w:pPr>
        <w:widowControl/>
      </w:pPr>
    </w:p>
    <w:p w14:paraId="3DE203CA">
      <w:pPr>
        <w:widowControl/>
      </w:pPr>
      <w:bookmarkStart w:id="0" w:name="_GoBack"/>
      <w:bookmarkEnd w:id="0"/>
      <w:r>
        <w:t>Both training regimes therefore have two positive seeds out of three.</w:t>
      </w:r>
    </w:p>
    <w:p w14:paraId="23EE341E">
      <w:pPr>
        <w:widowControl/>
      </w:pPr>
      <w:r>
        <w:t>Within each seed, the confidence intervals are narrow because the same decisions are paired. However, precision within one trained policy does not resolve disagreement between independently trained policies. The primary claim cannot therefore be "degradation always shifts attention toward stale nodes". A defensible statement is that the direction and size of attention reallocation depend on the learned policy.</w:t>
      </w:r>
    </w:p>
    <w:p w14:paraId="78289449">
      <w:pPr>
        <w:keepNext/>
        <w:keepLines/>
        <w:spacing w:before="120" w:after="40"/>
        <w:jc w:val="center"/>
      </w:pPr>
      <w:r>
        <w:drawing>
          <wp:inline distT="0" distB="0" distL="114300" distR="114300">
            <wp:extent cx="5623560" cy="3115945"/>
            <wp:effectExtent l="0" t="0" r="15240" b="8255"/>
            <wp:docPr id="10" name="Picture 10" descr="Paired stale-attention sh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aired stale-attention shift"/>
                    <pic:cNvPicPr>
                      <a:picLocks noChangeAspect="1"/>
                    </pic:cNvPicPr>
                  </pic:nvPicPr>
                  <pic:blipFill>
                    <a:blip r:embed="rId20"/>
                    <a:stretch>
                      <a:fillRect/>
                    </a:stretch>
                  </pic:blipFill>
                  <pic:spPr>
                    <a:xfrm>
                      <a:off x="0" y="0"/>
                      <a:ext cx="5623560" cy="3116118"/>
                    </a:xfrm>
                    <a:prstGeom prst="rect">
                      <a:avLst/>
                    </a:prstGeom>
                  </pic:spPr>
                </pic:pic>
              </a:graphicData>
            </a:graphic>
          </wp:inline>
        </w:drawing>
      </w:r>
    </w:p>
    <w:p w14:paraId="76088C6C">
      <w:pPr>
        <w:pStyle w:val="12"/>
        <w:keepLines/>
      </w:pPr>
      <w:r>
        <w:t>Figure 4.4. Positive values mean more attention mass on stale nodes in the degraded twin; seed 44 reverses the direction for both training regimes.</w:t>
      </w:r>
    </w:p>
    <w:p w14:paraId="29BB8784">
      <w:pPr>
        <w:pStyle w:val="3"/>
        <w:keepNext/>
      </w:pPr>
      <w:r>
        <w:t>4.5 Faithfulness and decoupling hypotheses</w:t>
      </w:r>
    </w:p>
    <w:p w14:paraId="7985CF73">
      <w:pPr>
        <w:widowControl/>
      </w:pPr>
      <w:r>
        <w:t>H1 is not supported for any B2 or H5 seed. The robust DEF-duration correlations remain close to zero, with all Holm-adjusted p-values above 0.67. The experiment therefore provides no evidence that a longer outage directly reduces DEF.</w:t>
      </w:r>
    </w:p>
    <w:p w14:paraId="40528307">
      <w:pPr>
        <w:widowControl/>
      </w:pPr>
      <w:r>
        <w:t>H2 is also unsupported in all six trained policies. Faithfulness does not decline faster than pickups under the v4 protocol. Rate calculations are especially unstable when clean DEF is close to zero, so the negative result is more reliable than a narrative built from large percentage changes around a near-zero denominator.</w:t>
      </w:r>
    </w:p>
    <w:p w14:paraId="201E4E23">
      <w:pPr>
        <w:widowControl/>
      </w:pPr>
      <w:r>
        <w:t>H4 is model- and seed-dependent. None of the three B2 policies support the predicted negative within-episode WAMSN-DEF relationship; their mean within-episode correlations are positive (0.036-0.069). H5 seeds 42 and 43 do support a negative relationship (rho = -0.072 and -0.061, adjusted p = 0.0004), but H5 seed 44 does not (rho = -0.001, adjusted p = 0.185). This mixed result is exploratory evidence of a possible training-regime interaction, not a general finding.</w:t>
      </w:r>
    </w:p>
    <w:p w14:paraId="11DF2B2A">
      <w:pPr>
        <w:keepNext/>
        <w:keepLines/>
        <w:spacing w:before="120" w:after="40"/>
        <w:jc w:val="center"/>
      </w:pPr>
      <w:r>
        <w:drawing>
          <wp:inline distT="0" distB="0" distL="114300" distR="114300">
            <wp:extent cx="5623560" cy="3014980"/>
            <wp:effectExtent l="0" t="0" r="15240" b="7620"/>
            <wp:docPr id="11" name="Picture 11" descr="Within-episode WAMSN-DEF correlation by training s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ithin-episode WAMSN-DEF correlation by training seed"/>
                    <pic:cNvPicPr>
                      <a:picLocks noChangeAspect="1"/>
                    </pic:cNvPicPr>
                  </pic:nvPicPr>
                  <pic:blipFill>
                    <a:blip r:embed="rId21"/>
                    <a:stretch>
                      <a:fillRect/>
                    </a:stretch>
                  </pic:blipFill>
                  <pic:spPr>
                    <a:xfrm>
                      <a:off x="0" y="0"/>
                      <a:ext cx="5623560" cy="3015532"/>
                    </a:xfrm>
                    <a:prstGeom prst="rect">
                      <a:avLst/>
                    </a:prstGeom>
                  </pic:spPr>
                </pic:pic>
              </a:graphicData>
            </a:graphic>
          </wp:inline>
        </w:drawing>
      </w:r>
    </w:p>
    <w:p w14:paraId="16B523C4">
      <w:pPr>
        <w:pStyle w:val="12"/>
        <w:keepLines/>
      </w:pPr>
      <w:r>
        <w:t>Figure 4.5. Within-episode Spearman correlations between WAMSN and DEF. Filled points passed the within-policy Holm-corrected H4 test; open points did not. The direction differs between B2 and H5 and is not consistent across all training seeds.</w:t>
      </w:r>
    </w:p>
    <w:p w14:paraId="4260FA0A">
      <w:pPr>
        <w:pStyle w:val="3"/>
        <w:keepNext/>
      </w:pPr>
      <w:r>
        <w:t>4.6 Degradation-aware training</w:t>
      </w:r>
    </w:p>
    <w:p w14:paraId="6A73D35E">
      <w:pPr>
        <w:widowControl/>
      </w:pPr>
      <w:r>
        <w:t>H5 does not provide a consistent mitigation. Its stale-attention shifts follow the same two-positive, one-negative pattern as B2. H1 and H2 remain unsupported. H4 becomes negative for two seeds, but this does not reproduce in seed 44. The large clean-performance drop for H5 seed 44 also shows that degradation-aware training can be unstable under the present settings.</w:t>
      </w:r>
    </w:p>
    <w:p w14:paraId="0782002B">
      <w:pPr>
        <w:widowControl/>
      </w:pPr>
      <w:r>
        <w:t>The correct conclusion is not that H5 improves or worsens faithfulness. The experiment shows that training under one 30-second degradation condition does not make explanation behaviour consistent across training seeds.</w:t>
      </w:r>
    </w:p>
    <w:p w14:paraId="7F443F01">
      <w:pPr>
        <w:pStyle w:val="3"/>
        <w:keepNext/>
      </w:pPr>
      <w:r>
        <w:t>4.7 Hypothesis summary</w:t>
      </w:r>
    </w:p>
    <w:p w14:paraId="7045A07B">
      <w:pPr>
        <w:pStyle w:val="12"/>
        <w:keepNext/>
      </w:pPr>
      <w:r>
        <w:rPr>
          <w:b/>
        </w:rPr>
        <w:t>Table 4.4: Hypothesis outcomes across training seeds</w:t>
      </w:r>
    </w:p>
    <w:tbl>
      <w:tblPr>
        <w:tblStyle w:val="6"/>
        <w:tblW w:w="9020" w:type="dxa"/>
        <w:jc w:val="center"/>
        <w:tblBorders>
          <w:top w:val="single" w:color="7F7F7F" w:sz="8" w:space="0"/>
          <w:left w:val="none" w:color="FFFFFF" w:sz="0" w:space="0"/>
          <w:bottom w:val="single" w:color="7F7F7F" w:sz="8" w:space="0"/>
          <w:right w:val="none" w:color="FFFFFF" w:sz="0" w:space="0"/>
          <w:insideH w:val="single" w:color="D9D9D9" w:sz="4" w:space="0"/>
          <w:insideV w:val="none" w:color="FFFFFF" w:sz="0" w:space="0"/>
        </w:tblBorders>
        <w:tblLayout w:type="fixed"/>
        <w:tblCellMar>
          <w:top w:w="0" w:type="dxa"/>
          <w:left w:w="108" w:type="dxa"/>
          <w:bottom w:w="0" w:type="dxa"/>
          <w:right w:w="108" w:type="dxa"/>
        </w:tblCellMar>
      </w:tblPr>
      <w:tblGrid>
        <w:gridCol w:w="3560"/>
        <w:gridCol w:w="1503"/>
        <w:gridCol w:w="1978"/>
        <w:gridCol w:w="1979"/>
      </w:tblGrid>
      <w:tr w14:paraId="77FF73A3">
        <w:trPr>
          <w:cantSplit/>
          <w:tblHeader/>
          <w:jc w:val="center"/>
        </w:trPr>
        <w:tc>
          <w:tcPr>
            <w:tcW w:w="3560" w:type="dxa"/>
            <w:shd w:val="clear" w:color="auto" w:fill="E7E6E6"/>
            <w:tcMar>
              <w:top w:w="45" w:type="dxa"/>
              <w:left w:w="90" w:type="dxa"/>
              <w:bottom w:w="45" w:type="dxa"/>
              <w:right w:w="90" w:type="dxa"/>
            </w:tcMar>
            <w:vAlign w:val="center"/>
          </w:tcPr>
          <w:p w14:paraId="66C041DF">
            <w:pPr>
              <w:keepLines/>
              <w:widowControl/>
              <w:spacing w:after="0" w:line="240" w:lineRule="auto"/>
              <w:jc w:val="left"/>
            </w:pPr>
            <w:r>
              <w:rPr>
                <w:rFonts w:ascii="Times New Roman" w:hAnsi="Times New Roman"/>
                <w:b/>
                <w:sz w:val="20"/>
              </w:rPr>
              <w:t>Hypothesis</w:t>
            </w:r>
          </w:p>
        </w:tc>
        <w:tc>
          <w:tcPr>
            <w:tcW w:w="1503" w:type="dxa"/>
            <w:shd w:val="clear" w:color="auto" w:fill="E7E6E6"/>
            <w:tcMar>
              <w:top w:w="45" w:type="dxa"/>
              <w:left w:w="90" w:type="dxa"/>
              <w:bottom w:w="45" w:type="dxa"/>
              <w:right w:w="90" w:type="dxa"/>
            </w:tcMar>
            <w:vAlign w:val="center"/>
          </w:tcPr>
          <w:p w14:paraId="27B58A23">
            <w:pPr>
              <w:keepLines/>
              <w:widowControl/>
              <w:spacing w:after="0" w:line="240" w:lineRule="auto"/>
              <w:jc w:val="center"/>
            </w:pPr>
            <w:r>
              <w:rPr>
                <w:rFonts w:ascii="Times New Roman" w:hAnsi="Times New Roman"/>
                <w:b/>
                <w:sz w:val="20"/>
              </w:rPr>
              <w:t>B2 seeds supporting</w:t>
            </w:r>
          </w:p>
        </w:tc>
        <w:tc>
          <w:tcPr>
            <w:tcW w:w="1978" w:type="dxa"/>
            <w:shd w:val="clear" w:color="auto" w:fill="E7E6E6"/>
            <w:tcMar>
              <w:top w:w="45" w:type="dxa"/>
              <w:left w:w="90" w:type="dxa"/>
              <w:bottom w:w="45" w:type="dxa"/>
              <w:right w:w="90" w:type="dxa"/>
            </w:tcMar>
            <w:vAlign w:val="center"/>
          </w:tcPr>
          <w:p w14:paraId="05E431CB">
            <w:pPr>
              <w:keepLines/>
              <w:widowControl/>
              <w:spacing w:after="0" w:line="240" w:lineRule="auto"/>
              <w:jc w:val="center"/>
            </w:pPr>
            <w:r>
              <w:rPr>
                <w:rFonts w:ascii="Times New Roman" w:hAnsi="Times New Roman"/>
                <w:b/>
                <w:sz w:val="20"/>
              </w:rPr>
              <w:t>H5 seeds supporting</w:t>
            </w:r>
          </w:p>
        </w:tc>
        <w:tc>
          <w:tcPr>
            <w:tcW w:w="1979" w:type="dxa"/>
            <w:shd w:val="clear" w:color="auto" w:fill="E7E6E6"/>
            <w:tcMar>
              <w:top w:w="45" w:type="dxa"/>
              <w:left w:w="90" w:type="dxa"/>
              <w:bottom w:w="45" w:type="dxa"/>
              <w:right w:w="90" w:type="dxa"/>
            </w:tcMar>
            <w:vAlign w:val="center"/>
          </w:tcPr>
          <w:p w14:paraId="60638DCF">
            <w:pPr>
              <w:keepLines/>
              <w:widowControl/>
              <w:spacing w:after="0" w:line="240" w:lineRule="auto"/>
              <w:jc w:val="center"/>
            </w:pPr>
            <w:r>
              <w:rPr>
                <w:rFonts w:ascii="Times New Roman" w:hAnsi="Times New Roman"/>
                <w:b/>
                <w:sz w:val="20"/>
              </w:rPr>
              <w:t>Final verdict</w:t>
            </w:r>
          </w:p>
        </w:tc>
      </w:tr>
      <w:tr w14:paraId="732B502A">
        <w:trPr>
          <w:cantSplit/>
          <w:jc w:val="center"/>
        </w:trPr>
        <w:tc>
          <w:tcPr>
            <w:tcW w:w="3560" w:type="dxa"/>
            <w:tcMar>
              <w:top w:w="45" w:type="dxa"/>
              <w:left w:w="90" w:type="dxa"/>
              <w:bottom w:w="45" w:type="dxa"/>
              <w:right w:w="90" w:type="dxa"/>
            </w:tcMar>
            <w:vAlign w:val="center"/>
          </w:tcPr>
          <w:p w14:paraId="19C108AC">
            <w:pPr>
              <w:keepLines/>
              <w:widowControl/>
              <w:spacing w:after="0" w:line="240" w:lineRule="auto"/>
              <w:jc w:val="left"/>
            </w:pPr>
            <w:r>
              <w:rPr>
                <w:rFonts w:ascii="Times New Roman" w:hAnsi="Times New Roman"/>
                <w:sz w:val="20"/>
              </w:rPr>
              <w:t>H1: outage duration increases, DEF decreases</w:t>
            </w:r>
          </w:p>
        </w:tc>
        <w:tc>
          <w:tcPr>
            <w:tcW w:w="1503" w:type="dxa"/>
            <w:tcMar>
              <w:top w:w="45" w:type="dxa"/>
              <w:left w:w="90" w:type="dxa"/>
              <w:bottom w:w="45" w:type="dxa"/>
              <w:right w:w="90" w:type="dxa"/>
            </w:tcMar>
            <w:vAlign w:val="center"/>
          </w:tcPr>
          <w:p w14:paraId="26F63076">
            <w:pPr>
              <w:keepLines/>
              <w:widowControl/>
              <w:spacing w:after="0" w:line="240" w:lineRule="auto"/>
              <w:jc w:val="center"/>
            </w:pPr>
            <w:r>
              <w:rPr>
                <w:rFonts w:ascii="Times New Roman" w:hAnsi="Times New Roman"/>
                <w:sz w:val="20"/>
              </w:rPr>
              <w:t>0/3</w:t>
            </w:r>
          </w:p>
        </w:tc>
        <w:tc>
          <w:tcPr>
            <w:tcW w:w="1978" w:type="dxa"/>
            <w:tcMar>
              <w:top w:w="45" w:type="dxa"/>
              <w:left w:w="90" w:type="dxa"/>
              <w:bottom w:w="45" w:type="dxa"/>
              <w:right w:w="90" w:type="dxa"/>
            </w:tcMar>
            <w:vAlign w:val="center"/>
          </w:tcPr>
          <w:p w14:paraId="6334091D">
            <w:pPr>
              <w:keepLines/>
              <w:widowControl/>
              <w:spacing w:after="0" w:line="240" w:lineRule="auto"/>
              <w:jc w:val="center"/>
            </w:pPr>
            <w:r>
              <w:rPr>
                <w:rFonts w:ascii="Times New Roman" w:hAnsi="Times New Roman"/>
                <w:sz w:val="20"/>
              </w:rPr>
              <w:t>0/3</w:t>
            </w:r>
          </w:p>
        </w:tc>
        <w:tc>
          <w:tcPr>
            <w:tcW w:w="1979" w:type="dxa"/>
            <w:tcMar>
              <w:top w:w="45" w:type="dxa"/>
              <w:left w:w="90" w:type="dxa"/>
              <w:bottom w:w="45" w:type="dxa"/>
              <w:right w:w="90" w:type="dxa"/>
            </w:tcMar>
            <w:vAlign w:val="center"/>
          </w:tcPr>
          <w:p w14:paraId="3AB9111A">
            <w:pPr>
              <w:keepLines/>
              <w:widowControl/>
              <w:spacing w:after="0" w:line="240" w:lineRule="auto"/>
              <w:jc w:val="center"/>
            </w:pPr>
            <w:r>
              <w:rPr>
                <w:rFonts w:ascii="Times New Roman" w:hAnsi="Times New Roman"/>
                <w:sz w:val="20"/>
              </w:rPr>
              <w:t>not supported</w:t>
            </w:r>
          </w:p>
        </w:tc>
      </w:tr>
      <w:tr w14:paraId="5C310211">
        <w:trPr>
          <w:cantSplit/>
          <w:jc w:val="center"/>
        </w:trPr>
        <w:tc>
          <w:tcPr>
            <w:tcW w:w="3560" w:type="dxa"/>
            <w:tcMar>
              <w:top w:w="45" w:type="dxa"/>
              <w:left w:w="90" w:type="dxa"/>
              <w:bottom w:w="45" w:type="dxa"/>
              <w:right w:w="90" w:type="dxa"/>
            </w:tcMar>
            <w:vAlign w:val="center"/>
          </w:tcPr>
          <w:p w14:paraId="6DB25715">
            <w:pPr>
              <w:keepLines/>
              <w:widowControl/>
              <w:spacing w:after="0" w:line="240" w:lineRule="auto"/>
              <w:jc w:val="left"/>
            </w:pPr>
            <w:r>
              <w:rPr>
                <w:rFonts w:ascii="Times New Roman" w:hAnsi="Times New Roman"/>
                <w:sz w:val="20"/>
              </w:rPr>
              <w:t>H2: faithfulness declines faster than performance</w:t>
            </w:r>
          </w:p>
        </w:tc>
        <w:tc>
          <w:tcPr>
            <w:tcW w:w="1503" w:type="dxa"/>
            <w:tcMar>
              <w:top w:w="45" w:type="dxa"/>
              <w:left w:w="90" w:type="dxa"/>
              <w:bottom w:w="45" w:type="dxa"/>
              <w:right w:w="90" w:type="dxa"/>
            </w:tcMar>
            <w:vAlign w:val="center"/>
          </w:tcPr>
          <w:p w14:paraId="6E2BDBE3">
            <w:pPr>
              <w:keepLines/>
              <w:widowControl/>
              <w:spacing w:after="0" w:line="240" w:lineRule="auto"/>
              <w:jc w:val="center"/>
            </w:pPr>
            <w:r>
              <w:rPr>
                <w:rFonts w:ascii="Times New Roman" w:hAnsi="Times New Roman"/>
                <w:sz w:val="20"/>
              </w:rPr>
              <w:t>0/3</w:t>
            </w:r>
          </w:p>
        </w:tc>
        <w:tc>
          <w:tcPr>
            <w:tcW w:w="1978" w:type="dxa"/>
            <w:tcMar>
              <w:top w:w="45" w:type="dxa"/>
              <w:left w:w="90" w:type="dxa"/>
              <w:bottom w:w="45" w:type="dxa"/>
              <w:right w:w="90" w:type="dxa"/>
            </w:tcMar>
            <w:vAlign w:val="center"/>
          </w:tcPr>
          <w:p w14:paraId="7F067BE7">
            <w:pPr>
              <w:keepLines/>
              <w:widowControl/>
              <w:spacing w:after="0" w:line="240" w:lineRule="auto"/>
              <w:jc w:val="center"/>
            </w:pPr>
            <w:r>
              <w:rPr>
                <w:rFonts w:ascii="Times New Roman" w:hAnsi="Times New Roman"/>
                <w:sz w:val="20"/>
              </w:rPr>
              <w:t>0/3</w:t>
            </w:r>
          </w:p>
        </w:tc>
        <w:tc>
          <w:tcPr>
            <w:tcW w:w="1979" w:type="dxa"/>
            <w:tcMar>
              <w:top w:w="45" w:type="dxa"/>
              <w:left w:w="90" w:type="dxa"/>
              <w:bottom w:w="45" w:type="dxa"/>
              <w:right w:w="90" w:type="dxa"/>
            </w:tcMar>
            <w:vAlign w:val="center"/>
          </w:tcPr>
          <w:p w14:paraId="1234967B">
            <w:pPr>
              <w:keepLines/>
              <w:widowControl/>
              <w:spacing w:after="0" w:line="240" w:lineRule="auto"/>
              <w:jc w:val="center"/>
            </w:pPr>
            <w:r>
              <w:rPr>
                <w:rFonts w:ascii="Times New Roman" w:hAnsi="Times New Roman"/>
                <w:sz w:val="20"/>
              </w:rPr>
              <w:t>not supported</w:t>
            </w:r>
          </w:p>
        </w:tc>
      </w:tr>
      <w:tr w14:paraId="21F133A9">
        <w:trPr>
          <w:cantSplit/>
          <w:jc w:val="center"/>
        </w:trPr>
        <w:tc>
          <w:tcPr>
            <w:tcW w:w="3560" w:type="dxa"/>
            <w:tcMar>
              <w:top w:w="45" w:type="dxa"/>
              <w:left w:w="90" w:type="dxa"/>
              <w:bottom w:w="45" w:type="dxa"/>
              <w:right w:w="90" w:type="dxa"/>
            </w:tcMar>
            <w:vAlign w:val="center"/>
          </w:tcPr>
          <w:p w14:paraId="3B87BC93">
            <w:pPr>
              <w:keepLines/>
              <w:widowControl/>
              <w:spacing w:after="0" w:line="240" w:lineRule="auto"/>
              <w:jc w:val="left"/>
            </w:pPr>
            <w:r>
              <w:rPr>
                <w:rFonts w:ascii="Times New Roman" w:hAnsi="Times New Roman"/>
                <w:sz w:val="20"/>
              </w:rPr>
              <w:t>H3: outage duration increases, WAMSN increases</w:t>
            </w:r>
          </w:p>
        </w:tc>
        <w:tc>
          <w:tcPr>
            <w:tcW w:w="1503" w:type="dxa"/>
            <w:tcMar>
              <w:top w:w="45" w:type="dxa"/>
              <w:left w:w="90" w:type="dxa"/>
              <w:bottom w:w="45" w:type="dxa"/>
              <w:right w:w="90" w:type="dxa"/>
            </w:tcMar>
            <w:vAlign w:val="center"/>
          </w:tcPr>
          <w:p w14:paraId="4FC94921">
            <w:pPr>
              <w:keepLines/>
              <w:widowControl/>
              <w:spacing w:after="0" w:line="240" w:lineRule="auto"/>
              <w:jc w:val="center"/>
            </w:pPr>
            <w:r>
              <w:rPr>
                <w:rFonts w:ascii="Times New Roman" w:hAnsi="Times New Roman"/>
                <w:sz w:val="20"/>
              </w:rPr>
              <w:t>3/3</w:t>
            </w:r>
          </w:p>
        </w:tc>
        <w:tc>
          <w:tcPr>
            <w:tcW w:w="1978" w:type="dxa"/>
            <w:tcMar>
              <w:top w:w="45" w:type="dxa"/>
              <w:left w:w="90" w:type="dxa"/>
              <w:bottom w:w="45" w:type="dxa"/>
              <w:right w:w="90" w:type="dxa"/>
            </w:tcMar>
            <w:vAlign w:val="center"/>
          </w:tcPr>
          <w:p w14:paraId="3BF47314">
            <w:pPr>
              <w:keepLines/>
              <w:widowControl/>
              <w:spacing w:after="0" w:line="240" w:lineRule="auto"/>
              <w:jc w:val="center"/>
            </w:pPr>
            <w:r>
              <w:rPr>
                <w:rFonts w:ascii="Times New Roman" w:hAnsi="Times New Roman"/>
                <w:sz w:val="20"/>
              </w:rPr>
              <w:t>3/3</w:t>
            </w:r>
          </w:p>
        </w:tc>
        <w:tc>
          <w:tcPr>
            <w:tcW w:w="1979" w:type="dxa"/>
            <w:tcMar>
              <w:top w:w="45" w:type="dxa"/>
              <w:left w:w="90" w:type="dxa"/>
              <w:bottom w:w="45" w:type="dxa"/>
              <w:right w:w="90" w:type="dxa"/>
            </w:tcMar>
            <w:vAlign w:val="center"/>
          </w:tcPr>
          <w:p w14:paraId="41D1A5B9">
            <w:pPr>
              <w:keepLines/>
              <w:widowControl/>
              <w:spacing w:after="0" w:line="240" w:lineRule="auto"/>
              <w:jc w:val="center"/>
            </w:pPr>
            <w:r>
              <w:rPr>
                <w:rFonts w:ascii="Times New Roman" w:hAnsi="Times New Roman"/>
                <w:sz w:val="20"/>
              </w:rPr>
              <w:t>consistently supported</w:t>
            </w:r>
          </w:p>
        </w:tc>
      </w:tr>
      <w:tr w14:paraId="6C00070B">
        <w:trPr>
          <w:cantSplit/>
          <w:jc w:val="center"/>
        </w:trPr>
        <w:tc>
          <w:tcPr>
            <w:tcW w:w="3560" w:type="dxa"/>
            <w:tcMar>
              <w:top w:w="45" w:type="dxa"/>
              <w:left w:w="90" w:type="dxa"/>
              <w:bottom w:w="45" w:type="dxa"/>
              <w:right w:w="90" w:type="dxa"/>
            </w:tcMar>
            <w:vAlign w:val="center"/>
          </w:tcPr>
          <w:p w14:paraId="05EBFFFF">
            <w:pPr>
              <w:keepLines/>
              <w:widowControl/>
              <w:spacing w:after="0" w:line="240" w:lineRule="auto"/>
              <w:jc w:val="left"/>
            </w:pPr>
            <w:r>
              <w:rPr>
                <w:rFonts w:ascii="Times New Roman" w:hAnsi="Times New Roman"/>
                <w:sz w:val="20"/>
              </w:rPr>
              <w:t>H4: higher WAMSN is associated with lower DEF</w:t>
            </w:r>
          </w:p>
        </w:tc>
        <w:tc>
          <w:tcPr>
            <w:tcW w:w="1503" w:type="dxa"/>
            <w:tcMar>
              <w:top w:w="45" w:type="dxa"/>
              <w:left w:w="90" w:type="dxa"/>
              <w:bottom w:w="45" w:type="dxa"/>
              <w:right w:w="90" w:type="dxa"/>
            </w:tcMar>
            <w:vAlign w:val="center"/>
          </w:tcPr>
          <w:p w14:paraId="55011F4C">
            <w:pPr>
              <w:keepLines/>
              <w:widowControl/>
              <w:spacing w:after="0" w:line="240" w:lineRule="auto"/>
              <w:jc w:val="center"/>
            </w:pPr>
            <w:r>
              <w:rPr>
                <w:rFonts w:ascii="Times New Roman" w:hAnsi="Times New Roman"/>
                <w:sz w:val="20"/>
              </w:rPr>
              <w:t>0/3</w:t>
            </w:r>
          </w:p>
        </w:tc>
        <w:tc>
          <w:tcPr>
            <w:tcW w:w="1978" w:type="dxa"/>
            <w:tcMar>
              <w:top w:w="45" w:type="dxa"/>
              <w:left w:w="90" w:type="dxa"/>
              <w:bottom w:w="45" w:type="dxa"/>
              <w:right w:w="90" w:type="dxa"/>
            </w:tcMar>
            <w:vAlign w:val="center"/>
          </w:tcPr>
          <w:p w14:paraId="166DD34D">
            <w:pPr>
              <w:keepLines/>
              <w:widowControl/>
              <w:spacing w:after="0" w:line="240" w:lineRule="auto"/>
              <w:jc w:val="center"/>
            </w:pPr>
            <w:r>
              <w:rPr>
                <w:rFonts w:ascii="Times New Roman" w:hAnsi="Times New Roman"/>
                <w:sz w:val="20"/>
              </w:rPr>
              <w:t>2/3</w:t>
            </w:r>
          </w:p>
        </w:tc>
        <w:tc>
          <w:tcPr>
            <w:tcW w:w="1979" w:type="dxa"/>
            <w:tcMar>
              <w:top w:w="45" w:type="dxa"/>
              <w:left w:w="90" w:type="dxa"/>
              <w:bottom w:w="45" w:type="dxa"/>
              <w:right w:w="90" w:type="dxa"/>
            </w:tcMar>
            <w:vAlign w:val="center"/>
          </w:tcPr>
          <w:p w14:paraId="37307FED">
            <w:pPr>
              <w:keepLines/>
              <w:widowControl/>
              <w:spacing w:after="0" w:line="240" w:lineRule="auto"/>
              <w:jc w:val="left"/>
            </w:pPr>
            <w:r>
              <w:rPr>
                <w:rFonts w:ascii="Times New Roman" w:hAnsi="Times New Roman"/>
                <w:sz w:val="20"/>
              </w:rPr>
              <w:t>mixed, training-dependent</w:t>
            </w:r>
          </w:p>
        </w:tc>
      </w:tr>
      <w:tr w14:paraId="2B163F37">
        <w:trPr>
          <w:cantSplit/>
          <w:jc w:val="center"/>
        </w:trPr>
        <w:tc>
          <w:tcPr>
            <w:tcW w:w="3560" w:type="dxa"/>
            <w:tcMar>
              <w:top w:w="45" w:type="dxa"/>
              <w:left w:w="90" w:type="dxa"/>
              <w:bottom w:w="45" w:type="dxa"/>
              <w:right w:w="90" w:type="dxa"/>
            </w:tcMar>
            <w:vAlign w:val="center"/>
          </w:tcPr>
          <w:p w14:paraId="269D3E9B">
            <w:pPr>
              <w:keepLines/>
              <w:widowControl/>
              <w:spacing w:after="0" w:line="240" w:lineRule="auto"/>
              <w:jc w:val="left"/>
            </w:pPr>
            <w:r>
              <w:rPr>
                <w:rFonts w:ascii="Times New Roman" w:hAnsi="Times New Roman"/>
                <w:sz w:val="20"/>
              </w:rPr>
              <w:t>H5: degradation-aware training mitigates the effect</w:t>
            </w:r>
          </w:p>
        </w:tc>
        <w:tc>
          <w:tcPr>
            <w:tcW w:w="1503" w:type="dxa"/>
            <w:tcMar>
              <w:top w:w="45" w:type="dxa"/>
              <w:left w:w="90" w:type="dxa"/>
              <w:bottom w:w="45" w:type="dxa"/>
              <w:right w:w="90" w:type="dxa"/>
            </w:tcMar>
            <w:vAlign w:val="center"/>
          </w:tcPr>
          <w:p w14:paraId="586827B9">
            <w:pPr>
              <w:keepLines/>
              <w:widowControl/>
              <w:spacing w:after="0" w:line="240" w:lineRule="auto"/>
              <w:jc w:val="center"/>
            </w:pPr>
            <w:r>
              <w:rPr>
                <w:rFonts w:ascii="Times New Roman" w:hAnsi="Times New Roman"/>
                <w:sz w:val="20"/>
              </w:rPr>
              <w:t>n/a</w:t>
            </w:r>
          </w:p>
        </w:tc>
        <w:tc>
          <w:tcPr>
            <w:tcW w:w="1978" w:type="dxa"/>
            <w:tcMar>
              <w:top w:w="45" w:type="dxa"/>
              <w:left w:w="90" w:type="dxa"/>
              <w:bottom w:w="45" w:type="dxa"/>
              <w:right w:w="90" w:type="dxa"/>
            </w:tcMar>
            <w:vAlign w:val="center"/>
          </w:tcPr>
          <w:p w14:paraId="2169CA15">
            <w:pPr>
              <w:keepLines/>
              <w:widowControl/>
              <w:spacing w:after="0" w:line="240" w:lineRule="auto"/>
              <w:jc w:val="left"/>
            </w:pPr>
            <w:r>
              <w:rPr>
                <w:rFonts w:ascii="Times New Roman" w:hAnsi="Times New Roman"/>
                <w:sz w:val="20"/>
              </w:rPr>
              <w:t>0/3 consistent mitigation</w:t>
            </w:r>
          </w:p>
        </w:tc>
        <w:tc>
          <w:tcPr>
            <w:tcW w:w="1979" w:type="dxa"/>
            <w:tcMar>
              <w:top w:w="45" w:type="dxa"/>
              <w:left w:w="90" w:type="dxa"/>
              <w:bottom w:w="45" w:type="dxa"/>
              <w:right w:w="90" w:type="dxa"/>
            </w:tcMar>
            <w:vAlign w:val="center"/>
          </w:tcPr>
          <w:p w14:paraId="321B0969">
            <w:pPr>
              <w:keepLines/>
              <w:widowControl/>
              <w:spacing w:after="0" w:line="240" w:lineRule="auto"/>
              <w:jc w:val="center"/>
            </w:pPr>
            <w:r>
              <w:rPr>
                <w:rFonts w:ascii="Times New Roman" w:hAnsi="Times New Roman"/>
                <w:sz w:val="20"/>
              </w:rPr>
              <w:t>not supported</w:t>
            </w:r>
          </w:p>
        </w:tc>
      </w:tr>
    </w:tbl>
    <w:p w14:paraId="02DA71C5">
      <w:pPr>
        <w:widowControl/>
      </w:pPr>
      <w:r>
        <w:t>The completed experiment therefore supports a concentrated result: longer observation outages reliably increase stale-data attention exposure, but the paired attention shift and its relationship with faithfulness do not generalise across independently trained policies.</w:t>
      </w:r>
    </w:p>
    <w:p w14:paraId="3785C392">
      <w:pPr>
        <w:pStyle w:val="2"/>
        <w:keepNext/>
      </w:pPr>
      <w:r>
        <w:t>Chapter 5: Discussion</w:t>
      </w:r>
    </w:p>
    <w:p w14:paraId="6CD7CF2C">
      <w:pPr>
        <w:pStyle w:val="3"/>
        <w:keepNext/>
      </w:pPr>
      <w:r>
        <w:t>5.1 Answer to the central problem</w:t>
      </w:r>
    </w:p>
    <w:p w14:paraId="41168783">
      <w:pPr>
        <w:widowControl/>
      </w:pPr>
      <w:r>
        <w:t xml:space="preserve">The central problem is whether a complete graph-attention map can be trusted when some of its vehicle data are stale. The answer from this experiment is: </w:t>
      </w:r>
      <w:r>
        <w:rPr>
          <w:b/>
          <w:i w:val="0"/>
        </w:rPr>
        <w:t>not without separate validation</w:t>
      </w:r>
      <w:r>
        <w:t>. The study does not validate raw attention weights as dependable explanations under either clean or degraded telemetry.</w:t>
      </w:r>
    </w:p>
    <w:p w14:paraId="69BBB941">
      <w:pPr>
        <w:widowControl/>
      </w:pPr>
      <w:r>
        <w:t>Three results lead to this answer. First, clean-telemetry DEF is close to the type-matched random baseline, so attention has no measured advantage over a fair random ranking. Second, longer outages reliably increase stale-data exposure, while the direction of attention reallocation differs between trained policies. Third, neither a decline in DEF nor a consistent benefit from degradation-aware training is observed.</w:t>
      </w:r>
    </w:p>
    <w:p w14:paraId="16CBB960">
      <w:pPr>
        <w:widowControl/>
      </w:pPr>
      <w:r>
        <w:t>The inconsistent attention shifts are therefore part of the answer, not a failure to reach one. If equivalent training runs produce opposite explanation responses to the same degradation, the explanation method provides no stable, model-independent assurance. The thesis does not claim that larger AoI causes lower faithfulness. It concludes that a visible attention map alone cannot guarantee either data freshness or decision relevance.</w:t>
      </w:r>
    </w:p>
    <w:p w14:paraId="231036F1">
      <w:pPr>
        <w:keepNext/>
        <w:keepLines/>
        <w:spacing w:before="120" w:after="40"/>
        <w:jc w:val="center"/>
      </w:pPr>
      <w:r>
        <w:drawing>
          <wp:inline distT="0" distB="0" distL="114300" distR="114300">
            <wp:extent cx="5623560" cy="2366010"/>
            <wp:effectExtent l="0" t="0" r="15240" b="21590"/>
            <wp:docPr id="12" name="Picture 12" descr="Evidence path and final cross-seed verdi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Evidence path and final cross-seed verdicts"/>
                    <pic:cNvPicPr>
                      <a:picLocks noChangeAspect="1"/>
                    </pic:cNvPicPr>
                  </pic:nvPicPr>
                  <pic:blipFill>
                    <a:blip r:embed="rId22"/>
                    <a:stretch>
                      <a:fillRect/>
                    </a:stretch>
                  </pic:blipFill>
                  <pic:spPr>
                    <a:xfrm>
                      <a:off x="0" y="0"/>
                      <a:ext cx="5623560" cy="2366400"/>
                    </a:xfrm>
                    <a:prstGeom prst="rect">
                      <a:avLst/>
                    </a:prstGeom>
                  </pic:spPr>
                </pic:pic>
              </a:graphicData>
            </a:graphic>
          </wp:inline>
        </w:drawing>
      </w:r>
    </w:p>
    <w:p w14:paraId="16D0A4FD">
      <w:pPr>
        <w:pStyle w:val="12"/>
        <w:keepLines/>
      </w:pPr>
      <w:r>
        <w:t>Figure 5.1. The final evidence path separates the reproducible manipulation check from the mixed or unsupported explanation effects. It summarises cross-seed consistency without presenting outage duration as a direct causal dose of faithfulness.</w:t>
      </w:r>
    </w:p>
    <w:p w14:paraId="2B0E6691">
      <w:pPr>
        <w:pStyle w:val="3"/>
        <w:keepNext/>
      </w:pPr>
      <w:r>
        <w:t>5.2 Why H3 is useful but limited</w:t>
      </w:r>
    </w:p>
    <w:p w14:paraId="5587D88C">
      <w:pPr>
        <w:widowControl/>
      </w:pPr>
      <w:r>
        <w:t>H3 is the most reproducible finding. WAMSN rises with outage duration for every trained B2 and H5 policy. This makes WAMSN useful as an operational exposure indicator: it can show when an explanation contains more stale-data weight.</w:t>
      </w:r>
    </w:p>
    <w:p w14:paraId="37177FD7">
      <w:pPr>
        <w:widowControl/>
      </w:pPr>
      <w:r>
        <w:t>WAMSN should not be described as proof that AoI harms faithfulness. The metric itself weights attention by normalised AoI, so part of its increase follows from the manipulation. The paired stale-attention shift asks a stronger question about attention reallocation, and that result is seed-dependent. DEF asks whether the ranked nodes are decision-relevant, and it does not decline with duration. Keeping these measures separate prevents an exposure result from becoming an unsupported causal claim.</w:t>
      </w:r>
    </w:p>
    <w:p w14:paraId="1BD4B028">
      <w:pPr>
        <w:pStyle w:val="3"/>
        <w:keepNext/>
      </w:pPr>
      <w:r>
        <w:t>5.3 Meaning of training-seed variation</w:t>
      </w:r>
    </w:p>
    <w:p w14:paraId="6FB8D159">
      <w:pPr>
        <w:widowControl/>
      </w:pPr>
      <w:r>
        <w:t>Seeds 42 and 43 shift attention toward stale nodes, while seed 44 shifts it away, under both clean and degradation-aware training. This is not noise at the decision level: each within-seed estimate is precise. The disagreement occurs between learned policies.</w:t>
      </w:r>
    </w:p>
    <w:p w14:paraId="76B061A6">
      <w:pPr>
        <w:widowControl/>
      </w:pPr>
      <w:r>
        <w:t>This distinction matters for trustworthy AI. An explanation method intended for deployment should not change its qualitative response because the same architecture was trained with a different random initialisation. A dashboard validated on one checkpoint may therefore give false confidence about another checkpoint produced by the same pipeline. Explanation validation needs to be repeated for each trained model and monitored after retraining.</w:t>
      </w:r>
    </w:p>
    <w:p w14:paraId="2675ABEF">
      <w:pPr>
        <w:pStyle w:val="3"/>
        <w:keepNext/>
      </w:pPr>
      <w:r>
        <w:t>5.4 Role of the construct-validity audit</w:t>
      </w:r>
    </w:p>
    <w:p w14:paraId="35BE02F5">
      <w:pPr>
        <w:widowControl/>
      </w:pPr>
      <w:r>
        <w:t>The audit does not replace the primary experiment. It ensures that the faithfulness measure is meaningful enough to support it. In this graph, request nodes are both information and actions. Removing one changes the decision problem; removing a taxi only hides context. A uniform random baseline can therefore compare unlike interventions.</w:t>
      </w:r>
    </w:p>
    <w:p w14:paraId="2E3F2216">
      <w:pPr>
        <w:widowControl/>
      </w:pPr>
      <w:r>
        <w:t>Type matching and chosen-action protection make the comparison fairer. Once those controls are used, DEF is near zero rather than strongly positive or negative. This finding narrows the interpretation: attention is not shown to be anti-faithful, but neither is it shown to outperform a fair random ranking.</w:t>
      </w:r>
    </w:p>
    <w:p w14:paraId="1BF99D81">
      <w:pPr>
        <w:pStyle w:val="3"/>
        <w:keepNext/>
      </w:pPr>
      <w:r>
        <w:t>5.5 Degradation-aware training</w:t>
      </w:r>
    </w:p>
    <w:p w14:paraId="2159FD7C">
      <w:pPr>
        <w:widowControl/>
      </w:pPr>
      <w:r>
        <w:t>Training under 30-second tunnel-triggered outages does not solve the problem. H5 retains the same seed-dependent paired shift as B2. It produces a negative WAMSN-DEF association for two seeds, but not the third, and one H5 policy has substantially lower test pickups. Task-reward optimisation gives no explicit reason for the attention weights to become stable human explanations.</w:t>
      </w:r>
    </w:p>
    <w:p w14:paraId="09A8DB9D">
      <w:pPr>
        <w:widowControl/>
      </w:pPr>
      <w:r>
        <w:t>The result does not prove that all robustness training is ineffective. It shows that this specific intervention is insufficient. A stronger approach would optimise explanation consistency or faithfulness directly and validate it across independent training runs.</w:t>
      </w:r>
    </w:p>
    <w:p w14:paraId="035D7DAE">
      <w:pPr>
        <w:pStyle w:val="3"/>
        <w:keepNext/>
      </w:pPr>
      <w:r>
        <w:t>5.6 Practical implications</w:t>
      </w:r>
    </w:p>
    <w:p w14:paraId="636F1ABD">
      <w:pPr>
        <w:widowControl/>
      </w:pPr>
      <w:r>
        <w:t>An operator interface should not label graph-attention weights as reasons without additional evidence. At minimum, a deployment should:</w:t>
      </w:r>
    </w:p>
    <w:p w14:paraId="044F96ED">
      <w:pPr>
        <w:pStyle w:val="13"/>
        <w:keepLines/>
      </w:pPr>
      <w:r>
        <w:t>display data freshness separately from attention strength;</w:t>
      </w:r>
    </w:p>
    <w:p w14:paraId="6C0CABE4">
      <w:pPr>
        <w:pStyle w:val="13"/>
        <w:keepLines/>
      </w:pPr>
      <w:r>
        <w:t>monitor stale-node exposure with a metric such as conditional WAMSN;</w:t>
      </w:r>
    </w:p>
    <w:p w14:paraId="0CF78BB0">
      <w:pPr>
        <w:pStyle w:val="13"/>
        <w:keepLines/>
      </w:pPr>
      <w:r>
        <w:t>run type-aware faithfulness tests for every released checkpoint;</w:t>
      </w:r>
    </w:p>
    <w:p w14:paraId="445D3F35">
      <w:pPr>
        <w:pStyle w:val="13"/>
        <w:keepLines/>
      </w:pPr>
      <w:r>
        <w:t>repeat the audit after retraining, because training seeds can change the</w:t>
      </w:r>
    </w:p>
    <w:p w14:paraId="32BF61FB">
      <w:pPr>
        <w:widowControl/>
      </w:pPr>
      <w:r>
        <w:t>direction of attention reallocation;</w:t>
      </w:r>
    </w:p>
    <w:p w14:paraId="48045B68">
      <w:pPr>
        <w:pStyle w:val="13"/>
        <w:keepLines/>
      </w:pPr>
      <w:r>
        <w:t>avoid interpreting stable pickups as evidence that explanations remain</w:t>
      </w:r>
    </w:p>
    <w:p w14:paraId="004C89BA">
      <w:pPr>
        <w:widowControl/>
      </w:pPr>
      <w:r>
        <w:t>trustworthy.</w:t>
      </w:r>
    </w:p>
    <w:p w14:paraId="7A3C41DD">
      <w:pPr>
        <w:pStyle w:val="3"/>
        <w:keepNext/>
      </w:pPr>
      <w:r>
        <w:t>5.7 Limitations</w:t>
      </w:r>
    </w:p>
    <w:p w14:paraId="76CFA7C4">
      <w:pPr>
        <w:widowControl/>
      </w:pPr>
      <w:r>
        <w:t>The study uses one district, 20 taxis, 50 requests, and sparse tunnel exposure. Only three independent training seeds are available for each policy. This is enough to reveal heterogeneity but not to estimate a population distribution of trained-model effects. H5 seed 44 is weak, so architecture and competence effects cannot be cleanly separated.</w:t>
      </w:r>
    </w:p>
    <w:p w14:paraId="53C1765B">
      <w:pPr>
        <w:widowControl/>
      </w:pPr>
      <w:r>
        <w:t>The observation corruption freezes position and speed for fixed windows. Real telemetry may also include delayed packets, partial sensor failure, map matching errors, and asynchronous recovery. WAMSN depends on the chosen AoI normalisation, while DEF depends on counterfactual occlusion. Other faithfulness measures may behave differently.</w:t>
      </w:r>
    </w:p>
    <w:p w14:paraId="79BF3B25">
      <w:pPr>
        <w:widowControl/>
      </w:pPr>
      <w:r>
        <w:t>Finally, the study audits attention as an explanation; it does not claim that attention is useless inside the policy. A feature can support computation without being a faithful human-readable reason.</w:t>
      </w:r>
    </w:p>
    <w:p w14:paraId="7BA3412C">
      <w:pPr>
        <w:pStyle w:val="3"/>
        <w:keepNext/>
      </w:pPr>
      <w:r>
        <w:t>5.8 Future work</w:t>
      </w:r>
    </w:p>
    <w:p w14:paraId="201737B1">
      <w:pPr>
        <w:widowControl/>
      </w:pPr>
      <w:r>
        <w:t>Future experiments should use more training seeds, multiple cities, and higher tunnel exposure. They should compare fixed outages with delayed and intermittent telemetry, and test whether the seed-dependent result remains after policy performance is improved. Explanation-specific training objectives, independent post-hoc explainers, and human-facing freshness warnings should be evaluated on held-out models as well as held-out episodes.</w:t>
      </w:r>
    </w:p>
    <w:p w14:paraId="61BA1B69">
      <w:pPr>
        <w:pStyle w:val="2"/>
        <w:keepNext/>
      </w:pPr>
      <w:r>
        <w:t>Chapter 6: Conclusion</w:t>
      </w:r>
    </w:p>
    <w:p w14:paraId="78DCB200">
      <w:pPr>
        <w:widowControl/>
      </w:pPr>
      <w:r>
        <w:t>This dissertation addressed one practical problem: a graph-attention map can remain visible and look complete after some of the vehicle data behind it have become stale. An operator may mistake that map for a trustworthy explanation, although attention strength does not show whether the data are fresh or the highlighted nodes support the decision.</w:t>
      </w:r>
    </w:p>
    <w:p w14:paraId="0AE38688">
      <w:pPr>
        <w:widowControl/>
      </w:pPr>
      <w:r>
        <w:t xml:space="preserve">The central answer is clear: </w:t>
      </w:r>
      <w:r>
        <w:rPr>
          <w:b/>
          <w:i w:val="0"/>
        </w:rPr>
        <w:t>this experiment does not validate raw graph-attention weights as dependable explanations under telemetry degradation</w:t>
      </w:r>
      <w:r>
        <w:t>. This does not show that every attention map is wrong; it shows that attention cannot be trusted by default.</w:t>
      </w:r>
    </w:p>
    <w:p w14:paraId="628AA1B3">
      <w:pPr>
        <w:widowControl/>
      </w:pPr>
      <w:r>
        <w:t>The four research questions provide the evidence for this answer:</w:t>
      </w:r>
    </w:p>
    <w:p w14:paraId="3F2F908B">
      <w:pPr>
        <w:pStyle w:val="13"/>
        <w:keepLines/>
      </w:pPr>
      <w:r>
        <w:rPr>
          <w:b/>
          <w:i w:val="0"/>
        </w:rPr>
        <w:t>RQ1 - Is graph attention faithful under clean telemetry?</w:t>
      </w:r>
      <w:r>
        <w:t xml:space="preserve"> It is not validated as faithful. Corrected DEF remains close to the type-matched random baseline, so the weights show no measured advantage over a fair random ranking.</w:t>
      </w:r>
    </w:p>
    <w:p w14:paraId="1CC31300">
      <w:pPr>
        <w:pStyle w:val="13"/>
        <w:keepLines/>
      </w:pPr>
      <w:r>
        <w:rPr>
          <w:b/>
          <w:i w:val="0"/>
        </w:rPr>
        <w:t>RQ2 - Does attention move toward stale vehicle nodes?</w:t>
      </w:r>
      <w:r>
        <w:t xml:space="preserve"> Not consistently. Longer outages increase stale-data exposure in all six GAT policies, but the paired attention shift is positive for seeds 42 and 43 and negative for seed 44 in both training regimes. Equivalent training runs can therefore produce opposite explanation responses.</w:t>
      </w:r>
    </w:p>
    <w:p w14:paraId="39EA8564">
      <w:pPr>
        <w:pStyle w:val="13"/>
        <w:keepLines/>
      </w:pPr>
      <w:r>
        <w:rPr>
          <w:b/>
          <w:i w:val="0"/>
        </w:rPr>
        <w:t>RQ3 - Does faithfulness change more than dispatch behaviour?</w:t>
      </w:r>
      <w:r>
        <w:t xml:space="preserve"> No. H1 and H2 are unsupported in every trained policy. Type-matched DEF and pickups both remain nearly flat across outage durations, so stable performance cannot be interpreted as evidence of a faithful explanation.</w:t>
      </w:r>
    </w:p>
    <w:p w14:paraId="5531DA2B">
      <w:pPr>
        <w:pStyle w:val="13"/>
        <w:keepLines/>
      </w:pPr>
      <w:r>
        <w:rPr>
          <w:b/>
          <w:i w:val="0"/>
        </w:rPr>
        <w:t>RQ4 - Does degradation-aware training make the explanation more reliable?</w:t>
      </w:r>
      <w:r>
        <w:t xml:space="preserve"> No consistent mitigation is observed. It retains the same seed-dependent attention-shift pattern, gives mixed WAMSN-DEF relationships, and includes one substantially weaker policy replicate.</w:t>
      </w:r>
    </w:p>
    <w:p w14:paraId="08CC964F">
      <w:pPr>
        <w:widowControl/>
      </w:pPr>
      <w:r>
        <w:t>The mixed attention shifts are not an absence of a conclusion. They show that raw attention has no reproducible, model-independent response to stale telemetry. The thesis therefore does not claim that stale telemetry always moves attention toward stale nodes or always lowers faithfulness. Its consistent result is the lack of a dependable explanation guarantee across independently trained policies.</w:t>
      </w:r>
    </w:p>
    <w:p w14:paraId="3C2ED5D9">
      <w:pPr>
        <w:widowControl/>
      </w:pPr>
      <w:r>
        <w:t xml:space="preserve">In this thesis, </w:t>
      </w:r>
      <w:r>
        <w:rPr>
          <w:b/>
          <w:i w:val="0"/>
        </w:rPr>
        <w:t>faithfulness decoupling</w:t>
      </w:r>
      <w:r>
        <w:t xml:space="preserve"> is this assurance gap: the explanation remains visible after the freshness of its data has expired, but the displayed weights do not reliably establish decision relevance. This does not require DEF to decline monotonically with outage duration.</w:t>
      </w:r>
    </w:p>
    <w:p w14:paraId="27B95040">
      <w:pPr>
        <w:widowControl/>
      </w:pPr>
      <w:r>
        <w:t>The construct-validity audit supports this interpretation. Deleting a request can also delete an action, whereas deleting a taxi only hides information. Type-matched and action-protected controls are therefore required before DEF can be interpreted.</w:t>
      </w:r>
    </w:p>
    <w:p w14:paraId="6BCACCC9">
      <w:pPr>
        <w:widowControl/>
      </w:pPr>
      <w:r>
        <w:t>The practical resolution is simple. Stable dispatch output is not evidence that an explanation remains trustworthy. Graph-attention weights should be treated as model internals, not operator-facing reasons, until each released checkpoint passes separate freshness-aware and action-aware faithfulness tests and the result reproduces across independent training runs.</w:t>
      </w:r>
    </w:p>
    <w:p w14:paraId="342239F4">
      <w:pPr>
        <w:pStyle w:val="2"/>
        <w:pageBreakBefore/>
      </w:pPr>
      <w:r>
        <w:rPr>
          <w:rFonts w:ascii="Times New Roman" w:hAnsi="Times New Roman"/>
          <w:sz w:val="28"/>
        </w:rPr>
        <w:t>List of Publications</w:t>
      </w:r>
    </w:p>
    <w:p w14:paraId="53D4ECC5">
      <w:pPr>
        <w:spacing w:after="120" w:line="276" w:lineRule="auto"/>
        <w:jc w:val="both"/>
      </w:pPr>
      <w:r>
        <w:rPr>
          <w:rFonts w:ascii="Times New Roman" w:hAnsi="Times New Roman"/>
          <w:sz w:val="24"/>
        </w:rPr>
        <w:t>No publication is claimed in this dissertation draft.</w:t>
      </w:r>
    </w:p>
    <w:p w14:paraId="79FA29F7">
      <w:pPr>
        <w:pStyle w:val="2"/>
        <w:pageBreakBefore/>
      </w:pPr>
      <w:r>
        <w:rPr>
          <w:rFonts w:ascii="Times New Roman" w:hAnsi="Times New Roman"/>
          <w:sz w:val="28"/>
        </w:rPr>
        <w:t>References</w:t>
      </w:r>
    </w:p>
    <w:p w14:paraId="5C5FCDCD">
      <w:pPr>
        <w:spacing w:after="120" w:line="240" w:lineRule="auto"/>
        <w:ind w:left="720" w:hanging="720"/>
        <w:jc w:val="both"/>
      </w:pPr>
      <w:r>
        <w:rPr>
          <w:rFonts w:ascii="Times New Roman" w:hAnsi="Times New Roman"/>
          <w:sz w:val="22"/>
        </w:rPr>
        <w:t>Alvarez-Melis, D. and Jaakkola, T.S. (2018) ‘On the robustness of interpretability methods’, arXiv:1806.08049.</w:t>
      </w:r>
    </w:p>
    <w:p w14:paraId="0ADAF900">
      <w:pPr>
        <w:spacing w:after="120" w:line="240" w:lineRule="auto"/>
        <w:ind w:left="720" w:hanging="720"/>
        <w:jc w:val="both"/>
      </w:pPr>
      <w:r>
        <w:rPr>
          <w:rFonts w:ascii="Times New Roman" w:hAnsi="Times New Roman"/>
          <w:sz w:val="22"/>
        </w:rPr>
        <w:t xml:space="preserve">DeYoung, J. et al. (2020) ‘ERASER: A benchmark to evaluate rationalized NLP models’, in </w:t>
      </w:r>
      <w:r>
        <w:rPr>
          <w:rFonts w:ascii="Times New Roman" w:hAnsi="Times New Roman"/>
          <w:i/>
          <w:sz w:val="22"/>
        </w:rPr>
        <w:t>Proceedings of the ACL</w:t>
      </w:r>
      <w:r>
        <w:rPr>
          <w:rFonts w:ascii="Times New Roman" w:hAnsi="Times New Roman"/>
          <w:sz w:val="22"/>
        </w:rPr>
        <w:t>, pp. 4443-4458.</w:t>
      </w:r>
    </w:p>
    <w:p w14:paraId="4C8A5046">
      <w:pPr>
        <w:spacing w:after="120" w:line="240" w:lineRule="auto"/>
        <w:ind w:left="720" w:hanging="720"/>
        <w:jc w:val="both"/>
      </w:pPr>
      <w:r>
        <w:rPr>
          <w:rFonts w:ascii="Times New Roman" w:hAnsi="Times New Roman"/>
          <w:sz w:val="22"/>
        </w:rPr>
        <w:t xml:space="preserve">Heuillet, A., Couthouis, F. and Diaz-Rodriguez, N. (2021) ‘Explainability in deep reinforcement learning’, </w:t>
      </w:r>
      <w:r>
        <w:rPr>
          <w:rFonts w:ascii="Times New Roman" w:hAnsi="Times New Roman"/>
          <w:i/>
          <w:sz w:val="22"/>
        </w:rPr>
        <w:t>Knowledge-Based Systems</w:t>
      </w:r>
      <w:r>
        <w:rPr>
          <w:rFonts w:ascii="Times New Roman" w:hAnsi="Times New Roman"/>
          <w:sz w:val="22"/>
        </w:rPr>
        <w:t>, vol. 214.</w:t>
      </w:r>
    </w:p>
    <w:p w14:paraId="3FDC1B8F">
      <w:pPr>
        <w:spacing w:after="120" w:line="240" w:lineRule="auto"/>
        <w:ind w:left="720" w:hanging="720"/>
        <w:jc w:val="both"/>
      </w:pPr>
      <w:r>
        <w:rPr>
          <w:rFonts w:ascii="Times New Roman" w:hAnsi="Times New Roman"/>
          <w:sz w:val="22"/>
        </w:rPr>
        <w:t>Hu, Y., Feng, S. and Li, S. (2025) ‘BMG-Q: Localized bipartite match graph attention Q-learning for ride-pooling order dispatch’, arXiv:2501.13448.</w:t>
      </w:r>
    </w:p>
    <w:p w14:paraId="7FB72515">
      <w:pPr>
        <w:spacing w:after="120" w:line="240" w:lineRule="auto"/>
        <w:ind w:left="720" w:hanging="720"/>
        <w:jc w:val="both"/>
      </w:pPr>
      <w:r>
        <w:rPr>
          <w:rFonts w:ascii="Times New Roman" w:hAnsi="Times New Roman"/>
          <w:sz w:val="22"/>
        </w:rPr>
        <w:t xml:space="preserve">Iqbal, S. and Sha, F. (2019) ‘Actor-Attention-Critic for Multi-Agent Reinforcement Learning’, in </w:t>
      </w:r>
      <w:r>
        <w:rPr>
          <w:rFonts w:ascii="Times New Roman" w:hAnsi="Times New Roman"/>
          <w:i/>
          <w:sz w:val="22"/>
        </w:rPr>
        <w:t>Proceedings of the International Conference on Machine Learning</w:t>
      </w:r>
      <w:r>
        <w:rPr>
          <w:rFonts w:ascii="Times New Roman" w:hAnsi="Times New Roman"/>
          <w:sz w:val="22"/>
        </w:rPr>
        <w:t>.</w:t>
      </w:r>
    </w:p>
    <w:p w14:paraId="3C6BB30C">
      <w:pPr>
        <w:spacing w:after="120" w:line="240" w:lineRule="auto"/>
        <w:ind w:left="720" w:hanging="720"/>
        <w:jc w:val="both"/>
      </w:pPr>
      <w:r>
        <w:rPr>
          <w:rFonts w:ascii="Times New Roman" w:hAnsi="Times New Roman"/>
          <w:sz w:val="22"/>
        </w:rPr>
        <w:t xml:space="preserve">Jacovi, A. and Goldberg, Y. (2020) ‘Towards faithfully interpretable NLP systems: How should we define and evaluate faithfulness?’, in </w:t>
      </w:r>
      <w:r>
        <w:rPr>
          <w:rFonts w:ascii="Times New Roman" w:hAnsi="Times New Roman"/>
          <w:i/>
          <w:sz w:val="22"/>
        </w:rPr>
        <w:t>Proceedings of the ACL</w:t>
      </w:r>
      <w:r>
        <w:rPr>
          <w:rFonts w:ascii="Times New Roman" w:hAnsi="Times New Roman"/>
          <w:sz w:val="22"/>
        </w:rPr>
        <w:t>, pp. 4198-4205.</w:t>
      </w:r>
    </w:p>
    <w:p w14:paraId="6BFB654D">
      <w:pPr>
        <w:spacing w:after="120" w:line="240" w:lineRule="auto"/>
        <w:ind w:left="720" w:hanging="720"/>
        <w:jc w:val="both"/>
      </w:pPr>
      <w:r>
        <w:rPr>
          <w:rFonts w:ascii="Times New Roman" w:hAnsi="Times New Roman"/>
          <w:sz w:val="22"/>
        </w:rPr>
        <w:t xml:space="preserve">Jain, S. and Wallace, B.C. (2019) ‘Attention is not Explanation’, in </w:t>
      </w:r>
      <w:r>
        <w:rPr>
          <w:rFonts w:ascii="Times New Roman" w:hAnsi="Times New Roman"/>
          <w:i/>
          <w:sz w:val="22"/>
        </w:rPr>
        <w:t>Proceedings of the NAACL-HLT</w:t>
      </w:r>
      <w:r>
        <w:rPr>
          <w:rFonts w:ascii="Times New Roman" w:hAnsi="Times New Roman"/>
          <w:sz w:val="22"/>
        </w:rPr>
        <w:t>, pp. 3543-3556.</w:t>
      </w:r>
    </w:p>
    <w:p w14:paraId="3BCBB4B4">
      <w:pPr>
        <w:spacing w:after="120" w:line="240" w:lineRule="auto"/>
        <w:ind w:left="720" w:hanging="720"/>
        <w:jc w:val="both"/>
      </w:pPr>
      <w:r>
        <w:rPr>
          <w:rFonts w:ascii="Times New Roman" w:hAnsi="Times New Roman"/>
          <w:sz w:val="22"/>
        </w:rPr>
        <w:t xml:space="preserve">Kaul, S., Yates, R. and Gruteser, M. (2012) ‘Real-time status: How often should one update?’, in </w:t>
      </w:r>
      <w:r>
        <w:rPr>
          <w:rFonts w:ascii="Times New Roman" w:hAnsi="Times New Roman"/>
          <w:i/>
          <w:sz w:val="22"/>
        </w:rPr>
        <w:t>Proceedings of the IEEE INFOCOM</w:t>
      </w:r>
      <w:r>
        <w:rPr>
          <w:rFonts w:ascii="Times New Roman" w:hAnsi="Times New Roman"/>
          <w:sz w:val="22"/>
        </w:rPr>
        <w:t>, pp. 2731-2735.</w:t>
      </w:r>
    </w:p>
    <w:p w14:paraId="5584E155">
      <w:pPr>
        <w:spacing w:after="120" w:line="240" w:lineRule="auto"/>
        <w:ind w:left="720" w:hanging="720"/>
        <w:jc w:val="both"/>
      </w:pPr>
      <w:r>
        <w:rPr>
          <w:rFonts w:ascii="Times New Roman" w:hAnsi="Times New Roman"/>
          <w:sz w:val="22"/>
        </w:rPr>
        <w:t xml:space="preserve">Lin, K., Zhao, R., Xu, Z. and Zhou, J. (2018) ‘Efficient large-scale fleet management via multi-agent deep reinforcement learning’, in </w:t>
      </w:r>
      <w:r>
        <w:rPr>
          <w:rFonts w:ascii="Times New Roman" w:hAnsi="Times New Roman"/>
          <w:i/>
          <w:sz w:val="22"/>
        </w:rPr>
        <w:t>Proceedings of the ACM SIGKDD Int. Conf. Knowledge Discovery and Data Mining</w:t>
      </w:r>
      <w:r>
        <w:rPr>
          <w:rFonts w:ascii="Times New Roman" w:hAnsi="Times New Roman"/>
          <w:sz w:val="22"/>
        </w:rPr>
        <w:t>, pp. 1774-1783.</w:t>
      </w:r>
    </w:p>
    <w:p w14:paraId="4F1BC5F3">
      <w:pPr>
        <w:spacing w:after="120" w:line="240" w:lineRule="auto"/>
        <w:ind w:left="720" w:hanging="720"/>
        <w:jc w:val="both"/>
      </w:pPr>
      <w:r>
        <w:rPr>
          <w:rFonts w:ascii="Times New Roman" w:hAnsi="Times New Roman"/>
          <w:sz w:val="22"/>
        </w:rPr>
        <w:t xml:space="preserve">Lipton, Z.C. (2018) ‘The mythos of model interpretability’, </w:t>
      </w:r>
      <w:r>
        <w:rPr>
          <w:rFonts w:ascii="Times New Roman" w:hAnsi="Times New Roman"/>
          <w:i/>
          <w:sz w:val="22"/>
        </w:rPr>
        <w:t>Queue</w:t>
      </w:r>
      <w:r>
        <w:rPr>
          <w:rFonts w:ascii="Times New Roman" w:hAnsi="Times New Roman"/>
          <w:sz w:val="22"/>
        </w:rPr>
        <w:t>, vol. 16, no. 3, pp. 31-57.</w:t>
      </w:r>
    </w:p>
    <w:p w14:paraId="46708B40">
      <w:pPr>
        <w:spacing w:after="120" w:line="240" w:lineRule="auto"/>
        <w:ind w:left="720" w:hanging="720"/>
        <w:jc w:val="both"/>
      </w:pPr>
      <w:r>
        <w:rPr>
          <w:rFonts w:ascii="Times New Roman" w:hAnsi="Times New Roman"/>
          <w:sz w:val="22"/>
        </w:rPr>
        <w:t xml:space="preserve">Liu, Y. et al. (2022) ‘Rethinking attention-model explainability through faithfulness violation test’, in </w:t>
      </w:r>
      <w:r>
        <w:rPr>
          <w:rFonts w:ascii="Times New Roman" w:hAnsi="Times New Roman"/>
          <w:i/>
          <w:sz w:val="22"/>
        </w:rPr>
        <w:t>Proceedings of the ICML</w:t>
      </w:r>
      <w:r>
        <w:rPr>
          <w:rFonts w:ascii="Times New Roman" w:hAnsi="Times New Roman"/>
          <w:sz w:val="22"/>
        </w:rPr>
        <w:t>.</w:t>
      </w:r>
    </w:p>
    <w:p w14:paraId="5650D4BD">
      <w:pPr>
        <w:spacing w:after="120" w:line="240" w:lineRule="auto"/>
        <w:ind w:left="720" w:hanging="720"/>
        <w:jc w:val="both"/>
      </w:pPr>
      <w:r>
        <w:rPr>
          <w:rFonts w:ascii="Times New Roman" w:hAnsi="Times New Roman"/>
          <w:sz w:val="22"/>
        </w:rPr>
        <w:t xml:space="preserve">Lopez, P.A. et al. (2018) ‘Microscopic traffic simulation using SUMO’, in </w:t>
      </w:r>
      <w:r>
        <w:rPr>
          <w:rFonts w:ascii="Times New Roman" w:hAnsi="Times New Roman"/>
          <w:i/>
          <w:sz w:val="22"/>
        </w:rPr>
        <w:t>Proceedings of the IEEE International Conference on Intelligent Transportation Systems</w:t>
      </w:r>
      <w:r>
        <w:rPr>
          <w:rFonts w:ascii="Times New Roman" w:hAnsi="Times New Roman"/>
          <w:sz w:val="22"/>
        </w:rPr>
        <w:t>, pp. 2575-2582.</w:t>
      </w:r>
    </w:p>
    <w:p w14:paraId="336DBF29">
      <w:pPr>
        <w:spacing w:after="120" w:line="240" w:lineRule="auto"/>
        <w:ind w:left="720" w:hanging="720"/>
        <w:jc w:val="both"/>
      </w:pPr>
      <w:r>
        <w:rPr>
          <w:rFonts w:ascii="Times New Roman" w:hAnsi="Times New Roman"/>
          <w:sz w:val="22"/>
        </w:rPr>
        <w:t xml:space="preserve">Lowe, R. et al. (2017) ‘Multi-Agent Actor-Critic for Mixed Cooperative-Competitive Environments’, in </w:t>
      </w:r>
      <w:r>
        <w:rPr>
          <w:rFonts w:ascii="Times New Roman" w:hAnsi="Times New Roman"/>
          <w:i/>
          <w:sz w:val="22"/>
        </w:rPr>
        <w:t>Advances in Neural Information Processing Systems</w:t>
      </w:r>
      <w:r>
        <w:rPr>
          <w:rFonts w:ascii="Times New Roman" w:hAnsi="Times New Roman"/>
          <w:sz w:val="22"/>
        </w:rPr>
        <w:t>.</w:t>
      </w:r>
    </w:p>
    <w:p w14:paraId="7C8D12E4">
      <w:pPr>
        <w:spacing w:after="120" w:line="240" w:lineRule="auto"/>
        <w:ind w:left="720" w:hanging="720"/>
        <w:jc w:val="both"/>
      </w:pPr>
      <w:r>
        <w:rPr>
          <w:rFonts w:ascii="Times New Roman" w:hAnsi="Times New Roman"/>
          <w:sz w:val="22"/>
        </w:rPr>
        <w:t xml:space="preserve">Luo, D. et al. (2020) ‘Parameterized explainer for graph neural network’, in </w:t>
      </w:r>
      <w:r>
        <w:rPr>
          <w:rFonts w:ascii="Times New Roman" w:hAnsi="Times New Roman"/>
          <w:i/>
          <w:sz w:val="22"/>
        </w:rPr>
        <w:t>Advances in Neural Information Processing Systems</w:t>
      </w:r>
      <w:r>
        <w:rPr>
          <w:rFonts w:ascii="Times New Roman" w:hAnsi="Times New Roman"/>
          <w:sz w:val="22"/>
        </w:rPr>
        <w:t>, pp. 19620-19631.</w:t>
      </w:r>
    </w:p>
    <w:p w14:paraId="78A7D695">
      <w:pPr>
        <w:spacing w:after="120" w:line="240" w:lineRule="auto"/>
        <w:ind w:left="720" w:hanging="720"/>
        <w:jc w:val="both"/>
      </w:pPr>
      <w:r>
        <w:rPr>
          <w:rFonts w:ascii="Times New Roman" w:hAnsi="Times New Roman"/>
          <w:sz w:val="22"/>
        </w:rPr>
        <w:t xml:space="preserve">Madumal, P., Miller, T., Sonenberg, L. and Vetere, F. (2020) ‘Explainable reinforcement learning through a causal lens’, in </w:t>
      </w:r>
      <w:r>
        <w:rPr>
          <w:rFonts w:ascii="Times New Roman" w:hAnsi="Times New Roman"/>
          <w:i/>
          <w:sz w:val="22"/>
        </w:rPr>
        <w:t>Proceedings of the AAAI Conference on Artificial Intelligence</w:t>
      </w:r>
      <w:r>
        <w:rPr>
          <w:rFonts w:ascii="Times New Roman" w:hAnsi="Times New Roman"/>
          <w:sz w:val="22"/>
        </w:rPr>
        <w:t>.</w:t>
      </w:r>
    </w:p>
    <w:p w14:paraId="3017936D">
      <w:pPr>
        <w:spacing w:after="120" w:line="240" w:lineRule="auto"/>
        <w:ind w:left="720" w:hanging="720"/>
        <w:jc w:val="both"/>
      </w:pPr>
      <w:r>
        <w:rPr>
          <w:rFonts w:ascii="Times New Roman" w:hAnsi="Times New Roman"/>
          <w:sz w:val="22"/>
        </w:rPr>
        <w:t xml:space="preserve">Qin, Z., Zhu, H. and Ye, J. (2022) ‘Reinforcement learning for ridesharing: An extended survey’, </w:t>
      </w:r>
      <w:r>
        <w:rPr>
          <w:rFonts w:ascii="Times New Roman" w:hAnsi="Times New Roman"/>
          <w:i/>
          <w:sz w:val="22"/>
        </w:rPr>
        <w:t>Transportation Research Part C: Emerging Technologies</w:t>
      </w:r>
      <w:r>
        <w:rPr>
          <w:rFonts w:ascii="Times New Roman" w:hAnsi="Times New Roman"/>
          <w:sz w:val="22"/>
        </w:rPr>
        <w:t>, vol. 144.</w:t>
      </w:r>
    </w:p>
    <w:p w14:paraId="70DC12F6">
      <w:pPr>
        <w:spacing w:after="120" w:line="240" w:lineRule="auto"/>
        <w:ind w:left="720" w:hanging="720"/>
        <w:jc w:val="both"/>
      </w:pPr>
      <w:r>
        <w:rPr>
          <w:rFonts w:ascii="Times New Roman" w:hAnsi="Times New Roman"/>
          <w:sz w:val="22"/>
        </w:rPr>
        <w:t xml:space="preserve">Rashid, T. et al. (2020) ‘Monotonic value function factorisation for deep multi-agent reinforcement learning’, </w:t>
      </w:r>
      <w:r>
        <w:rPr>
          <w:rFonts w:ascii="Times New Roman" w:hAnsi="Times New Roman"/>
          <w:i/>
          <w:sz w:val="22"/>
        </w:rPr>
        <w:t>Journal of Machine Learning Research</w:t>
      </w:r>
      <w:r>
        <w:rPr>
          <w:rFonts w:ascii="Times New Roman" w:hAnsi="Times New Roman"/>
          <w:sz w:val="22"/>
        </w:rPr>
        <w:t>, vol. 21, no. 178, pp. 1-51.</w:t>
      </w:r>
    </w:p>
    <w:p w14:paraId="79139340">
      <w:pPr>
        <w:spacing w:after="120" w:line="240" w:lineRule="auto"/>
        <w:ind w:left="720" w:hanging="720"/>
        <w:jc w:val="both"/>
      </w:pPr>
      <w:r>
        <w:rPr>
          <w:rFonts w:ascii="Times New Roman" w:hAnsi="Times New Roman"/>
          <w:sz w:val="22"/>
        </w:rPr>
        <w:t xml:space="preserve">Ribeiro, M.T., Singh, S. and Guestrin, C. (2016) ‘'Why should I trust you?': Explaining the predictions of any classifier’, in </w:t>
      </w:r>
      <w:r>
        <w:rPr>
          <w:rFonts w:ascii="Times New Roman" w:hAnsi="Times New Roman"/>
          <w:i/>
          <w:sz w:val="22"/>
        </w:rPr>
        <w:t>Proceedings of the ACM SIGKDD</w:t>
      </w:r>
      <w:r>
        <w:rPr>
          <w:rFonts w:ascii="Times New Roman" w:hAnsi="Times New Roman"/>
          <w:sz w:val="22"/>
        </w:rPr>
        <w:t>, pp. 1135-1144.</w:t>
      </w:r>
    </w:p>
    <w:p w14:paraId="1A176D73">
      <w:pPr>
        <w:spacing w:after="120" w:line="240" w:lineRule="auto"/>
        <w:ind w:left="720" w:hanging="720"/>
        <w:jc w:val="both"/>
      </w:pPr>
      <w:r>
        <w:rPr>
          <w:rFonts w:ascii="Times New Roman" w:hAnsi="Times New Roman"/>
          <w:sz w:val="22"/>
        </w:rPr>
        <w:t xml:space="preserve">Scarselli, F., Gori, M., Tsoi, A.C., Hagenbuchner, M. and Monfardini, G. (2009) ‘The graph neural network model’, </w:t>
      </w:r>
      <w:r>
        <w:rPr>
          <w:rFonts w:ascii="Times New Roman" w:hAnsi="Times New Roman"/>
          <w:i/>
          <w:sz w:val="22"/>
        </w:rPr>
        <w:t>IEEE Transactions on Neural Networks</w:t>
      </w:r>
      <w:r>
        <w:rPr>
          <w:rFonts w:ascii="Times New Roman" w:hAnsi="Times New Roman"/>
          <w:sz w:val="22"/>
        </w:rPr>
        <w:t>, vol. 20, no. 1, pp. 61-80.</w:t>
      </w:r>
    </w:p>
    <w:p w14:paraId="1BD0AEC1">
      <w:pPr>
        <w:spacing w:after="120" w:line="240" w:lineRule="auto"/>
        <w:ind w:left="720" w:hanging="720"/>
        <w:jc w:val="both"/>
      </w:pPr>
      <w:r>
        <w:rPr>
          <w:rFonts w:ascii="Times New Roman" w:hAnsi="Times New Roman"/>
          <w:sz w:val="22"/>
        </w:rPr>
        <w:t xml:space="preserve">Serrano, S. and Smith, N.A. (2019) ‘Is attention interpretable?’, in </w:t>
      </w:r>
      <w:r>
        <w:rPr>
          <w:rFonts w:ascii="Times New Roman" w:hAnsi="Times New Roman"/>
          <w:i/>
          <w:sz w:val="22"/>
        </w:rPr>
        <w:t>Proceedings of the ACL</w:t>
      </w:r>
      <w:r>
        <w:rPr>
          <w:rFonts w:ascii="Times New Roman" w:hAnsi="Times New Roman"/>
          <w:sz w:val="22"/>
        </w:rPr>
        <w:t>, pp. 2931-2951.</w:t>
      </w:r>
    </w:p>
    <w:p w14:paraId="52A4965F">
      <w:pPr>
        <w:spacing w:after="120" w:line="240" w:lineRule="auto"/>
        <w:ind w:left="720" w:hanging="720"/>
        <w:jc w:val="both"/>
      </w:pPr>
      <w:r>
        <w:rPr>
          <w:rFonts w:ascii="Times New Roman" w:hAnsi="Times New Roman"/>
          <w:sz w:val="22"/>
        </w:rPr>
        <w:t xml:space="preserve">Sha, J. et al. (2026) ‘A multi-agent reinforcement learning scheduling algorithm integrating state graph and task graph structural modeling for ride-sharing dispatching’, </w:t>
      </w:r>
      <w:r>
        <w:rPr>
          <w:rFonts w:ascii="Times New Roman" w:hAnsi="Times New Roman"/>
          <w:i/>
          <w:sz w:val="22"/>
        </w:rPr>
        <w:t>Scientific Reports</w:t>
      </w:r>
      <w:r>
        <w:rPr>
          <w:rFonts w:ascii="Times New Roman" w:hAnsi="Times New Roman"/>
          <w:sz w:val="22"/>
        </w:rPr>
        <w:t>, vol. 16, art. no. 5461.</w:t>
      </w:r>
    </w:p>
    <w:p w14:paraId="0E3E70A9">
      <w:pPr>
        <w:spacing w:after="120" w:line="240" w:lineRule="auto"/>
        <w:ind w:left="720" w:hanging="720"/>
        <w:jc w:val="both"/>
      </w:pPr>
      <w:r>
        <w:rPr>
          <w:rFonts w:ascii="Times New Roman" w:hAnsi="Times New Roman"/>
          <w:sz w:val="22"/>
        </w:rPr>
        <w:t xml:space="preserve">Vaswani, A. et al. (2017) ‘Attention is all you need’, in </w:t>
      </w:r>
      <w:r>
        <w:rPr>
          <w:rFonts w:ascii="Times New Roman" w:hAnsi="Times New Roman"/>
          <w:i/>
          <w:sz w:val="22"/>
        </w:rPr>
        <w:t>Advances in Neural Information Processing Systems</w:t>
      </w:r>
      <w:r>
        <w:rPr>
          <w:rFonts w:ascii="Times New Roman" w:hAnsi="Times New Roman"/>
          <w:sz w:val="22"/>
        </w:rPr>
        <w:t>.</w:t>
      </w:r>
    </w:p>
    <w:p w14:paraId="20A0CFE5">
      <w:pPr>
        <w:spacing w:after="120" w:line="240" w:lineRule="auto"/>
        <w:ind w:left="720" w:hanging="720"/>
        <w:jc w:val="both"/>
      </w:pPr>
      <w:r>
        <w:rPr>
          <w:rFonts w:ascii="Times New Roman" w:hAnsi="Times New Roman"/>
          <w:sz w:val="22"/>
        </w:rPr>
        <w:t xml:space="preserve">Velickovic, P. et al. (2018) ‘Graph Attention Networks’, in </w:t>
      </w:r>
      <w:r>
        <w:rPr>
          <w:rFonts w:ascii="Times New Roman" w:hAnsi="Times New Roman"/>
          <w:i/>
          <w:sz w:val="22"/>
        </w:rPr>
        <w:t>Proceedings of the International Conference on Learning Representations</w:t>
      </w:r>
      <w:r>
        <w:rPr>
          <w:rFonts w:ascii="Times New Roman" w:hAnsi="Times New Roman"/>
          <w:sz w:val="22"/>
        </w:rPr>
        <w:t>.</w:t>
      </w:r>
    </w:p>
    <w:p w14:paraId="7015D420">
      <w:pPr>
        <w:spacing w:after="120" w:line="240" w:lineRule="auto"/>
        <w:ind w:left="720" w:hanging="720"/>
        <w:jc w:val="both"/>
      </w:pPr>
      <w:r>
        <w:rPr>
          <w:rFonts w:ascii="Times New Roman" w:hAnsi="Times New Roman"/>
          <w:sz w:val="22"/>
        </w:rPr>
        <w:t xml:space="preserve">Wang, J. et al. (2025) ‘CoopRide: Cooperate all grids in city-scale ride-hailing dispatching with multi-agent reinforcement learning’, in </w:t>
      </w:r>
      <w:r>
        <w:rPr>
          <w:rFonts w:ascii="Times New Roman" w:hAnsi="Times New Roman"/>
          <w:i/>
          <w:sz w:val="22"/>
        </w:rPr>
        <w:t>Proceedings of the 31st ACM SIGKDD Conference on Knowledge Discovery and Data Mining</w:t>
      </w:r>
      <w:r>
        <w:rPr>
          <w:rFonts w:ascii="Times New Roman" w:hAnsi="Times New Roman"/>
          <w:sz w:val="22"/>
        </w:rPr>
        <w:t>, pp. 1457-1468.</w:t>
      </w:r>
    </w:p>
    <w:p w14:paraId="4B84119C">
      <w:pPr>
        <w:spacing w:after="120" w:line="240" w:lineRule="auto"/>
        <w:ind w:left="720" w:hanging="720"/>
        <w:jc w:val="both"/>
      </w:pPr>
      <w:r>
        <w:rPr>
          <w:rFonts w:ascii="Times New Roman" w:hAnsi="Times New Roman"/>
          <w:sz w:val="22"/>
        </w:rPr>
        <w:t xml:space="preserve">Wiegreffe, S. and Pinter, Y. (2019) ‘Attention is not not Explanation’, in </w:t>
      </w:r>
      <w:r>
        <w:rPr>
          <w:rFonts w:ascii="Times New Roman" w:hAnsi="Times New Roman"/>
          <w:i/>
          <w:sz w:val="22"/>
        </w:rPr>
        <w:t>Proceedings of the EMNLP-IJCNLP</w:t>
      </w:r>
      <w:r>
        <w:rPr>
          <w:rFonts w:ascii="Times New Roman" w:hAnsi="Times New Roman"/>
          <w:sz w:val="22"/>
        </w:rPr>
        <w:t>, pp. 11-20.</w:t>
      </w:r>
    </w:p>
    <w:p w14:paraId="15F0F2C6">
      <w:pPr>
        <w:spacing w:after="120" w:line="240" w:lineRule="auto"/>
        <w:ind w:left="720" w:hanging="720"/>
        <w:jc w:val="both"/>
      </w:pPr>
      <w:r>
        <w:rPr>
          <w:rFonts w:ascii="Times New Roman" w:hAnsi="Times New Roman"/>
          <w:sz w:val="22"/>
        </w:rPr>
        <w:t xml:space="preserve">Ying, R., Bourgeois, D., You, J., Zitnik, M. and Leskovec, J. (2019) ‘GNNExplainer: Generating explanations for graph neural networks’, in </w:t>
      </w:r>
      <w:r>
        <w:rPr>
          <w:rFonts w:ascii="Times New Roman" w:hAnsi="Times New Roman"/>
          <w:i/>
          <w:sz w:val="22"/>
        </w:rPr>
        <w:t>Advances in Neural Information Processing Systems</w:t>
      </w:r>
      <w:r>
        <w:rPr>
          <w:rFonts w:ascii="Times New Roman" w:hAnsi="Times New Roman"/>
          <w:sz w:val="22"/>
        </w:rPr>
        <w:t>, pp. 9240-9251.</w:t>
      </w:r>
    </w:p>
    <w:p w14:paraId="5BC66BC2">
      <w:pPr>
        <w:spacing w:after="120" w:line="240" w:lineRule="auto"/>
        <w:ind w:left="720" w:hanging="720"/>
        <w:jc w:val="both"/>
      </w:pPr>
      <w:r>
        <w:rPr>
          <w:rFonts w:ascii="Times New Roman" w:hAnsi="Times New Roman"/>
          <w:sz w:val="22"/>
        </w:rPr>
        <w:t xml:space="preserve">Yu, C. et al. (2022) ‘The surprising effectiveness of PPO in cooperative multi-agent games’, in </w:t>
      </w:r>
      <w:r>
        <w:rPr>
          <w:rFonts w:ascii="Times New Roman" w:hAnsi="Times New Roman"/>
          <w:i/>
          <w:sz w:val="22"/>
        </w:rPr>
        <w:t>Advances in Neural Information Processing Systems</w:t>
      </w:r>
      <w:r>
        <w:rPr>
          <w:rFonts w:ascii="Times New Roman" w:hAnsi="Times New Roman"/>
          <w:sz w:val="22"/>
        </w:rPr>
        <w:t>.</w:t>
      </w:r>
    </w:p>
    <w:p w14:paraId="4D3EB0E2">
      <w:pPr>
        <w:spacing w:after="120" w:line="240" w:lineRule="auto"/>
        <w:ind w:left="720" w:hanging="720"/>
        <w:jc w:val="both"/>
      </w:pPr>
      <w:r>
        <w:rPr>
          <w:rFonts w:ascii="Times New Roman" w:hAnsi="Times New Roman"/>
          <w:sz w:val="22"/>
        </w:rPr>
        <w:t xml:space="preserve">Yuan, H., Yu, H., Gui, S. and Ji, S. (2023) ‘Explainability in graph neural networks: A taxonomic survey’, </w:t>
      </w:r>
      <w:r>
        <w:rPr>
          <w:rFonts w:ascii="Times New Roman" w:hAnsi="Times New Roman"/>
          <w:i/>
          <w:sz w:val="22"/>
        </w:rPr>
        <w:t>IEEE Transactions on Pattern Analysis and Machine Intelligence</w:t>
      </w:r>
      <w:r>
        <w:rPr>
          <w:rFonts w:ascii="Times New Roman" w:hAnsi="Times New Roman"/>
          <w:sz w:val="22"/>
        </w:rPr>
        <w:t>, vol. 45, no. 5, pp. 5782-5799.</w:t>
      </w:r>
    </w:p>
    <w:p w14:paraId="5D6E610B">
      <w:pPr>
        <w:pStyle w:val="2"/>
        <w:pageBreakBefore/>
      </w:pPr>
      <w:r>
        <w:rPr>
          <w:rFonts w:ascii="Times New Roman" w:hAnsi="Times New Roman"/>
          <w:sz w:val="28"/>
        </w:rPr>
        <w:t>Appendices</w:t>
      </w:r>
    </w:p>
    <w:p w14:paraId="121AD0AB">
      <w:pPr>
        <w:pStyle w:val="3"/>
      </w:pPr>
      <w:r>
        <w:rPr>
          <w:rFonts w:ascii="Times New Roman" w:hAnsi="Times New Roman"/>
          <w:sz w:val="24"/>
        </w:rPr>
        <w:t>Appendix A: Experiment Reproduction</w:t>
      </w:r>
    </w:p>
    <w:p w14:paraId="7282F727">
      <w:pPr>
        <w:spacing w:after="120" w:line="276" w:lineRule="auto"/>
        <w:jc w:val="both"/>
      </w:pPr>
      <w:r>
        <w:t>The complete reproduction procedure is provided in docs/REPRODUCE_EXPERIMENTS.md. Compact citable outputs are stored under results/dissertation_v4/.</w:t>
      </w:r>
    </w:p>
    <w:p w14:paraId="26C50B5C">
      <w:pPr>
        <w:pStyle w:val="3"/>
      </w:pPr>
      <w:r>
        <w:rPr>
          <w:rFonts w:ascii="Times New Roman" w:hAnsi="Times New Roman"/>
          <w:sz w:val="24"/>
        </w:rPr>
        <w:t>Appendix B: Supporting Artefacts</w:t>
      </w:r>
    </w:p>
    <w:p w14:paraId="67ADD7F8">
      <w:pPr>
        <w:spacing w:after="120" w:line="276" w:lineRule="auto"/>
        <w:jc w:val="both"/>
      </w:pPr>
      <w:r>
        <w:t>The repository contains the experiment configuration, source code, validation selections, preflight reports, per-seed analyses, summary tables and figure sources used in this dissertation. Raw cells and checkpoints remain outside the document because of their size.</w:t>
      </w:r>
    </w:p>
    <w:sectPr>
      <w:footerReference r:id="rId9" w:type="default"/>
      <w:pgSz w:w="11909" w:h="16834"/>
      <w:pgMar w:top="850" w:right="1440" w:bottom="1483" w:left="1440" w:header="720" w:footer="72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BD0C8">
    <w:pPr>
      <w:spacing w:after="0" w:line="259" w:lineRule="auto"/>
      <w:ind w:left="0" w:right="8" w:firstLine="0"/>
      <w:jc w:val="right"/>
    </w:pPr>
  </w:p>
  <w:p w14:paraId="35857886">
    <w:pPr>
      <w:spacing w:after="0" w:line="259" w:lineRule="auto"/>
      <w:ind w:left="0" w:righ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C981A">
    <w:pPr>
      <w:spacing w:after="0" w:line="259" w:lineRule="auto"/>
      <w:ind w:left="0" w:right="8" w:firstLine="0"/>
      <w:jc w:val="right"/>
    </w:pPr>
    <w:r>
      <w:fldChar w:fldCharType="begin"/>
    </w:r>
    <w:r>
      <w:instrText xml:space="preserve"> PAGE   \* MERGEFORMAT </w:instrText>
    </w:r>
    <w:r>
      <w:fldChar w:fldCharType="separate"/>
    </w:r>
    <w:r>
      <w:t>1</w:t>
    </w:r>
    <w:r>
      <w:fldChar w:fldCharType="end"/>
    </w:r>
    <w:r>
      <w:t xml:space="preserve"> </w:t>
    </w:r>
  </w:p>
  <w:p w14:paraId="62541507">
    <w:pPr>
      <w:spacing w:after="0" w:line="259" w:lineRule="auto"/>
      <w:ind w:left="0" w:right="0" w:firstLine="0"/>
      <w:jc w:val="left"/>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82150">
    <w:pPr>
      <w:spacing w:after="0" w:line="259" w:lineRule="auto"/>
      <w:ind w:left="0" w:right="8" w:firstLine="0"/>
      <w:jc w:val="right"/>
    </w:pPr>
    <w:r>
      <w:fldChar w:fldCharType="begin"/>
    </w:r>
    <w:r>
      <w:instrText xml:space="preserve"> PAGE   \* MERGEFORMAT </w:instrText>
    </w:r>
    <w:r>
      <w:fldChar w:fldCharType="separate"/>
    </w:r>
    <w:r>
      <w:t>1</w:t>
    </w:r>
    <w:r>
      <w:fldChar w:fldCharType="end"/>
    </w:r>
    <w:r>
      <w:t xml:space="preserve"> </w:t>
    </w:r>
  </w:p>
  <w:p w14:paraId="7152E595">
    <w:pPr>
      <w:spacing w:after="0" w:line="259" w:lineRule="auto"/>
      <w:ind w:left="0" w:right="0" w:firstLine="0"/>
      <w:jc w:val="left"/>
    </w:pPr>
    <w: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2D739">
    <w:pPr>
      <w:jc w:val="center"/>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9386F">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F6F245"/>
    <w:multiLevelType w:val="singleLevel"/>
    <w:tmpl w:val="C9F6F245"/>
    <w:lvl w:ilvl="0" w:tentative="0">
      <w:start w:val="1"/>
      <w:numFmt w:val="bullet"/>
      <w:pStyle w:val="13"/>
      <w:lvlText w:val="•"/>
      <w:lvlJc w:val="left"/>
      <w:pPr>
        <w:tabs>
          <w:tab w:val="left" w:pos="460"/>
        </w:tabs>
        <w:ind w:left="460" w:hanging="260"/>
      </w:pPr>
      <w:rPr>
        <w:rFonts w:ascii="Symbol" w:hAnsi="Symbol"/>
      </w:rPr>
    </w:lvl>
  </w:abstractNum>
  <w:abstractNum w:abstractNumId="1">
    <w:nsid w:val="6FFF754A"/>
    <w:multiLevelType w:val="singleLevel"/>
    <w:tmpl w:val="6FFF754A"/>
    <w:lvl w:ilvl="0" w:tentative="0">
      <w:start w:val="1"/>
      <w:numFmt w:val="decimal"/>
      <w:pStyle w:val="14"/>
      <w:lvlText w:val="%1."/>
      <w:lvlJc w:val="left"/>
      <w:pPr>
        <w:tabs>
          <w:tab w:val="left" w:pos="460"/>
        </w:tabs>
        <w:ind w:left="460" w:hanging="2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5148"/>
    <w:rsid w:val="001B5148"/>
    <w:rsid w:val="003F4D13"/>
    <w:rsid w:val="004C3B32"/>
    <w:rsid w:val="006313D7"/>
    <w:rsid w:val="45EDFEDF"/>
    <w:rsid w:val="675F0FD1"/>
    <w:rsid w:val="6DDB4D56"/>
    <w:rsid w:val="FDA4C4CA"/>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20" w:line="276" w:lineRule="auto"/>
      <w:ind w:left="0" w:right="9" w:firstLine="0"/>
      <w:jc w:val="both"/>
    </w:pPr>
    <w:rPr>
      <w:rFonts w:ascii="Times New Roman" w:hAnsi="Times New Roman" w:eastAsia="Times New Roman" w:cs="Times New Roman"/>
      <w:color w:val="000000"/>
      <w:kern w:val="2"/>
      <w:sz w:val="24"/>
      <w:szCs w:val="24"/>
      <w:lang w:val="en-US" w:eastAsia="en-US" w:bidi="en-US"/>
      <w14:ligatures w14:val="standardContextual"/>
    </w:rPr>
  </w:style>
  <w:style w:type="paragraph" w:styleId="2">
    <w:name w:val="heading 1"/>
    <w:next w:val="1"/>
    <w:link w:val="10"/>
    <w:qFormat/>
    <w:uiPriority w:val="9"/>
    <w:pPr>
      <w:keepNext/>
      <w:keepLines/>
      <w:pageBreakBefore/>
      <w:spacing w:before="0" w:after="240" w:line="267" w:lineRule="auto"/>
      <w:ind w:left="0" w:firstLine="0"/>
      <w:jc w:val="center"/>
      <w:outlineLvl w:val="0"/>
    </w:pPr>
    <w:rPr>
      <w:rFonts w:ascii="Times New Roman" w:hAnsi="Times New Roman" w:eastAsia="Times New Roman" w:cs="Times New Roman"/>
      <w:b/>
      <w:color w:val="000000"/>
      <w:kern w:val="2"/>
      <w:sz w:val="28"/>
      <w:szCs w:val="24"/>
      <w:lang w:val="zh-CN" w:eastAsia="en-US" w:bidi="ar-SA"/>
      <w14:ligatures w14:val="standardContextual"/>
    </w:rPr>
  </w:style>
  <w:style w:type="paragraph" w:styleId="3">
    <w:name w:val="heading 2"/>
    <w:next w:val="1"/>
    <w:link w:val="8"/>
    <w:unhideWhenUsed/>
    <w:qFormat/>
    <w:uiPriority w:val="9"/>
    <w:pPr>
      <w:keepNext/>
      <w:keepLines/>
      <w:spacing w:before="240" w:after="80" w:line="267" w:lineRule="auto"/>
      <w:ind w:left="0" w:firstLine="0"/>
      <w:jc w:val="left"/>
      <w:outlineLvl w:val="1"/>
    </w:pPr>
    <w:rPr>
      <w:rFonts w:ascii="Times New Roman" w:hAnsi="Times New Roman" w:eastAsia="Times New Roman" w:cs="Times New Roman"/>
      <w:b/>
      <w:color w:val="000000"/>
      <w:kern w:val="2"/>
      <w:sz w:val="24"/>
      <w:szCs w:val="24"/>
      <w:lang w:val="zh-CN" w:eastAsia="en-US" w:bidi="ar-SA"/>
      <w14:ligatures w14:val="standardContextual"/>
    </w:rPr>
  </w:style>
  <w:style w:type="paragraph" w:styleId="4">
    <w:name w:val="heading 3"/>
    <w:next w:val="1"/>
    <w:link w:val="9"/>
    <w:unhideWhenUsed/>
    <w:qFormat/>
    <w:uiPriority w:val="9"/>
    <w:pPr>
      <w:keepNext/>
      <w:keepLines/>
      <w:spacing w:before="180" w:after="60" w:line="259" w:lineRule="auto"/>
      <w:ind w:left="0" w:right="9" w:firstLine="0"/>
      <w:jc w:val="left"/>
      <w:outlineLvl w:val="2"/>
    </w:pPr>
    <w:rPr>
      <w:rFonts w:ascii="Times New Roman" w:hAnsi="Times New Roman" w:eastAsia="Times New Roman" w:cs="Times New Roman"/>
      <w:b/>
      <w:i/>
      <w:color w:val="000000"/>
      <w:kern w:val="2"/>
      <w:sz w:val="24"/>
      <w:szCs w:val="24"/>
      <w:lang w:val="zh-CN" w:eastAsia="en-US" w:bidi="ar-SA"/>
      <w14:ligatures w14:val="standardContextual"/>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toc 1"/>
    <w:hidden/>
    <w:uiPriority w:val="0"/>
    <w:pPr>
      <w:spacing w:after="290" w:line="259" w:lineRule="auto"/>
      <w:ind w:left="25" w:right="351" w:hanging="10"/>
    </w:pPr>
    <w:rPr>
      <w:rFonts w:ascii="Times New Roman" w:hAnsi="Times New Roman" w:eastAsia="Times New Roman" w:cs="Times New Roman"/>
      <w:b/>
      <w:color w:val="000000"/>
      <w:kern w:val="2"/>
      <w:sz w:val="24"/>
      <w:szCs w:val="24"/>
      <w:lang w:val="zh-CN" w:eastAsia="en-US" w:bidi="ar-SA"/>
      <w14:ligatures w14:val="standardContextual"/>
    </w:rPr>
  </w:style>
  <w:style w:type="character" w:customStyle="1" w:styleId="8">
    <w:name w:val="Heading 2 Char"/>
    <w:link w:val="3"/>
    <w:uiPriority w:val="0"/>
    <w:rPr>
      <w:rFonts w:ascii="Times New Roman" w:hAnsi="Times New Roman" w:eastAsia="Times New Roman" w:cs="Times New Roman"/>
      <w:b/>
      <w:color w:val="000000"/>
      <w:sz w:val="28"/>
    </w:rPr>
  </w:style>
  <w:style w:type="character" w:customStyle="1" w:styleId="9">
    <w:name w:val="Heading 3 Char"/>
    <w:link w:val="4"/>
    <w:uiPriority w:val="0"/>
    <w:rPr>
      <w:rFonts w:ascii="Times New Roman" w:hAnsi="Times New Roman" w:eastAsia="Times New Roman" w:cs="Times New Roman"/>
      <w:color w:val="000000"/>
      <w:sz w:val="24"/>
    </w:rPr>
  </w:style>
  <w:style w:type="character" w:customStyle="1" w:styleId="10">
    <w:name w:val="Heading 1 Char"/>
    <w:link w:val="2"/>
    <w:uiPriority w:val="0"/>
    <w:rPr>
      <w:rFonts w:ascii="Times New Roman" w:hAnsi="Times New Roman" w:eastAsia="Times New Roman" w:cs="Times New Roman"/>
      <w:b/>
      <w:color w:val="000000"/>
      <w:sz w:val="28"/>
    </w:rPr>
  </w:style>
  <w:style w:type="table" w:customStyle="1" w:styleId="11">
    <w:name w:val="TableGrid"/>
    <w:uiPriority w:val="0"/>
    <w:pPr>
      <w:spacing w:after="0" w:line="240" w:lineRule="auto"/>
    </w:pPr>
    <w:tblPr>
      <w:tblCellMar>
        <w:top w:w="0" w:type="dxa"/>
        <w:left w:w="0" w:type="dxa"/>
        <w:bottom w:w="0" w:type="dxa"/>
        <w:right w:w="0" w:type="dxa"/>
      </w:tblCellMar>
    </w:tblPr>
  </w:style>
  <w:style w:type="paragraph" w:customStyle="1" w:styleId="12">
    <w:name w:val="DMU Caption"/>
    <w:uiPriority w:val="0"/>
    <w:pPr>
      <w:keepLines/>
      <w:spacing w:before="60" w:after="160" w:line="240" w:lineRule="auto"/>
      <w:jc w:val="center"/>
    </w:pPr>
    <w:rPr>
      <w:rFonts w:ascii="Times New Roman" w:hAnsi="Times New Roman" w:eastAsiaTheme="minorEastAsia" w:cstheme="minorBidi"/>
      <w:kern w:val="2"/>
      <w:sz w:val="20"/>
      <w:szCs w:val="24"/>
      <w:lang w:val="zh-CN" w:eastAsia="en-US" w:bidi="ar-SA"/>
      <w14:ligatures w14:val="standardContextual"/>
    </w:rPr>
  </w:style>
  <w:style w:type="paragraph" w:customStyle="1" w:styleId="13">
    <w:name w:val="DMU Bullet"/>
    <w:uiPriority w:val="0"/>
    <w:pPr>
      <w:widowControl/>
      <w:numPr>
        <w:ilvl w:val="0"/>
        <w:numId w:val="1"/>
      </w:numPr>
      <w:spacing w:before="0" w:after="60" w:line="276" w:lineRule="auto"/>
      <w:ind w:left="461" w:hanging="317"/>
      <w:jc w:val="left"/>
    </w:pPr>
    <w:rPr>
      <w:rFonts w:ascii="Times New Roman" w:hAnsi="Times New Roman" w:eastAsiaTheme="minorEastAsia" w:cstheme="minorBidi"/>
      <w:kern w:val="2"/>
      <w:sz w:val="24"/>
      <w:szCs w:val="24"/>
      <w:lang w:val="zh-CN" w:eastAsia="en-US" w:bidi="ar-SA"/>
      <w14:ligatures w14:val="standardContextual"/>
    </w:rPr>
  </w:style>
  <w:style w:type="paragraph" w:customStyle="1" w:styleId="14">
    <w:name w:val="DMU Number"/>
    <w:uiPriority w:val="0"/>
    <w:pPr>
      <w:widowControl/>
      <w:numPr>
        <w:ilvl w:val="0"/>
        <w:numId w:val="2"/>
      </w:numPr>
      <w:spacing w:before="0" w:after="60" w:line="276" w:lineRule="auto"/>
      <w:ind w:left="461" w:hanging="317"/>
      <w:jc w:val="left"/>
    </w:pPr>
    <w:rPr>
      <w:rFonts w:ascii="Times New Roman" w:hAnsi="Times New Roman" w:eastAsiaTheme="minorEastAsia" w:cstheme="minorBidi"/>
      <w:kern w:val="2"/>
      <w:sz w:val="24"/>
      <w:szCs w:val="24"/>
      <w:lang w:val="zh-CN" w:eastAsia="en-US"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2537</Words>
  <Characters>14461</Characters>
  <Lines>120</Lines>
  <Paragraphs>33</Paragraphs>
  <TotalTime>8</TotalTime>
  <ScaleCrop>false</ScaleCrop>
  <LinksUpToDate>false</LinksUpToDate>
  <CharactersWithSpaces>16965</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2026-07-13T12:19:00Z</dcterms:created>
  <dc:creator>Hongwei Lin</dc:creator>
  <cp:keywords>GAT-MARL, faithfulness, telemetry degradation, AoI</cp:keywords>
  <cp:lastModifiedBy>Hongwei Lin</cp:lastModifiedBy>
  <dcterms:modified xsi:type="dcterms:W3CDTF">2026-08-28T11:51:02Z</dcterms:modified>
  <dc:subject>MSc Dissertation, De Montfort University Dubai</dc:subject>
  <dc:title>When Explanations Outlive Their Data: Faithfulness Decoupling in Graph-Attention MARL Fleet Dispatch under Telemetry Degradation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1033-12.1.26046.26046</vt:lpwstr>
  </property>
  <property fmtid="{D5CDD505-2E9C-101B-9397-08002B2CF9AE}" pid="3" name="ICV">
    <vt:lpwstr>F3597FD55F4BC9CF083D916A2C7D296E_42</vt:lpwstr>
  </property>
</Properties>
</file>