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85" w:name="nav_front_list_of_figures"/>
      <w:r>
        <w:rPr>
          <w:rFonts w:ascii="Times New Roman" w:hAnsi="Times New Roman"/>
          <w:b/>
          <w:sz w:val="28"/>
        </w:rPr>
        <w:t>LIST OF FIGURES</w:t>
      </w:r>
      <w:bookmarkEnd w:id="85"/>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12</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13</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15</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19</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20</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22</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23</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24</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25</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26</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27</w:t>
        </w:r>
      </w:hyperlink>
    </w:p>
    <w:p>
      <w:pPr>
        <w:keepLines/>
        <w:tabs>
          <w:tab w:pos="8784" w:val="right" w:leader="dot"/>
        </w:tabs>
        <w:spacing w:after="40" w:line="240" w:lineRule="auto"/>
        <w:ind w:left="0"/>
      </w:pPr>
      <w:hyperlink w:anchor="nav_figure_Figure_4_9" w:history="1">
        <w:r>
          <w:rPr>
            <w:noProof/>
          </w:rPr>
          <w:t xml:space="preserve">Figure 4.9  Action-stratified faithfulness diagnostic</w:t>
          <w:tab/>
          <w:t>28</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29</w:t>
        </w:r>
      </w:hyperlink>
    </w:p>
    <w:p>
      <w:pPr>
        <w:keepLines/>
        <w:tabs>
          <w:tab w:pos="8784" w:val="right" w:leader="dot"/>
        </w:tabs>
        <w:spacing w:after="40" w:line="240" w:lineRule="auto"/>
        <w:ind w:left="0"/>
      </w:pPr>
      <w:hyperlink w:anchor="nav_figure_Figure_4_11" w:history="1">
        <w:r>
          <w:rPr>
            <w:noProof/>
          </w:rPr>
          <w:t xml:space="preserve">Figure 4.11  WAMSN-DEF correlation by training seed</w:t>
          <w:tab/>
          <w:t>30</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31</w:t>
        </w:r>
      </w:hyperlink>
    </w:p>
    <w:p w14:paraId="4E24840A">
      <w:pPr>
        <w:keepNext/>
        <w:spacing w:after="360"/>
        <w:jc w:val="center"/>
        <w:outlineLvl w:val="0"/>
      </w:pPr>
      <w:bookmarkStart w:id="86" w:name="nav_front_list_of_tables"/>
      <w:r>
        <w:rPr>
          <w:rFonts w:ascii="Times New Roman" w:hAnsi="Times New Roman"/>
          <w:b/>
          <w:sz w:val="28"/>
        </w:rPr>
        <w:t>LIST OF TABLES</w:t>
      </w:r>
      <w:bookmarkEnd w:id="86"/>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11</w:t>
        </w:r>
      </w:hyperlink>
    </w:p>
    <w:p>
      <w:pPr>
        <w:keepLines/>
        <w:tabs>
          <w:tab w:pos="8784" w:val="right" w:leader="dot"/>
        </w:tabs>
        <w:spacing w:after="40" w:line="240" w:lineRule="auto"/>
        <w:ind w:left="0"/>
      </w:pPr>
      <w:hyperlink w:anchor="nav_table_Table_3_4" w:history="1">
        <w:r>
          <w:rPr>
            <w:noProof/>
          </w:rPr>
          <w:t xml:space="preserve">Table 3.4  Shared training and optimization settings</w:t>
          <w:tab/>
          <w:t>11</w:t>
        </w:r>
      </w:hyperlink>
    </w:p>
    <w:p>
      <w:pPr>
        <w:keepLines/>
        <w:tabs>
          <w:tab w:pos="8784" w:val="right" w:leader="dot"/>
        </w:tabs>
        <w:spacing w:after="40" w:line="240" w:lineRule="auto"/>
        <w:ind w:left="0"/>
      </w:pPr>
      <w:hyperlink w:anchor="nav_table_Table_3_5" w:history="1">
        <w:r>
          <w:rPr>
            <w:noProof/>
          </w:rPr>
          <w:t xml:space="preserve">Table 3.5  Held-out evaluation structure and episode counts</w:t>
          <w:tab/>
          <w:t>16</w:t>
        </w:r>
      </w:hyperlink>
    </w:p>
    <w:p>
      <w:pPr>
        <w:keepLines/>
        <w:tabs>
          <w:tab w:pos="8784" w:val="right" w:leader="dot"/>
        </w:tabs>
        <w:spacing w:after="40" w:line="240" w:lineRule="auto"/>
        <w:ind w:left="0"/>
      </w:pPr>
      <w:hyperlink w:anchor="nav_table_Table_3_6" w:history="1">
        <w:r>
          <w:rPr>
            <w:noProof/>
          </w:rPr>
          <w:t xml:space="preserve">Table 3.6  Telemetry conditions used in held-out evaluation</w:t>
          <w:tab/>
          <w:t>16</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20</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21</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21</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24</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26</w:t>
        </w:r>
      </w:hyperlink>
    </w:p>
    <w:p>
      <w:pPr>
        <w:keepLines/>
        <w:tabs>
          <w:tab w:pos="8784" w:val="right" w:leader="dot"/>
        </w:tabs>
        <w:spacing w:after="40" w:line="240" w:lineRule="auto"/>
        <w:ind w:left="0"/>
      </w:pPr>
      <w:hyperlink w:anchor="nav_table_Table_4_6" w:history="1">
        <w:r>
          <w:rPr>
            <w:noProof/>
          </w:rPr>
          <w:t xml:space="preserve">Table 4.6  Action composition and dispatch-stratified DEF diagnostic</w:t>
          <w:tab/>
          <w:t>27</w:t>
        </w:r>
      </w:hyperlink>
    </w:p>
    <w:p>
      <w:pPr>
        <w:keepLines/>
        <w:tabs>
          <w:tab w:pos="8784" w:val="right" w:leader="dot"/>
        </w:tabs>
        <w:spacing w:after="40" w:line="240" w:lineRule="auto"/>
        <w:ind w:left="0"/>
      </w:pPr>
      <w:hyperlink w:anchor="nav_table_Table_4_7" w:history="1">
        <w:r>
          <w:rPr>
            <w:noProof/>
          </w:rPr>
          <w:t xml:space="preserve">Table 4.7  Tunnel-triggered and random-loss sensitivity results</w:t>
          <w:tab/>
          <w:t>29</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30</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34</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can expose attention weights as candidate explanations of fleet-dispatch decisions. However, an attention map may remain visible after the vehicle telemetry behind it becomes stale. This dissertation asks whether raw graph-attention weights can be trusted as explanations under clean and degraded telemetry.</w:t>
      </w:r>
    </w:p>
    <w:p>
      <w:pPr>
        <w:widowControl/>
      </w:pPr>
      <w:r>
        <w:t>The experiment simulates 20 taxis in SUMO. Tunnel entry triggers an observation-layer outage that freezes an affected taxi's last valid position and speed for 10, 20, 30, or 60 seconds while SUMO retains the current traffic state. This creates paired clean and degraded observations for the same decision. GAT policies trained on clean data or with 30-second outages are evaluated across three independent training seeds. Decision-level explanation faithfulness (DEF) compares attention-ranked nodes with type-matched, action-protected random controls. WAMSN separately measures the attention assigned to stale vehicle information. Additional checks cover leave-one-out rankings, attention extraction choices, action type, and random telemetry-loss triggers.</w:t>
      </w:r>
    </w:p>
    <w:p>
      <w:pPr>
        <w:widowControl/>
      </w:pPr>
      <w:r>
        <w:t>The results do not validate raw attention as a reliable explanation. Clean DEF remains close to its matched control and varies across checkpoints. Longer outages increase stale-data exposure, but paired attention and DEF shifts reverse direction for one training seed. The main associations are dominated by no-op decisions and do not reproduce for dispatch actions. Checkpoint-dependent differences remain under random triggering and degradation-aware training. These results do not reliably show whether attention reflects fresh information or decision relevance.</w:t>
      </w:r>
    </w:p>
    <w:p>
      <w:pPr>
        <w:widowControl/>
      </w:pPr>
      <w:r>
        <w:t>To address this problem, the dissertation proposes a freshness-aware explanation audit framework to decide when attention may be presented as an explanation. The framework reports telemetry freshness and action composition separately, applies action-aware and type-matched faithfulness tests, checks sensitivity to the attention extraction rule, and requires consistent evidence across checkpoints and training seeds. If the evidence is inconsistent, attention remains an internal diagnostic rather than a trustworthy explanation. The framework governs when explanations may be released; it does not repair faithfulness inside the model.</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84" w:name="nav_front_toc"/>
      <w:r>
        <w:rPr>
          <w:rFonts w:ascii="Times New Roman" w:hAnsi="Times New Roman"/>
          <w:b/>
          <w:sz w:val="28"/>
        </w:rPr>
        <w:t>TABLE OF CONTENTS</w:t>
      </w:r>
      <w:bookmarkEnd w:id="84"/>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12</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13</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13</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14</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14</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15</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17</w:t>
        </w:r>
      </w:hyperlink>
    </w:p>
    <w:p>
      <w:pPr>
        <w:keepLines/>
        <w:tabs>
          <w:tab w:pos="8784" w:val="right" w:leader="dot"/>
        </w:tabs>
        <w:spacing w:after="40" w:line="240" w:lineRule="auto"/>
        <w:ind w:left="360"/>
      </w:pPr>
      <w:hyperlink w:anchor="nav_heading_3_10_Reproducibility" w:history="1">
        <w:r>
          <w:rPr>
            <w:noProof/>
          </w:rPr>
          <w:t xml:space="preserve">3.10 Reproducibility</w:t>
          <w:tab/>
          <w:t>18</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18</w:t>
        </w:r>
      </w:hyperlink>
    </w:p>
    <w:p>
      <w:pPr>
        <w:keepLines/>
        <w:tabs>
          <w:tab w:pos="8784" w:val="right" w:leader="dot"/>
        </w:tabs>
        <w:spacing w:after="40" w:line="240" w:lineRule="auto"/>
        <w:ind w:left="0"/>
      </w:pPr>
      <w:hyperlink w:anchor="nav_heading_Chapter_4_Results" w:history="1">
        <w:r>
          <w:rPr>
            <w:noProof/>
          </w:rPr>
          <w:t xml:space="preserve">Chapter 4: Results</w:t>
          <w:tab/>
          <w:t>19</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19</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21</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21</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24</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25</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26</w:t>
        </w:r>
      </w:hyperlink>
    </w:p>
    <w:p>
      <w:pPr>
        <w:keepLines/>
        <w:tabs>
          <w:tab w:pos="8784" w:val="right" w:leader="dot"/>
        </w:tabs>
        <w:spacing w:after="40" w:line="240" w:lineRule="auto"/>
        <w:ind w:left="360"/>
      </w:pPr>
      <w:hyperlink w:anchor="nav_heading_4_7_Action_stratified_diagno" w:history="1">
        <w:r>
          <w:rPr>
            <w:noProof/>
          </w:rPr>
          <w:t xml:space="preserve">4.7 Action-stratified diagnostic</w:t>
          <w:tab/>
          <w:t>27</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28</w:t>
        </w:r>
      </w:hyperlink>
    </w:p>
    <w:p>
      <w:pPr>
        <w:keepLines/>
        <w:tabs>
          <w:tab w:pos="8784" w:val="right" w:leader="dot"/>
        </w:tabs>
        <w:spacing w:after="40" w:line="240" w:lineRule="auto"/>
        <w:ind w:left="360"/>
      </w:pPr>
      <w:hyperlink w:anchor="nav_heading_4_9_Faithfulness_hypotheses" w:history="1">
        <w:r>
          <w:rPr>
            <w:noProof/>
          </w:rPr>
          <w:t xml:space="preserve">4.9 Faithfulness hypotheses</w:t>
          <w:tab/>
          <w:t>29</w:t>
        </w:r>
      </w:hyperlink>
    </w:p>
    <w:p>
      <w:pPr>
        <w:keepLines/>
        <w:tabs>
          <w:tab w:pos="8784" w:val="right" w:leader="dot"/>
        </w:tabs>
        <w:spacing w:after="40" w:line="240" w:lineRule="auto"/>
        <w:ind w:left="360"/>
      </w:pPr>
      <w:hyperlink w:anchor="nav_heading_4_10_Result_summary" w:history="1">
        <w:r>
          <w:rPr>
            <w:noProof/>
          </w:rPr>
          <w:t xml:space="preserve">4.10 Result summary</w:t>
          <w:tab/>
          <w:t>30</w:t>
        </w:r>
      </w:hyperlink>
    </w:p>
    <w:p>
      <w:pPr>
        <w:keepLines/>
        <w:tabs>
          <w:tab w:pos="8784" w:val="right" w:leader="dot"/>
        </w:tabs>
        <w:spacing w:after="40" w:line="240" w:lineRule="auto"/>
        <w:ind w:left="0"/>
      </w:pPr>
      <w:hyperlink w:anchor="nav_heading_Chapter_5_Discussion" w:history="1">
        <w:r>
          <w:rPr>
            <w:noProof/>
          </w:rPr>
          <w:t xml:space="preserve">Chapter 5: Discussion</w:t>
          <w:tab/>
          <w:t>31</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31</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32</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32</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33</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33</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33</w:t>
        </w:r>
      </w:hyperlink>
    </w:p>
    <w:p>
      <w:pPr>
        <w:keepLines/>
        <w:tabs>
          <w:tab w:pos="8784" w:val="right" w:leader="dot"/>
        </w:tabs>
        <w:spacing w:after="40" w:line="240" w:lineRule="auto"/>
        <w:ind w:left="360"/>
      </w:pPr>
      <w:hyperlink w:anchor="nav_heading_5_7_Limitations" w:history="1">
        <w:r>
          <w:rPr>
            <w:noProof/>
          </w:rPr>
          <w:t xml:space="preserve">5.7 Limitations</w:t>
          <w:tab/>
          <w:t>34</w:t>
        </w:r>
      </w:hyperlink>
    </w:p>
    <w:p>
      <w:pPr>
        <w:keepLines/>
        <w:tabs>
          <w:tab w:pos="8784" w:val="right" w:leader="dot"/>
        </w:tabs>
        <w:spacing w:after="40" w:line="240" w:lineRule="auto"/>
        <w:ind w:left="360"/>
      </w:pPr>
      <w:hyperlink w:anchor="nav_heading_5_8_Future_work" w:history="1">
        <w:r>
          <w:rPr>
            <w:noProof/>
          </w:rPr>
          <w:t xml:space="preserve">5.8 Future work</w:t>
          <w:tab/>
          <w:t>35</w:t>
        </w:r>
      </w:hyperlink>
    </w:p>
    <w:p>
      <w:pPr>
        <w:keepLines/>
        <w:tabs>
          <w:tab w:pos="8784" w:val="right" w:leader="dot"/>
        </w:tabs>
        <w:spacing w:after="40" w:line="240" w:lineRule="auto"/>
        <w:ind w:left="0"/>
      </w:pPr>
      <w:hyperlink w:anchor="nav_heading_Chapter_6_Conclusion" w:history="1">
        <w:r>
          <w:rPr>
            <w:noProof/>
          </w:rPr>
          <w:t xml:space="preserve">Chapter 6: Conclusion</w:t>
          <w:tab/>
          <w:t>36</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i w:val="0"/>
        </w:rPr>
        <w:t>faithfulness decoupling</w:t>
      </w:r>
      <w:r>
        <w:t xml:space="preserve"> to describe the risk that an explanation remains available and visually plausible after its supporting data have become stale, without a reliable link between the displayed weights and the evidence that changes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rPr>
          <w:b/>
          <w:i w:val="0"/>
        </w:rPr>
        <w:t>RQ3:</w:t>
      </w:r>
      <w:r>
        <w:t xml:space="preserve"> As outage duration increases, does the relationship between attention, stale-data exposure, and decision relevance remain reliable?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training,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test whether the paired result remains similar when telemetry loss is triggered randomly rather than by one fixed tunnel location;</w:t>
      </w:r>
    </w:p>
    <w:p>
      <w:pPr>
        <w:pStyle w:val="13"/>
        <w:keepLines/>
        <w:spacing w:after="40"/>
      </w:pPr>
      <w:r>
        <w:t>measure explanation faithfulness with action-aware, type-matched counterfactual controls;</w:t>
      </w:r>
    </w:p>
    <w:p>
      <w:pPr>
        <w:pStyle w:val="13"/>
        <w:keepLines/>
        <w:spacing w:after="40"/>
      </w:pPr>
      <w:r>
        <w:t>check whether the faithfulness evaluator is sensitive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 xml:space="preserve">Overall, </w:t>
      </w:r>
      <w:r>
        <w:rPr>
          <w:b/>
          <w:i w:val="0"/>
        </w:rPr>
        <w:t>this study does not validate raw attention weights as reliable explanations</w:t>
      </w:r>
      <w:r>
        <w:t>.</w:t>
      </w:r>
    </w:p>
    <w:p>
      <w:pPr>
        <w:widowControl/>
      </w:pPr>
      <w:r>
        <w:t>Under clean telemetry, type-matched DEF remains close to its random control and varies across the six checkpoints. A leave-one-out perturbation ranking gives a larger positive DEF in every checkpoint, showing that the evaluator can respond to a decision-relevant ranking even though raw attention does not provide a stable result.</w:t>
      </w:r>
    </w:p>
    <w:p>
      <w:pPr>
        <w:widowControl/>
      </w:pPr>
      <w:r>
        <w:t>Longer outages increase AoI-weighted stale exposure for every checkpoint. The paired response is less consistent: checkpoints trained with seeds 42 and 43 assign more attention to stale nodes on average, while those trained with seed 44 assign less. Paired DEF also changes direction across checkpoints. A random-trigger check shows a similar overall pattern, making a tunnel-only explanation less plausible without establishing a universal degradation effect.</w:t>
      </w:r>
    </w:p>
    <w:p>
      <w:pPr>
        <w:widowControl/>
      </w:pPr>
      <w:r>
        <w:t>The action audit narrows the conclusion. Among decisions with at least one available request, 93.0% select no-op. The main duration and exposure associations do not reproduce within the smaller dispatch stratum. Attention results also change with the layer, head, aggregation rule, and query row used to construct the explanation.</w:t>
      </w:r>
    </w:p>
    <w:p>
      <w:pPr>
        <w:widowControl/>
      </w:pPr>
      <w:r>
        <w:t>Degradation-aware training does not remove this variation. The sampled policy distributions outperform the declared lower bounds, but all six GAT checkpoints choose no-op in the deterministic diagnostic. The study therefore audits explanations for sampled stochastic decisions; it does not establish a deployable argmax dispatcher. Overall, freshness and faithfulness must be checked separately for every policy checkpoint before release.</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40"/>
      </w:pPr>
      <w:r>
        <w:t>a random-trigger sensitivity check that tests whether the paired pattern is limited to one fixed tunnel location;</w:t>
      </w:r>
    </w:p>
    <w:p>
      <w:pPr>
        <w:pStyle w:val="13"/>
        <w:keepLines/>
        <w:spacing w:after="40"/>
      </w:pPr>
      <w:r>
        <w:t>an action-stratified diagnostic showing that combined decision statistics do not reliably represent the smaller set of dispatch actions;</w:t>
      </w:r>
    </w:p>
    <w:p>
      <w:pPr>
        <w:pStyle w:val="13"/>
        <w:keepLines/>
        <w:spacing w:after="40"/>
      </w:pPr>
      <w:r>
        <w:t>a freshness-aware explanation audit framework that turns the findings into release checks for telemetry freshness, action-aware faithfulness, attention aggregation, and independent training runs;</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w:t>
      </w:r>
    </w:p>
    <w:p>
      <w:pPr>
        <w:widowControl/>
      </w:pPr>
      <w:r>
        <w:t>MARL offers several ways to represent coordination. MADDPG learns decentralized actors with centralized critics (Lowe et al., 2017). QMIX factorizes a team value into agent values while preserving a monotonic relation to the joint action (Rashid et al., 2020). MAPPO uses the more familiar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These studies evaluate dispatch or scheduling quality rather than whether graph weights remain valid explanations when vehicle telemetry becomes stale. They provide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6" w:name="nav_heading_2_7_Research_gap_and_positio"/>
      <w:r>
        <w:t>2.7 Research gap and positioning</w:t>
      </w:r>
      <w:bookmarkEnd w:id="16"/>
    </w:p>
    <w:p>
      <w:pPr>
        <w:widowControl/>
      </w:pPr>
      <w:r>
        <w:t>The literature supports four points: relational RL is appropriate for fleet dispatch; attention is easy to expose but disputed as an explanation; GNN faithfulness requires graph-aware perturbations; and stale state matters to operational control. Existing work has not brought these topics together as one explanation-assurance problem.</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 realistic attention channel. The research contribution is to test whether that channel gives a reproducible freshness-aware and decision-relevant explanation, and to state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self-centered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centralized training and decentralized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p>
      <w:pPr>
        <w:keepLines/>
        <w:ind w:left="504" w:right="504"/>
        <w:jc w:val="left"/>
      </w:pPr>
      <w:r>
        <w:rPr>
          <w:rFonts w:ascii="Courier New" w:hAnsi="Courier New"/>
          <w:sz w:val="18"/>
        </w:rPr>
        <w:t>alpha_j = normalize((1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MLP is trained for 50 epochs, GAT for 40 epochs, and GAT-Outage for 50 epochs. Each condition uses independent training seeds 42, 43, and 44.</w:t>
      </w:r>
    </w:p>
    <w:p>
      <w:pPr>
        <w:widowControl/>
      </w:pPr>
      <w:r>
        <w:t>Candidate checkpoints include periodic snapshots saved every ten epochs, the final snapshot, and a rolling-best snapshot updated when the ten-epoch mean pickup count improves. The implementation records zero-based epoch indices, so index 39 denotes the checkpoint saved after 40 training epochs. Selection uses eight stochastic validation episodes with seed 2026 and mean pickups as the primary criterion; mean reward and the earlier checkpoint index break ties. The test split is not read during selection. The selected checkpoint indices are:</w:t>
      </w:r>
    </w:p>
    <w:p>
      <w:pPr>
        <w:pStyle w:val="12"/>
        <w:keepNext/>
      </w:pPr>
      <w:bookmarkStart w:id="26" w:name="nav_table_Table_3_3"/>
      <w:r>
        <w:rPr>
          <w:b/>
        </w:rPr>
        <w:t>Table 3.3: Validation-selected checkpoint indices (zero-based)</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The shared optimization settings are shown below.</w:t>
      </w:r>
    </w:p>
    <w:p>
      <w:pPr>
        <w:pStyle w:val="12"/>
        <w:keepNext/>
      </w:pPr>
      <w:bookmarkStart w:id="27" w:name="nav_table_Table_3_4"/>
      <w:r>
        <w:rPr>
          <w:b/>
        </w:rPr>
        <w:t>Table 3.4: Shared training and optimization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890"/>
        <w:gridCol w:w="4130"/>
      </w:tblGrid>
      <w:tr>
        <w:trPr>
          <w:cantSplit/>
          <w:tblHeader w:val="true"/>
        </w:trPr>
        <w:tc>
          <w:tcPr>
            <w:tcW w:type="dxa" w:w="489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1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13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pickups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zero-pickup epochs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pickups</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48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41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Final validation retention is the final checkpoint's mean validation pickups divided by the selected checkpoint's mean validation pickups. These four stability gates are applied to every training run before its checkpoint is accepted for evaluation.</w:t>
      </w:r>
    </w:p>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triggers an observation-layer outage. SUMO keeps moving the vehicle while the policy sees its last valid position; the clean twin reads current state but never acts.</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s(G,a) denote either p(G,a) or m(G,a). For explanation subset R_k and a matched random subset B_k:</w:t>
      </w:r>
    </w:p>
    <w:p>
      <w:pPr>
        <w:keepLines/>
        <w:ind w:left="504" w:right="504"/>
        <w:jc w:val="left"/>
      </w:pPr>
      <w:r>
        <w:rPr>
          <w:rFonts w:ascii="Courier New" w:hAnsi="Courier New"/>
          <w:sz w:val="18"/>
        </w:rPr>
        <w:t>Comp(R_k) = s(G,a) - s(G without R_k,a)</w:t>
        <w:br/>
        <w:t>Suff(R_k) = s(G,a) - s(G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6"/>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6"/>
        </w:numPr>
        <w:spacing w:after="40"/>
      </w:pPr>
      <w:r>
        <w:rPr>
          <w:b/>
          <w:i w:val="0"/>
        </w:rPr>
        <w:t>DEF near zero:</w:t>
      </w:r>
      <w:r>
        <w:t xml:space="preserve"> the attention ranking has no measured advantage over the matched random control.</w:t>
      </w:r>
    </w:p>
    <w:p>
      <w:pPr>
        <w:pStyle w:val="14"/>
        <w:keepLines/>
        <w:numPr>
          <w:ilvl w:val="0"/>
          <w:numId w:val="6"/>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confirmatory H1-H4 family and the paired clean-twin comparison use probability DEF, following the declared hypothesis analysis.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normalized_AoI_i)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summarized below. An episode evaluation is one complete rollout of one frozen checkpoint under one telemetry condition.</w:t>
      </w:r>
    </w:p>
    <w:p>
      <w:pPr>
        <w:pStyle w:val="12"/>
        <w:keepNext/>
      </w:pPr>
      <w:bookmarkStart w:id="37" w:name="nav_table_Table_3_5"/>
      <w:r>
        <w:rPr>
          <w:b/>
        </w:rPr>
        <w:t>Table 3.5: Held-out evaluation structure and episode counts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350"/>
        <w:gridCol w:w="1100"/>
        <w:gridCol w:w="1500"/>
        <w:gridCol w:w="1250"/>
        <w:gridCol w:w="1600"/>
        <w:gridCol w:w="1220"/>
      </w:tblGrid>
      <w:tr>
        <w:trPr>
          <w:cantSplit/>
          <w:tblHeader w:val="true"/>
        </w:trPr>
        <w:tc>
          <w:tcPr>
            <w:tcW w:type="dxa" w:w="23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2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6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216</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r>
        <w:trPr>
          <w:cantSplit/>
        </w:trPr>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2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6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6 episodes</w:t>
      </w:r>
    </w:p>
    <w:p>
      <w:pPr>
        <w:widowControl/>
      </w:pPr>
      <w:r>
        <w:t>The five conditions and their roles are:</w:t>
      </w:r>
    </w:p>
    <w:p>
      <w:pPr>
        <w:pStyle w:val="12"/>
        <w:keepNext/>
      </w:pPr>
      <w:bookmarkStart w:id="38" w:name="nav_table_Table_3_6"/>
      <w:r>
        <w:rPr>
          <w:b/>
        </w:rPr>
        <w:t>Table 3.6: Telemetry conditions used in held-out evaluation</w:t>
      </w:r>
      <w:bookmarkEnd w:id="3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50"/>
        <w:gridCol w:w="2550"/>
        <w:gridCol w:w="2200"/>
        <w:gridCol w:w="3120"/>
      </w:tblGrid>
      <w:tr>
        <w:trPr>
          <w:cantSplit/>
          <w:tblHeader w:val="true"/>
        </w:trPr>
        <w:tc>
          <w:tcPr>
            <w:tcW w:type="dxa" w:w="11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5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2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2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1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primary learned-policy evaluation samples from the policy distribution. This matches training and preserves both no-op and request-dispatch decisions for explanation auditing. A separate descriptive diagnostic evaluates each of the six selected GAT checkpoints by deterministic argmax over three held-out test episodes. This diagnostic is not used for checkpoint selection or the primary capability comparison. It checks whether sampled performance also corresponds to a usable deterministic policy.</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degraded and clean evaluations reuse the same matched-random draw,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All six sweeps pass these gates.</w:t>
      </w:r>
    </w:p>
    <w:p>
      <w:pPr>
        <w:pStyle w:val="3"/>
        <w:keepNext/>
      </w:pPr>
      <w:bookmarkStart w:id="39" w:name="nav_heading_3_9_Hypotheses_and_statistic"/>
      <w:r>
        <w:t>3.9 Hypotheses and statistics</w:t>
      </w:r>
      <w:bookmarkEnd w:id="39"/>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compared with clean training, degradation-aware training reduces the decline in DEF associated with longer outages and higher WAMSN.</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The exposure-conditioned paired follow-up directly subtracts clean-twin DEF from degraded DEF for the same decision. Negative values mean lower measured faithfulness under the degraded observation. This paired estimate is reported with an episode-block confidence interval and is interpreted by effect size, direction across trained policies, and uncertainty rather than by a decision-level p-value alone.</w:t>
      </w:r>
    </w:p>
    <w:p>
      <w:pPr>
        <w:widowControl/>
      </w:pPr>
      <w:r>
        <w:t>H2 is treated as a predeclared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An exploratory action-stratified audit separates eligible decisions into no-op and dispatch. Decisions with no available request are excluded because no-op is then forced rather than chosen. Within each stratum, records are still averaged by episode before permutation tests or bootstrap intervals are formed. This diagnostic tests whether the combined statistics describe both actions or are driven by the more common action. It was added after the primary analysis and is interpreted descriptively rather than as a new confirmatory hypothesis.</w:t>
      </w:r>
    </w:p>
    <w:p>
      <w:pPr>
        <w:widowControl/>
      </w:pPr>
      <w:r>
        <w:t>A second sensitivity analysis checks whether the paired result is specific to the fixed tunnel location. The six checkpoints remain frozen and are evaluated under clean telemetry, a 30-second tunnel-triggered freeze, and a 30-second randomly triggered freeze. The random trigger is an independent Bernoulli draw for each taxi at each observation step. A preliminary run without faithfulness scoring selected a trigger probability of 0.0023: for the reference GAT checkpoint, this produced a 0.569% degraded-observation rate, close to the 0.580% tunnel rate. The same probability is then held fixed for all checkpoints. Because policy actions change taxi availability and trajectories, the realized exposure rates can differ; they are reported rather than assumed equal. The comparison is therefore interpreted mainly from paired shifts among decisions that actually contain a stale vehicle node.</w:t>
      </w:r>
    </w:p>
    <w:p>
      <w:pPr>
        <w:widowControl/>
      </w:pPr>
      <w:r>
        <w:t>The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0" w:name="nav_heading_3_10_Reproducibility"/>
      <w:r>
        <w:t>3.10 Reproducibility</w:t>
      </w:r>
      <w:bookmarkEnd w:id="40"/>
    </w:p>
    <w:p>
      <w:pPr>
        <w:widowControl/>
      </w:pPr>
      <w:r>
        <w:t>The experiment runner records the configuration, commands, seeds, checkpoint hashes, source revision, and preflight reports in versioned run directories. Compact outputs include the summary, performance context, deterministic diagnostic, action-stratified audit, and training-seed synthesis tables. The training-seed synthesis makes consistency across trained policies explicit. Reproduction commands, file locations, and expected outputs are documented in docs/REPRODUCE_EXPERIMENTS.md.</w:t>
      </w:r>
    </w:p>
    <w:p>
      <w:pPr>
        <w:pStyle w:val="3"/>
        <w:keepNext/>
      </w:pPr>
      <w:bookmarkStart w:id="41" w:name="nav_heading_3_11_Ethics_and_data_governa"/>
      <w:r>
        <w:t>3.11 Ethics and data governance</w:t>
      </w:r>
      <w:bookmarkEnd w:id="41"/>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42" w:name="nav_heading_Chapter_4_Results"/>
      <w:r>
        <w:t>Chapter 4: Results</w:t>
      </w:r>
      <w:bookmarkEnd w:id="42"/>
    </w:p>
    <w:p>
      <w:pPr>
        <w:widowControl/>
      </w:pPr>
      <w:r>
        <w:t>The automated preflight audit passed 100 checks covering provenance and protocol requirements. Results are reported by training seed because decisions and episodes from one checkpoint do not constitute independent model replications.</w:t>
      </w:r>
    </w:p>
    <w:p>
      <w:pPr>
        <w:pStyle w:val="3"/>
        <w:keepNext/>
      </w:pPr>
      <w:bookmarkStart w:id="43" w:name="nav_heading_4_1_Policy_capability_and_tr"/>
      <w:r>
        <w:t>4.1 Policy capability and training stability</w:t>
      </w:r>
      <w:bookmarkEnd w:id="43"/>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keepNext/>
        <w:keepLines/>
        <w:spacing w:before="120" w:after="40"/>
        <w:jc w:val="center"/>
      </w:pPr>
      <w:r>
        <w:drawing>
          <wp:inline xmlns:a="http://schemas.openxmlformats.org/drawingml/2006/main" xmlns:pic="http://schemas.openxmlformats.org/drawingml/2006/picture">
            <wp:extent cx="5623560" cy="3733940"/>
            <wp:docPr id="7" name="Picture 7" descr="GAT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48"/>
                    <a:stretch>
                      <a:fillRect/>
                    </a:stretch>
                  </pic:blipFill>
                  <pic:spPr>
                    <a:xfrm>
                      <a:off x="0" y="0"/>
                      <a:ext cx="5623560" cy="3733940"/>
                    </a:xfrm>
                    <a:prstGeom prst="rect"/>
                  </pic:spPr>
                </pic:pic>
              </a:graphicData>
            </a:graphic>
          </wp:inline>
        </w:drawing>
      </w:r>
    </w:p>
    <w:p>
      <w:pPr>
        <w:pStyle w:val="12"/>
        <w:keepLines/>
      </w:pPr>
      <w:bookmarkStart w:id="44" w:name="nav_figure_Figure_4_1"/>
      <w:r>
        <w:t>Figure 4.1. GAT training metrics use a ten-epoch moving mean. Stars mark validation-selected checkpoints. Reward and pickups still vary between epochs, but entropy remains above the collapse threshold and PPO clipping is limited.</w:t>
      </w:r>
      <w:bookmarkEnd w:id="44"/>
    </w:p>
    <w:p>
      <w:pPr>
        <w:widowControl/>
      </w:pPr>
      <w:r>
        <w:t>All nine training runs pass the declared stability gates. The following values describe the final ten training epochs, not the held-out evaluation in Table 4.1. For GAT, the final ten-epoch mean pickups are 13.3, 9.0, and 9.9, and final validation retention is 100%, 100%, and 92.6%. The corresponding GAT-Outage values are 12.4, 14.1, and 13.8 pickups, with validation retention of 100%, 93.9%, and 96.5%. Training metrics still fluctuate across epochs, but no selected checkpoint is a zero-pickup policy under stochastic validation. Deterministic argmax results are reported separately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45" w:name="nav_table_Table_4_1"/>
      <w:r>
        <w:rPr>
          <w:b/>
        </w:rPr>
        <w:t>Table 4.1: Policy capability on held-out demand</w:t>
      </w:r>
      <w:bookmarkEnd w:id="4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under stochastic action sampling. These results confirm capability for the sampled policy distributions only; the role of graph attention and the usability of the argmax policy remain untested.</w:t>
      </w:r>
    </w:p>
    <w:p>
      <w:pPr>
        <w:widowControl/>
      </w:pPr>
      <w:r>
        <w:t>The audit requires each checkpoint's sampled policy distribution to exceed the declared lower bounds, not GAT to outperform MLP. That condition is met. MLP has the highest cross-seed mean in this implementation, although the replicate ranges overlap. The experiment finds no task-performance advantage for graph attention. This limits how broadly the audit can be generalized but remains separate from whether the exposed weights faithfully explain GAT decisions.</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6" w:name="nav_figure_Figure_4_2"/>
      <w:r>
        <w:t>Figure 4.2. Each point is one selected policy evaluated over 24 held-out episodes. Horizontal lines show the cross-seed mean.</w:t>
      </w:r>
      <w:bookmarkEnd w:id="46"/>
    </w:p>
    <w:p>
      <w:pPr>
        <w:widowControl/>
      </w:pPr>
      <w:r>
        <w:t>The deterministic diagnostic changes the capability interpretation. All six selected GAT checkpoints choose no-op throughout three held-out episodes, giving 0 pickups in 18 of 18 checkpoint-episodes. Their common mean reward is -46.58 and final pending-request wait is 905.9 seconds. The stochastic results show only that the policy distributions assign enough probability to dispatch actions to produce pickups when sampled; they do not establish a stable argmax dispatcher.</w:t>
      </w:r>
    </w:p>
    <w:p>
      <w:pPr>
        <w:pStyle w:val="3"/>
        <w:keepNext/>
      </w:pPr>
      <w:bookmarkStart w:id="47" w:name="nav_heading_4_2_Construct_validity_audit"/>
      <w:r>
        <w:t>4.2 Construct-validity audit</w:t>
      </w:r>
      <w:bookmarkEnd w:id="47"/>
    </w:p>
    <w:p>
      <w:pPr>
        <w:widowControl/>
      </w:pPr>
      <w:r>
        <w:t>Removing a request node can remove an available action, while removing a peer taxi only hides information. A uniform random occlusion therefore compares different types of change.</w:t>
      </w:r>
    </w:p>
    <w:p>
      <w:pPr>
        <w:pStyle w:val="12"/>
        <w:keepNext/>
      </w:pPr>
      <w:bookmarkStart w:id="48" w:name="nav_table_Table_4_2"/>
      <w:r>
        <w:rPr>
          <w:b/>
        </w:rPr>
        <w:t>Table 4.2: Construct-validity audit of random controls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rather than answering the primary research question. The reported protocol uses type matching, protects the chosen request in the margin variant, and logs action-margin clamps.</w:t>
      </w:r>
    </w:p>
    <w:p>
      <w:pPr>
        <w:pStyle w:val="3"/>
        <w:keepNext/>
      </w:pPr>
      <w:bookmarkStart w:id="49" w:name="nav_heading_4_3_Evaluator_sensitivity_an"/>
      <w:r>
        <w:t>4.3 Evaluator sensitivity and ranking controls</w:t>
      </w:r>
      <w:bookmarkEnd w:id="49"/>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shows the clean values and the condition difference separately instead of presenting two visually indistinguishable rows.</w:t>
      </w:r>
    </w:p>
    <w:p>
      <w:pPr>
        <w:pStyle w:val="12"/>
        <w:keepNext/>
      </w:pPr>
      <w:bookmarkStart w:id="50" w:name="nav_table_Table_4_3"/>
      <w:r>
        <w:rPr>
          <w:b/>
        </w:rPr>
        <w:t>Table 4.3: Clean-telemetry faithfulness controls by training seed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2608"/>
        <w:gridCol w:w="1521"/>
        <w:gridCol w:w="1521"/>
        <w:gridCol w:w="1415"/>
      </w:tblGrid>
      <w:tr>
        <w:trPr>
          <w:cantSplit/>
          <w:tblHeader w:val="true"/>
        </w:trPr>
        <w:tc>
          <w:tcPr>
            <w:tcW w:type="dxa" w:w="108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2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Raw-attention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margin-DEF</w:t>
            </w:r>
          </w:p>
        </w:tc>
        <w:tc>
          <w:tcPr>
            <w:tcW w:type="dxa" w:w="152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margin-DEF</w:t>
            </w:r>
          </w:p>
        </w:tc>
        <w:tc>
          <w:tcPr>
            <w:tcW w:type="dxa" w:w="141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-0.0033</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+0.404</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+0.426</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+0.0020</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-0.0010</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+0.0089</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+0.602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shows some agreement with decision-relevant LOO ordering, but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9" name="Picture 9"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0"/>
                    <a:stretch>
                      <a:fillRect/>
                    </a:stretch>
                  </pic:blipFill>
                  <pic:spPr>
                    <a:xfrm>
                      <a:off x="0" y="0"/>
                      <a:ext cx="5623560" cy="4033091"/>
                    </a:xfrm>
                    <a:prstGeom prst="rect"/>
                  </pic:spPr>
                </pic:pic>
              </a:graphicData>
            </a:graphic>
          </wp:inline>
        </w:drawing>
      </w:r>
    </w:p>
    <w:p>
      <w:pPr>
        <w:pStyle w:val="12"/>
        <w:keepLines/>
      </w:pPr>
      <w:bookmarkStart w:id="51" w:name="nav_figure_Figure_4_3"/>
      <w:r>
        <w:t>Figure 4.3. Top: clean logit-margin DEF. Bottom: 60-second minus clean DEF, multiplied by 10,000, from separate evaluations. Lines join methods for each checkpoint; non-zero changes confirm distinct records.</w:t>
      </w:r>
      <w:bookmarkEnd w:id="51"/>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keepNext/>
        <w:keepLines/>
        <w:spacing w:before="120" w:after="40"/>
        <w:jc w:val="center"/>
      </w:pPr>
      <w:r>
        <w:drawing>
          <wp:inline xmlns:a="http://schemas.openxmlformats.org/drawingml/2006/main" xmlns:pic="http://schemas.openxmlformats.org/drawingml/2006/picture">
            <wp:extent cx="5623560" cy="3797729"/>
            <wp:docPr id="10" name="Picture 10"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1"/>
                    <a:stretch>
                      <a:fillRect/>
                    </a:stretch>
                  </pic:blipFill>
                  <pic:spPr>
                    <a:xfrm>
                      <a:off x="0" y="0"/>
                      <a:ext cx="5623560" cy="3797729"/>
                    </a:xfrm>
                    <a:prstGeom prst="rect"/>
                  </pic:spPr>
                </pic:pic>
              </a:graphicData>
            </a:graphic>
          </wp:inline>
        </w:drawing>
      </w:r>
    </w:p>
    <w:p>
      <w:pPr>
        <w:pStyle w:val="12"/>
        <w:keepLines/>
      </w:pPr>
      <w:bookmarkStart w:id="52" w:name="nav_figure_Figure_4_4"/>
      <w:r>
        <w:t>Figure 4.4. Stale-attention shift multiplied by 1,000. Selecting a layer, head, or rollout rule after seeing the result could reverse the conclusion.</w:t>
      </w:r>
      <w:bookmarkEnd w:id="52"/>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keepNext/>
        <w:keepLines/>
        <w:spacing w:before="120" w:after="40"/>
        <w:jc w:val="center"/>
      </w:pPr>
      <w:r>
        <w:drawing>
          <wp:inline xmlns:a="http://schemas.openxmlformats.org/drawingml/2006/main" xmlns:pic="http://schemas.openxmlformats.org/drawingml/2006/picture">
            <wp:extent cx="5623560" cy="3899355"/>
            <wp:docPr id="11" name="Picture 11"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2"/>
                    <a:stretch>
                      <a:fillRect/>
                    </a:stretch>
                  </pic:blipFill>
                  <pic:spPr>
                    <a:xfrm>
                      <a:off x="0" y="0"/>
                      <a:ext cx="5623560" cy="3899355"/>
                    </a:xfrm>
                    <a:prstGeom prst="rect"/>
                  </pic:spPr>
                </pic:pic>
              </a:graphicData>
            </a:graphic>
          </wp:inline>
        </w:drawing>
      </w:r>
    </w:p>
    <w:p>
      <w:pPr>
        <w:pStyle w:val="12"/>
        <w:keepLines/>
      </w:pPr>
      <w:bookmarkStart w:id="53"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53"/>
    </w:p>
    <w:p>
      <w:pPr>
        <w:pStyle w:val="3"/>
        <w:keepNext/>
      </w:pPr>
      <w:bookmarkStart w:id="54" w:name="nav_heading_4_4_Small_graph_resolution"/>
      <w:r>
        <w:t>4.4 Small-graph resolution</w:t>
      </w:r>
      <w:bookmarkEnd w:id="54"/>
    </w:p>
    <w:p>
      <w:pPr>
        <w:widowControl/>
      </w:pPr>
      <w:r>
        <w:t>The scored graphs usually contain the maximum number of visible nodes.</w:t>
      </w:r>
    </w:p>
    <w:p>
      <w:pPr>
        <w:pStyle w:val="12"/>
        <w:keepNext/>
      </w:pPr>
      <w:bookmarkStart w:id="55" w:name="nav_table_Table_4_4"/>
      <w:r>
        <w:rPr>
          <w:b/>
        </w:rPr>
        <w:t>Table 4.4: Valid node-count distribution in scored graphs</w:t>
      </w:r>
      <w:bookmarkEnd w:id="5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keepNext/>
        <w:keepLines/>
        <w:spacing w:before="120" w:after="40"/>
        <w:jc w:val="center"/>
      </w:pPr>
      <w:r>
        <w:drawing>
          <wp:inline xmlns:a="http://schemas.openxmlformats.org/drawingml/2006/main" xmlns:pic="http://schemas.openxmlformats.org/drawingml/2006/picture">
            <wp:extent cx="5623560" cy="2561961"/>
            <wp:docPr id="12" name="Picture 12"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3"/>
                    <a:stretch>
                      <a:fillRect/>
                    </a:stretch>
                  </pic:blipFill>
                  <pic:spPr>
                    <a:xfrm>
                      <a:off x="0" y="0"/>
                      <a:ext cx="5623560" cy="2561961"/>
                    </a:xfrm>
                    <a:prstGeom prst="rect"/>
                  </pic:spPr>
                </pic:pic>
              </a:graphicData>
            </a:graphic>
          </wp:inline>
        </w:drawing>
      </w:r>
    </w:p>
    <w:p>
      <w:pPr>
        <w:pStyle w:val="12"/>
        <w:keepLines/>
      </w:pPr>
      <w:bookmarkStart w:id="56" w:name="nav_figure_Figure_4_6"/>
      <w:r>
        <w:t>Figure 4.6. Large expected overlap between the explanation and its matched random set reduces the contrast available to DEF, especially at k=3.</w:t>
      </w:r>
      <w:bookmarkEnd w:id="56"/>
    </w:p>
    <w:p>
      <w:pPr>
        <w:pStyle w:val="3"/>
        <w:keepNext/>
      </w:pPr>
      <w:bookmarkStart w:id="57" w:name="nav_heading_4_5_Telemetry_manipulation_a"/>
      <w:r>
        <w:t>4.5 Telemetry manipulation and stale exposure</w:t>
      </w:r>
      <w:bookmarkEnd w:id="57"/>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w:t>
      </w:r>
    </w:p>
    <w:p>
      <w:pPr>
        <w:keepNext/>
        <w:keepLines/>
        <w:spacing w:before="120" w:after="40"/>
        <w:jc w:val="center"/>
      </w:pPr>
      <w:r>
        <w:drawing>
          <wp:inline xmlns:a="http://schemas.openxmlformats.org/drawingml/2006/main" xmlns:pic="http://schemas.openxmlformats.org/drawingml/2006/picture">
            <wp:extent cx="5623560" cy="5471659"/>
            <wp:docPr id="13" name="Picture 13" descr="WAMSN, probability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4"/>
                    <a:stretch>
                      <a:fillRect/>
                    </a:stretch>
                  </pic:blipFill>
                  <pic:spPr>
                    <a:xfrm>
                      <a:off x="0" y="0"/>
                      <a:ext cx="5623560" cy="5471659"/>
                    </a:xfrm>
                    <a:prstGeom prst="rect"/>
                  </pic:spPr>
                </pic:pic>
              </a:graphicData>
            </a:graphic>
          </wp:inline>
        </w:drawing>
      </w:r>
    </w:p>
    <w:p>
      <w:pPr>
        <w:pStyle w:val="12"/>
        <w:keepLines/>
      </w:pPr>
      <w:bookmarkStart w:id="58" w:name="nav_figure_Figure_4_7"/>
      <w:r>
        <w:t>Figure 4.7. Longer observation outages increase WAMSN for every policy. DEF changes are much smaller; pickups are reported only as context, not as the main research outcome.</w:t>
      </w:r>
      <w:bookmarkEnd w:id="58"/>
    </w:p>
    <w:p>
      <w:pPr>
        <w:pStyle w:val="3"/>
        <w:keepNext/>
      </w:pPr>
      <w:bookmarkStart w:id="59" w:name="nav_heading_4_6_Exposure_conditioned_pai"/>
      <w:r>
        <w:t>4.6 Exposure-conditioned paired audit</w:t>
      </w:r>
      <w:bookmarkEnd w:id="59"/>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w:t>
      </w:r>
    </w:p>
    <w:p>
      <w:pPr>
        <w:pStyle w:val="12"/>
        <w:keepNext/>
      </w:pPr>
      <w:bookmarkStart w:id="60" w:name="nav_table_Table_4_5"/>
      <w:r>
        <w:rPr>
          <w:b/>
        </w:rPr>
        <w:t>Table 4.5: Exposure-conditioned paired attention and DEF shifts</w:t>
      </w:r>
      <w:bookmarkEnd w:id="6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038"/>
        <w:gridCol w:w="4274"/>
      </w:tblGrid>
      <w:tr>
        <w:trPr>
          <w:cantSplit/>
          <w:tblHeader w:val="true"/>
        </w:trPr>
        <w:tc>
          <w:tcPr>
            <w:tcW w:type="dxa" w:w="94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303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x 1,000 [95% CI]</w:t>
            </w:r>
          </w:p>
        </w:tc>
        <w:tc>
          <w:tcPr>
            <w:tcW w:type="dxa" w:w="4274"/>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probability-DEF shift x 10,000 [95% CI]</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+4.074 [+3.9, +4.2]</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-0.041 [-0.060, -0.022]</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+0.208 [+0.2, +0.3]</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-0.839 [-1.892, +0.143]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-3.483 [-3.6, -3.4]</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+0.092 [+0.068, +0.116]</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+3.975 [+3.8, +4.1]</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-0.253 [-0.323, -0.193]</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+0.959 [+0.9, +1.0]</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-0.114 [-0.343, +0.061]</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-3.038 [-3.1, -2.9]</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+0.172 [+0.135, +0.212]</w:t>
            </w:r>
          </w:p>
        </w:tc>
      </w:tr>
    </w:tbl>
    <w:p>
      <w:pPr>
        <w:keepNext/>
        <w:keepLines/>
        <w:spacing w:before="120" w:after="40"/>
        <w:jc w:val="center"/>
      </w:pPr>
      <w:r>
        <w:drawing>
          <wp:inline xmlns:a="http://schemas.openxmlformats.org/drawingml/2006/main" xmlns:pic="http://schemas.openxmlformats.org/drawingml/2006/picture">
            <wp:extent cx="5623560" cy="2680961"/>
            <wp:docPr id="14" name="Picture 14"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5"/>
                    <a:stretch>
                      <a:fillRect/>
                    </a:stretch>
                  </pic:blipFill>
                  <pic:spPr>
                    <a:xfrm>
                      <a:off x="0" y="0"/>
                      <a:ext cx="5623560" cy="2680961"/>
                    </a:xfrm>
                    <a:prstGeom prst="rect"/>
                  </pic:spPr>
                </pic:pic>
              </a:graphicData>
            </a:graphic>
          </wp:inline>
        </w:drawing>
      </w:r>
    </w:p>
    <w:p>
      <w:pPr>
        <w:pStyle w:val="12"/>
        <w:keepLines/>
      </w:pPr>
      <w:bookmarkStart w:id="61"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61"/>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directionally heterogeneous.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62" w:name="nav_heading_4_7_Action_stratified_diagno"/>
      <w:r>
        <w:t>4.7 Action-stratified diagnostic</w:t>
      </w:r>
      <w:bookmarkEnd w:id="62"/>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w:t>
      </w:r>
    </w:p>
    <w:p>
      <w:pPr>
        <w:pStyle w:val="12"/>
        <w:keepNext/>
      </w:pPr>
      <w:bookmarkStart w:id="63" w:name="nav_table_Table_4_6"/>
      <w:r>
        <w:rPr>
          <w:b/>
        </w:rPr>
        <w:t>Table 4.6: Action composition and dispatch-stratified DEF diagnostic</w:t>
      </w:r>
      <w:bookmarkEnd w:id="6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800"/>
        <w:gridCol w:w="800"/>
        <w:gridCol w:w="1800"/>
        <w:gridCol w:w="3920"/>
      </w:tblGrid>
      <w:tr>
        <w:trPr>
          <w:cantSplit/>
          <w:tblHeader w:val="true"/>
        </w:trPr>
        <w:tc>
          <w:tcPr>
            <w:tcW w:type="dxa" w:w="17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No-op (%)</w:t>
            </w:r>
          </w:p>
        </w:tc>
        <w:tc>
          <w:tcPr>
            <w:tcW w:type="dxa" w:w="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Dispatch (%)</w:t>
            </w:r>
          </w:p>
        </w:tc>
        <w:tc>
          <w:tcPr>
            <w:tcW w:type="dxa" w:w="1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Mean selected dispatch probability</w:t>
            </w:r>
          </w:p>
        </w:tc>
        <w:tc>
          <w:tcPr>
            <w:tcW w:type="dxa" w:w="39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Paired dispatch DEF shift x 10,000 [95% CI]</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96.6</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3.4</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0.0085</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 [0.000,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88.4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0.0368</w:t>
            </w:r>
          </w:p>
        </w:tc>
        <w:tc>
          <w:tcPr>
            <w:tcW w:type="dxa" w:w="39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-20.358 [-32.488, -8.371]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0.0211</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 [-0.029, 0.000]</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91.4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8.6</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0.0228</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[+0.047, +0.131]</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94.6</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5.4</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0.0127</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-4.403 [-8.368, -1.285]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9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-0.044 [-0.092, +0.004]</w:t>
            </w:r>
          </w:p>
        </w:tc>
      </w:tr>
    </w:tbl>
    <w:p>
      <w:pPr>
        <w:keepNext/>
        <w:keepLines/>
        <w:spacing w:before="120" w:after="40"/>
        <w:jc w:val="center"/>
      </w:pPr>
      <w:r>
        <w:drawing>
          <wp:inline xmlns:a="http://schemas.openxmlformats.org/drawingml/2006/main" xmlns:pic="http://schemas.openxmlformats.org/drawingml/2006/picture">
            <wp:extent cx="5623560" cy="3985512"/>
            <wp:docPr id="15" name="Picture 15" descr="Action-stratified faithfulness diagnostic"/>
            <wp:cNvGraphicFramePr>
              <a:graphicFrameLocks noChangeAspect="1"/>
            </wp:cNvGraphicFramePr>
            <a:graphic>
              <a:graphicData uri="http://schemas.openxmlformats.org/drawingml/2006/picture">
                <pic:pic>
                  <pic:nvPicPr>
                    <pic:cNvPr id="0" name="v9_action_stratified_faithfulness.png"/>
                    <pic:cNvPicPr/>
                  </pic:nvPicPr>
                  <pic:blipFill>
                    <a:blip r:embed="rId56"/>
                    <a:stretch>
                      <a:fillRect/>
                    </a:stretch>
                  </pic:blipFill>
                  <pic:spPr>
                    <a:xfrm>
                      <a:off x="0" y="0"/>
                      <a:ext cx="5623560" cy="3985512"/>
                    </a:xfrm>
                    <a:prstGeom prst="rect"/>
                  </pic:spPr>
                </pic:pic>
              </a:graphicData>
            </a:graphic>
          </wp:inline>
        </w:drawing>
      </w:r>
    </w:p>
    <w:p>
      <w:pPr>
        <w:pStyle w:val="12"/>
        <w:keepLines/>
      </w:pPr>
      <w:bookmarkStart w:id="64" w:name="nav_figure_Figure_4_9"/>
      <w:r>
        <w:t>Figure 4.9. (a) Absolute no-op and dispatch counts; labels give the dispatch share. (b) Mean probability assigned to the sampled action on a logarithmic scale. (c) Paired degraded-minus-clean probability DEF on the full scale. (d) Enlarged view around zero; arrows mark intervals that extend beyond the panel. Error bars are 95% episode-block bootstrap intervals.</w:t>
      </w:r>
      <w:bookmarkEnd w:id="64"/>
    </w:p>
    <w:p>
      <w:pPr>
        <w:widowControl/>
      </w:pPr>
      <w:r>
        <w:t>The no-op stratum closely follows the combined result because it accounts for most records. The same H1 trend does not appear in the dispatch stratum for any checkpoint (p = 0.44-1.00), and the dispatch results show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pattern for dispatch decisions. It shows that the combined H1 and H4 findings should not be generalized to dispatch actions.</w:t>
      </w:r>
    </w:p>
    <w:p>
      <w:pPr>
        <w:pStyle w:val="3"/>
        <w:keepNext/>
      </w:pPr>
      <w:bookmarkStart w:id="65" w:name="nav_heading_4_8_Random_trigger_sensitivi"/>
      <w:r>
        <w:t>4.8 Random-trigger sensitivity analysis</w:t>
      </w:r>
      <w:bookmarkEnd w:id="65"/>
    </w:p>
    <w:p>
      <w:pPr>
        <w:widowControl/>
      </w:pPr>
      <w:r>
        <w:t>The random-loss control replaces the fixed tunnel-entry trigger with an independent per-taxi trigger while retaining the same 30-second observation-layer freeze. The trigger probability is fixed across checkpoints, so realized exposure remains dependent on the trajectory induced by each policy. Random-to-tunnel exposure-rate ratios range from 0.44 to 0.98, with a median of 0.78. The comparison therefore focuses on the direction of paired effects within stale-exposed decisions rather than treating the two conditions as perfectly exposure matched.</w:t>
      </w:r>
    </w:p>
    <w:p>
      <w:pPr>
        <w:widowControl/>
      </w:pPr>
      <w:r>
        <w:t>This sensitivity analysis is a separate 24-episode evaluation. Its repeated 30-second tunnel estimates therefore differ slightly from the 48-episode main sweep in Table 4.5; no checkpoint is retrained or reselected.</w:t>
      </w:r>
    </w:p>
    <w:p>
      <w:pPr>
        <w:pStyle w:val="12"/>
        <w:keepNext/>
        <w:pageBreakBefore/>
      </w:pPr>
      <w:bookmarkStart w:id="66" w:name="nav_table_Table_4_7"/>
      <w:r>
        <w:rPr>
          <w:b/>
        </w:rPr>
        <w:t>Table 4.7: Tunnel-triggered and random-loss sensitivity results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69"/>
        <w:gridCol w:w="1737"/>
        <w:gridCol w:w="3006"/>
        <w:gridCol w:w="3008"/>
      </w:tblGrid>
      <w:tr>
        <w:trPr>
          <w:cantSplit/>
          <w:tblHeader w:val="true"/>
        </w:trPr>
        <w:tc>
          <w:tcPr>
            <w:tcW w:type="dxa" w:w="126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173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Exposure tunnel/random (%)</w:t>
            </w:r>
          </w:p>
        </w:tc>
        <w:tc>
          <w:tcPr>
            <w:tcW w:type="dxa" w:w="30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tunnel/random (values x 1,000)</w:t>
            </w:r>
          </w:p>
        </w:tc>
        <w:tc>
          <w:tcPr>
            <w:tcW w:type="dxa" w:w="300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Probability DEF shift tunnel/random (values x 10,000)</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 / 0.569</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+4.281 / +4.037</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 / +0.004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1.176 / 0.517</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+0.231 / -0.286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-0.479 / +7.361</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0.818 / 0.532</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-3.623 / -3.165</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 / +0.322</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0.967 / 0.713</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+4.279 / +5.453</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 / -0.093</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0.584 / 0.480</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+0.958 / +0.444</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 -0.014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0.712 / 0.648</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-3.063 / -4.296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+0.091 / +0.518</w:t>
            </w:r>
          </w:p>
        </w:tc>
      </w:tr>
    </w:tbl>
    <w:p>
      <w:pPr>
        <w:keepNext/>
        <w:keepLines/>
        <w:spacing w:before="120" w:after="40"/>
        <w:jc w:val="center"/>
      </w:pPr>
      <w:r>
        <w:drawing>
          <wp:inline xmlns:a="http://schemas.openxmlformats.org/drawingml/2006/main" xmlns:pic="http://schemas.openxmlformats.org/drawingml/2006/picture">
            <wp:extent cx="5623560" cy="3475917"/>
            <wp:docPr id="16" name="Picture 16" descr="Random telemetry-loss robustness check"/>
            <wp:cNvGraphicFramePr>
              <a:graphicFrameLocks noChangeAspect="1"/>
            </wp:cNvGraphicFramePr>
            <a:graphic>
              <a:graphicData uri="http://schemas.openxmlformats.org/drawingml/2006/picture">
                <pic:pic>
                  <pic:nvPicPr>
                    <pic:cNvPr id="0" name="v9_random_loss_robustness.png"/>
                    <pic:cNvPicPr/>
                  </pic:nvPicPr>
                  <pic:blipFill>
                    <a:blip r:embed="rId57"/>
                    <a:stretch>
                      <a:fillRect/>
                    </a:stretch>
                  </pic:blipFill>
                  <pic:spPr>
                    <a:xfrm>
                      <a:off x="0" y="0"/>
                      <a:ext cx="5623560" cy="3475917"/>
                    </a:xfrm>
                    <a:prstGeom prst="rect"/>
                  </pic:spPr>
                </pic:pic>
              </a:graphicData>
            </a:graphic>
          </wp:inline>
        </w:drawing>
      </w:r>
    </w:p>
    <w:p>
      <w:pPr>
        <w:pStyle w:val="12"/>
        <w:keepLines/>
      </w:pPr>
      <w:bookmarkStart w:id="67" w:name="nav_figure_Figure_4_10"/>
      <w:r>
        <w:t>Figure 4.10. Sensitivity to tunnel and random triggers under a 30-second freeze: (a) exposure rate; (b) stale-attention shift; (c) probability-DEF shift at full scale; and (d) enlarged DEF near zero. Arrows mark off-panel intervals; error bars show 95% episode-block bootstrap intervals.</w:t>
      </w:r>
      <w:bookmarkEnd w:id="67"/>
    </w:p>
    <w:p>
      <w:pPr>
        <w:widowControl/>
      </w:pPr>
      <w:r>
        <w:t>Attention-shift direction agrees between tunnel and random triggers in five of six checkpoints. Probability-DEF direction agrees in four of six. One mismatch for GAT seed 42 consists of values very close to zero. GAT seed 43 is the clear exception, but its random-trigger DEF interval is wide and crosses zero. The seed-42 positive attention pattern and seed-44 negative pattern otherwise remain visible under random triggering in both training regimes. This reduces the likelihood that the overall checkpoint dependence is produced only by the chosen tunnel location. It does not establish a location-independent effect, because the realized exposure rates and stale-node populations are not identical.</w:t>
      </w:r>
    </w:p>
    <w:p>
      <w:pPr>
        <w:pStyle w:val="3"/>
        <w:keepNext/>
      </w:pPr>
      <w:bookmarkStart w:id="68" w:name="nav_heading_4_9_Faithfulness_hypotheses"/>
      <w:r>
        <w:t>4.9 Faithfulness hypotheses</w:t>
      </w:r>
      <w:bookmarkEnd w:id="68"/>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w:t>
      </w:r>
    </w:p>
    <w:p>
      <w:pPr>
        <w:keepNext/>
        <w:keepLines/>
        <w:spacing w:before="120" w:after="40"/>
        <w:jc w:val="center"/>
      </w:pPr>
      <w:r>
        <w:drawing>
          <wp:inline xmlns:a="http://schemas.openxmlformats.org/drawingml/2006/main" xmlns:pic="http://schemas.openxmlformats.org/drawingml/2006/picture">
            <wp:extent cx="5623560" cy="3099630"/>
            <wp:docPr id="17" name="Picture 17" descr="Within-episode WAMSN-DEF correlation by training seed"/>
            <wp:cNvGraphicFramePr>
              <a:graphicFrameLocks noChangeAspect="1"/>
            </wp:cNvGraphicFramePr>
            <a:graphic>
              <a:graphicData uri="http://schemas.openxmlformats.org/drawingml/2006/picture">
                <pic:pic>
                  <pic:nvPicPr>
                    <pic:cNvPr id="0" name="v9_h4_correlation_by_training_seed.png"/>
                    <pic:cNvPicPr/>
                  </pic:nvPicPr>
                  <pic:blipFill>
                    <a:blip r:embed="rId58"/>
                    <a:stretch>
                      <a:fillRect/>
                    </a:stretch>
                  </pic:blipFill>
                  <pic:spPr>
                    <a:xfrm>
                      <a:off x="0" y="0"/>
                      <a:ext cx="5623560" cy="3099630"/>
                    </a:xfrm>
                    <a:prstGeom prst="rect"/>
                  </pic:spPr>
                </pic:pic>
              </a:graphicData>
            </a:graphic>
          </wp:inline>
        </w:drawing>
      </w:r>
    </w:p>
    <w:p>
      <w:pPr>
        <w:pStyle w:val="12"/>
        <w:keepLines/>
      </w:pPr>
      <w:bookmarkStart w:id="69" w:name="nav_figure_Figure_4_11"/>
      <w:r>
        <w:t>Figure 4.11. All checkpoints have a negative within-episode WAMSN-DEF association after Holm correction; the direct paired effect remains mixed.</w:t>
      </w:r>
      <w:bookmarkEnd w:id="69"/>
    </w:p>
    <w:p>
      <w:pPr>
        <w:pStyle w:val="12"/>
        <w:keepNext/>
      </w:pPr>
      <w:bookmarkStart w:id="70" w:name="nav_table_Table_4_8"/>
      <w:r>
        <w:rPr>
          <w:b/>
        </w:rPr>
        <w:t>Table 4.8: Hypothesis outcomes across training seeds</w:t>
      </w:r>
      <w:bookmarkEnd w:id="7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122"/>
        <w:gridCol w:w="1387"/>
        <w:gridCol w:w="1873"/>
        <w:gridCol w:w="2638"/>
      </w:tblGrid>
      <w:tr>
        <w:trPr>
          <w:cantSplit/>
          <w:tblHeader w:val="true"/>
        </w:trPr>
        <w:tc>
          <w:tcPr>
            <w:tcW w:type="dxa" w:w="31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87"/>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87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63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exploratory</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63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31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reduces the adverse DEF relationships</w:t>
            </w:r>
          </w:p>
        </w:tc>
        <w:tc>
          <w:tcPr>
            <w:tcW w:type="dxa" w:w="138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87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6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treated as exploratory because clean DEF is close to zero and the relative-rate formulation is unstable.</w:t>
      </w:r>
    </w:p>
    <w:p>
      <w:pPr>
        <w:pStyle w:val="3"/>
        <w:keepNext/>
      </w:pPr>
      <w:bookmarkStart w:id="71" w:name="nav_heading_4_10_Result_summary"/>
      <w:r>
        <w:t>4.10 Result summary</w:t>
      </w:r>
      <w:bookmarkEnd w:id="71"/>
    </w:p>
    <w:p>
      <w:pPr>
        <w:widowControl/>
      </w:pPr>
      <w:r>
        <w:t>Longer outages increase stale exposure, while greater WAMSN accompanies lower within-episode DEF. Yet seed reversals, no-op dominance, dispatch failures, and random-trigger exceptions mean that raw attention cannot provide a reliable indication of data freshness or explanation faithfulness.</w:t>
      </w:r>
    </w:p>
    <w:p>
      <w:pPr>
        <w:pStyle w:val="2"/>
        <w:keepNext/>
      </w:pPr>
      <w:bookmarkStart w:id="72" w:name="nav_heading_Chapter_5_Discussion"/>
      <w:r>
        <w:t>Chapter 5: Discussion</w:t>
      </w:r>
      <w:bookmarkEnd w:id="72"/>
    </w:p>
    <w:p>
      <w:pPr>
        <w:pStyle w:val="3"/>
        <w:keepNext/>
      </w:pPr>
      <w:bookmarkStart w:id="73" w:name="nav_heading_5_1_Answer_to_the_central_pr"/>
      <w:r>
        <w:t>5.1 Answer to the central problem</w:t>
      </w:r>
      <w:bookmarkEnd w:id="73"/>
    </w:p>
    <w:p>
      <w:pPr>
        <w:widowControl/>
      </w:pPr>
      <w:r>
        <w:t xml:space="preserve">The central problem is whether a complete graph-attention map can be trusted when some of its vehicle data are stale. The results show that </w:t>
      </w:r>
      <w:r>
        <w:rPr>
          <w:b/>
          <w:i w:val="0"/>
        </w:rPr>
        <w:t>separate validation is required</w:t>
      </w:r>
      <w:r>
        <w:t>. Raw attention alone provides no reliable evidence of freshness or decision relevance.</w:t>
      </w:r>
    </w:p>
    <w:p>
      <w:pPr>
        <w:widowControl/>
      </w:pPr>
      <w:r>
        <w:t>This conclusion is based on several results, not one p-value. Longer outages increase stale-data exposure, and the combined within-policy tests associate that exposure with lower DEF in all six checkpoints. The direct clean-twin comparison is less uniform: attention reallocation and paired DEF shift have the expected signs in their point estimates for checkpoints trained with seeds 42 and 43, but both signs reverse for checkpoints trained with seed 44 under both training regimes. The measured effects are also small.</w:t>
      </w:r>
    </w:p>
    <w:p>
      <w:pPr>
        <w:widowControl/>
      </w:pPr>
      <w:r>
        <w:t>The action-stratified results limit how broadly this finding can be interpreted. Chosen no-op actions account for 93.0% of eligible decisions, and the combined H1 and H4 patterns are not reproduced among dispatch actions. Four checkpoints also change paired-DEF direction between the combined and dispatch strata. The primary statistics describe the sampled action mixture, not a universal explanation response for both dispatch and no-op decisions.</w:t>
      </w:r>
    </w:p>
    <w:p>
      <w:pPr>
        <w:widowControl/>
      </w:pPr>
      <w:r>
        <w:t>The supporting controls make the interpretation stronger and narrower. The LOO-ranked control produces a positive DEF for every checkpoint, so the evaluator has some sensitivity to a perturbation-based ranking. However, expected top-k overlap reaches about 60% at k=3, which limits resolution. Taxi-only attention-LOO correlation is positive but varies substantially in strength. These checks do not show that the evaluator is perfect and attention fails. They show that, within the evaluator's measured but limited resolution, raw attention lacks reproducible evidence of explanation faithfulness.</w:t>
      </w:r>
    </w:p>
    <w:p>
      <w:pPr>
        <w:keepNext/>
        <w:keepLines/>
        <w:spacing w:before="120" w:after="40"/>
        <w:jc w:val="center"/>
      </w:pPr>
      <w:r>
        <w:drawing>
          <wp:inline xmlns:a="http://schemas.openxmlformats.org/drawingml/2006/main" xmlns:pic="http://schemas.openxmlformats.org/drawingml/2006/picture">
            <wp:extent cx="5623560" cy="3137354"/>
            <wp:docPr id="18" name="Picture 18" descr="Cross-seed evidence matrix"/>
            <wp:cNvGraphicFramePr>
              <a:graphicFrameLocks noChangeAspect="1"/>
            </wp:cNvGraphicFramePr>
            <a:graphic>
              <a:graphicData uri="http://schemas.openxmlformats.org/drawingml/2006/picture">
                <pic:pic>
                  <pic:nvPicPr>
                    <pic:cNvPr id="0" name="v9_evidence_path_summary.png"/>
                    <pic:cNvPicPr/>
                  </pic:nvPicPr>
                  <pic:blipFill>
                    <a:blip r:embed="rId59"/>
                    <a:stretch>
                      <a:fillRect/>
                    </a:stretch>
                  </pic:blipFill>
                  <pic:spPr>
                    <a:xfrm>
                      <a:off x="0" y="0"/>
                      <a:ext cx="5623560" cy="3137354"/>
                    </a:xfrm>
                    <a:prstGeom prst="rect"/>
                  </pic:spPr>
                </pic:pic>
              </a:graphicData>
            </a:graphic>
          </wp:inline>
        </w:drawing>
      </w:r>
    </w:p>
    <w:p>
      <w:pPr>
        <w:pStyle w:val="12"/>
        <w:keepLines/>
      </w:pPr>
      <w:bookmarkStart w:id="74" w:name="nav_figure_Figure_5_1"/>
      <w:r>
        <w:t>Figure 5.1. Cross-seed results for the four research questions. The matrix keeps clean faithfulness, paired attention response, paired DEF response, and the effect of degradation-aware training as separate findings.</w:t>
      </w:r>
      <w:bookmarkEnd w:id="74"/>
    </w:p>
    <w:p>
      <w:pPr>
        <w:pStyle w:val="3"/>
        <w:keepNext/>
      </w:pPr>
      <w:bookmarkStart w:id="75" w:name="nav_heading_5_2_What_the_stale_exposure_"/>
      <w:r>
        <w:t>5.2 What the stale-exposure result means</w:t>
      </w:r>
      <w:bookmarkEnd w:id="75"/>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normalized AoI, so part of the increase follows directly from the manipulation. H1 and H4 show that DEF tends to be lower at greater exposure within most frozen policies. The paired audit asks a stricter question: does replacing the current observation with its degraded twin change attention and DEF at the same decision? That result changes sign across checkpoints trained with different seeds. Exposure, within-policy association, and paired intervention answer different questions and should be reported separately.</w:t>
      </w:r>
    </w:p>
    <w:p>
      <w:pPr>
        <w:pStyle w:val="3"/>
        <w:keepNext/>
      </w:pPr>
      <w:bookmarkStart w:id="76" w:name="nav_heading_5_3_Dependence_on_checkpoint"/>
      <w:r>
        <w:t>5.3 Dependence on checkpoint and analysis choice</w:t>
      </w:r>
      <w:bookmarkEnd w:id="76"/>
    </w:p>
    <w:p>
      <w:pPr>
        <w:widowControl/>
      </w:pPr>
      <w:r>
        <w:t>The primary aggregation gives positive stale-attention shifts for checkpoints trained with seeds 42 and 43 and negative shifts for checkpoints trained with seed 44. The values are small: approximately -0.0035 to +0.0041 of total attention mass. Paired probability-DEF shifts are also small and reproduce the same direction in both training regimes. This shared pattern across the two model conditions suggests sensitivity to the trained checkpoint, not a stable response created by outage-aware training. The between-checkpoint range is larger than the observed difference between the two training-condition means. With only three training seeds, this is a descriptive comparison of selected checkpoints, not a variance decomposition or evidence that the seed value itself causes the response.</w:t>
      </w:r>
    </w:p>
    <w:p>
      <w:pPr>
        <w:widowControl/>
      </w:pPr>
      <w:r>
        <w:t>The random-trigger sensitivity analysis checks whether this pattern is only an artifact of the fixed tunnel location. The same attention-shift direction appears in five of six checkpoints, and the same probability-DEF direction in four of six. The seed-42 positive attention pattern and seed-44 negative pattern appear under both triggers and both training regimes. This makes a tunnel-only explanation less plausible, but it is not a complete location control. A fixed trigger probability produces different realized exposure rates after each policy changes taxi trajectories, and the identity of the stale taxis also changes. The result supports checkpoint dependence but cannot establish one general effect of random or tunnel-triggered loss.</w:t>
      </w:r>
    </w:p>
    <w:p>
      <w:pPr>
        <w:widowControl/>
      </w:pPr>
      <w:r>
        <w:t>The paired probability-DEF effects are small and may have little operational importance. The concern is not a large universal decline. Instead, even these small changes reverse direction across independently trained checkpoints, while raw clean-telemetry DEF is already near its matched control. Together, these results do not provide a consistent basis for trusting the explanations, but they also do not show large damage from telemetry degradation.</w:t>
      </w:r>
    </w:p>
    <w:p>
      <w:pPr>
        <w:widowControl/>
      </w:pPr>
      <w:r>
        <w:t>The aggregation audit identifies a second problem. Individual heads can reverse the sign within the same checkpoint. The six checkpoint ranges extend from -0.0109 to +0.0089 across the tested reductions. Selecting another head or layer after seeing the data could change the verbal conclusion.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by about 0.0064 for GAT seed 43 and 0.0073 for GAT-Outage seed 43, but changes little for the other four checkpoints. One query-row change therefore cannot be assumed to correct near-zero or negative DEF. An operator-facing attention map needs a declared and tested rule for choosing its query, layer, and heads.</w:t>
      </w:r>
    </w:p>
    <w:p>
      <w:pPr>
        <w:widowControl/>
      </w:pPr>
      <w:r>
        <w:t>The deterministic diagnostic reveals a related policy limitation. All six GAT checkpoints choose no-op in all 18 argmax episode evaluations, although their sampled policies outperform the declared lower bounds. This limitation does not invalidate the faithfulness calculations for sampled actions, but it means that the experiment audits stochastic policy decisions rather than a deployable deterministic dispatcher. The audit framework should report action composition and deterministic behavior before showing an attention map to an operator.</w:t>
      </w:r>
    </w:p>
    <w:p>
      <w:pPr>
        <w:pStyle w:val="3"/>
        <w:keepNext/>
      </w:pPr>
      <w:bookmarkStart w:id="77" w:name="nav_heading_5_4_Role_of_the_construct_va"/>
      <w:r>
        <w:t>5.4 Role of the construct-validity audit</w:t>
      </w:r>
      <w:bookmarkEnd w:id="77"/>
    </w:p>
    <w:p>
      <w:pPr>
        <w:widowControl/>
      </w:pPr>
      <w:r>
        <w:t>The construct-validity audit supports the primary experiment. Request nodes are both information and actions; peer taxis are context only. Uniform random deletion therefore creates a large action-removal artifact.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a positive control, not ground truth for the combined comprehensiveness-sufficiency score. Gradient x Input changes sign across checkpoints and is not automatically a stronger explanation in this task.</w:t>
      </w:r>
    </w:p>
    <w:p>
      <w:pPr>
        <w:widowControl/>
      </w:pPr>
      <w:r>
        <w:t>Together, these checks change the conclusion from a simple “attention is near random” statement to a more defensible one. Raw attention remains below the LOO control in all six checkpoints and has positive taxi-only agreement with LOO, but both DEF and rank agreement vary by trained policy. The aggregation and query-row audits add further sensitivity. This provides some evidence of decision relevance, but not enough to treat attention as reliable by default.</w:t>
      </w:r>
    </w:p>
    <w:p>
      <w:pPr>
        <w:widowControl/>
      </w:pPr>
      <w:r>
        <w:t>The top-k diagnostic further limits this interpretation. Attention-LOO overlap is above the expected matched-random overlap at k=1, but it offers no clear advantage over that baseline at k=3. This is consistent with reduced resolution as larger subsets overlap, not proof that the top attention node is the model's true reason or that every three-node display is random.</w:t>
      </w:r>
    </w:p>
    <w:p>
      <w:pPr>
        <w:pStyle w:val="3"/>
        <w:keepNext/>
      </w:pPr>
      <w:bookmarkStart w:id="78" w:name="nav_heading_5_5_Degradation_aware_traini"/>
      <w:r>
        <w:t>5.5 Degradation-aware training</w:t>
      </w:r>
      <w:bookmarkEnd w:id="78"/>
    </w:p>
    <w:p>
      <w:pPr>
        <w:widowControl/>
      </w:pPr>
      <w:r>
        <w:t>Training with 30-second outages does not solve the explanation problem. GAT-Outage shows the same seed-dependent attention and paired DEF directions as GAT. It strengthens the H1 and H4 associations, but does not make the direct degraded-minus-clean response consistent across independently trained policies.</w:t>
      </w:r>
    </w:p>
    <w:p>
      <w:pPr>
        <w:widowControl/>
      </w:pPr>
      <w:r>
        <w:t>These findings apply only to the tested form of robustness training. The reward contains no term for explanation stability or faithfulness, so task-reward optimization alone is not designed to align attention with a human explanation. A future intervention would need an explicit explanation objective and evaluation on independently trained models.</w:t>
      </w:r>
    </w:p>
    <w:p>
      <w:pPr>
        <w:pStyle w:val="3"/>
        <w:keepNext/>
      </w:pPr>
      <w:bookmarkStart w:id="79" w:name="nav_heading_5_6_Proposed_audit_framework"/>
      <w:r>
        <w:t>5.6 Proposed audit framework</w:t>
      </w:r>
      <w:bookmarkEnd w:id="79"/>
    </w:p>
    <w:p>
      <w:pPr>
        <w:widowControl/>
      </w:pPr>
      <w:r>
        <w:t xml:space="preserve">To address this risk, the thesis proposes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 trustworthy explanation. Table 5.1 links each observed risk to the required evidence and decision rule.</w:t>
      </w:r>
    </w:p>
    <w:p>
      <w:pPr>
        <w:pStyle w:val="12"/>
        <w:keepNext/>
      </w:pPr>
      <w:bookmarkStart w:id="80" w:name="nav_table_Table_5_1"/>
      <w:r>
        <w:rPr>
          <w:b/>
        </w:rPr>
        <w:t>Table 5.1: Freshness-aware explanation audit framework</w:t>
      </w:r>
      <w:bookmarkEnd w:id="8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strata</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stratified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bl>
    <w:p>
      <w:pPr>
        <w:widowControl/>
      </w:pPr>
      <w:r>
        <w:t>Apply the checks in order: report freshness and action composition separately; run the action-aware audit; predeclare and test the attention extraction rule; audit every candidate checkpoint; and require a consistent conclusion across independent training runs. If any check fails, the attention map remains an internal diagnostic.</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pStyle w:val="3"/>
        <w:keepNext/>
      </w:pPr>
      <w:bookmarkStart w:id="81" w:name="nav_heading_5_7_Limitations"/>
      <w:r>
        <w:t>5.7 Limitations</w:t>
      </w:r>
      <w:bookmarkEnd w:id="81"/>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and their stochastic evaluations outperform random and greedy lower bounds. However, every selected GAT checkpoint collapses to no-op under the small deterministic check. The study therefore cannot establish deterministic deployment capability or isolate the contribution of graph edges to sampled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82" w:name="nav_heading_5_8_Future_work"/>
      <w:r>
        <w:t>5.8 Future work</w:t>
      </w:r>
      <w:bookmarkEnd w:id="82"/>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83" w:name="nav_heading_Chapter_6_Conclusion"/>
      <w:r>
        <w:t>Chapter 6: Conclusion</w:t>
      </w:r>
      <w:bookmarkEnd w:id="83"/>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 xml:space="preserve">The results lead to a clear conclusion: </w:t>
      </w:r>
      <w:r>
        <w:rPr>
          <w:b/>
          <w:i w:val="0"/>
        </w:rPr>
        <w:t>this experiment does not validate raw graph-attention weights as reliable explanations under clean or degraded telemetry</w:t>
      </w:r>
      <w:r>
        <w:t>. This is not a claim that every attention map is wrong. It means that attention cannot be assumed trustworthy by default.</w:t>
      </w:r>
    </w:p>
    <w:p>
      <w:pPr>
        <w:keepNext/>
        <w:widowControl/>
      </w:pPr>
      <w:r>
        <w:t>The four research questions are answered as follows:</w:t>
      </w:r>
    </w:p>
    <w:p>
      <w:pPr>
        <w:pStyle w:val="13"/>
        <w:keepLines/>
        <w:spacing w:after="40"/>
      </w:pPr>
      <w:r>
        <w:rPr>
          <w:b/>
          <w:i w:val="0"/>
        </w:rPr>
        <w:t>RQ1: Is attention faithful under clean telemetry?</w:t>
      </w:r>
      <w:r>
        <w:t xml:space="preserve"> The six checkpoints do not show a consistent result. Raw-attention DEF ranges from -0.0009 to +0.0031 across checkpoints. LOO produces a larger positive result for all six checkpoints, while taxi-only attention-LOO rank correlation ranges from +0.088 to +0.699.</w:t>
      </w:r>
    </w:p>
    <w:p>
      <w:pPr>
        <w:pStyle w:val="13"/>
        <w:keepLines/>
        <w:spacing w:after="40"/>
      </w:pPr>
      <w:r>
        <w:rPr>
          <w:b/>
          <w:i w:val="0"/>
        </w:rPr>
        <w:t>RQ2: Does attention move toward stale vehicle nodes?</w:t>
      </w:r>
      <w:r>
        <w:t xml:space="preserve"> Not consistently. Under the predefined aggregation method, attention shifts toward stale nodes for checkpoints trained with seeds 42 and 43 and away from them for seed 44 under both training regimes. The same attention-shift direction appears under random triggering in five of six checkpoints, while individual heads can still reverse the direction within one checkpoint.</w:t>
      </w:r>
    </w:p>
    <w:p>
      <w:pPr>
        <w:pStyle w:val="13"/>
        <w:keepLines/>
        <w:spacing w:after="40"/>
      </w:pPr>
      <w:r>
        <w:rPr>
          <w:b/>
          <w:i w:val="0"/>
        </w:rPr>
        <w:t>RQ3: Does the explanation remain reliable as outage duration increases?</w:t>
      </w:r>
      <w:r>
        <w:t xml:space="preserve"> The policies show no consistent relationship. H1 is supported in five of six selected checkpoints and H4 in all six, but the direct paired DEF shift is negative for four checkpoints and positive for two. The effect is small and reverses for the checkpoints trained with seed 44. Moreover, 93.0% of eligible decisions are no-op, and the H1/H4 patterns are not reproduced in the dispatch stratum.</w:t>
      </w:r>
    </w:p>
    <w:p>
      <w:pPr>
        <w:pStyle w:val="13"/>
        <w:keepLines/>
        <w:spacing w:after="120"/>
      </w:pPr>
      <w:r>
        <w:rPr>
          <w:b/>
          <w:i w:val="0"/>
        </w:rPr>
        <w:t>RQ4: Does degradation-aware training improve explanation reliability?</w:t>
      </w:r>
      <w:r>
        <w:t xml:space="preserve"> Outage training provides no consistent improvement. GAT-Outage shows the same seed-dependent paired direction as GAT.</w:t>
      </w:r>
    </w:p>
    <w:p>
      <w:pPr>
        <w:widowControl/>
      </w:pPr>
      <w:r>
        <w:t>This interpretation depends on the construct-validity audit. Deleting a request can also delete an action, while deleting a peer taxi only hides context. Type-matched and action-protected controls remove much of this artifact. The positive LOO result shows that DEF has some perturbation sensitivity, but the high expected top-k overlap limits its resolution. The conclusion draws on several checks rather than one near-zero number.</w:t>
      </w:r>
    </w:p>
    <w:p>
      <w:pPr>
        <w:widowControl/>
      </w:pPr>
      <w:r>
        <w:t>The 30-second random-trigger sensitivity analysis reduces concern that the checkpoint-dependent pattern is produced only by the selected tunnel. It does not remove the need for multiple tunnel placements or real telemetry traces, because realized exposure and the stale-node population still differ between trigger mechanisms.</w:t>
      </w:r>
    </w:p>
    <w:p>
      <w:pPr>
        <w:widowControl/>
      </w:pPr>
      <w:r>
        <w:t>The performance results also have an important limit. Sampled policies outperform the basic lower bounds, but all six GAT checkpoints choose no-op in 18 of 18 deterministic diagnostic episodes. The study audits explanations for sampled stochastic actions; it does not demonstrate a deployable argmax dispatcher.</w:t>
      </w:r>
    </w:p>
    <w:p>
      <w:pPr>
        <w:widowControl/>
      </w:pPr>
      <w:r>
        <w:t xml:space="preserve">In this thesis, </w:t>
      </w:r>
      <w:r>
        <w:rPr>
          <w:b/>
          <w:i w:val="0"/>
        </w:rPr>
        <w:t>faithfulness decoupling</w:t>
      </w:r>
      <w:r>
        <w:t xml:space="preserve"> refers to the gap between a visible explanation and valid supporting evidence. An attention map can outlive the freshness of its inputs without giving a stable indication of decision relevance. The gap does not require DEF to decline monotonically with outage duration.</w:t>
      </w:r>
    </w:p>
    <w:p>
      <w:pPr>
        <w:widowControl/>
      </w:pPr>
      <w:r>
        <w:t>The freshness-aware explanation audit framework addresses this gap. It reports freshness and action composition separately, uses action-aware and type-matched tests, checks the attention extraction rule, audits every candidate checkpoint, and requires consistency across independent training runs. Stable dispatch output is not an explanation test.</w:t>
      </w:r>
    </w:p>
    <w:p>
      <w:pPr>
        <w:widowControl/>
      </w:pPr>
      <w:r>
        <w:t>The framework is designed to reduce operational risk, not to remove faithfulness decoupling from the model. Attention remains an internal diagnostic unless the full audit provides consistent evidence.</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reproduction procedure is provided in docs/REPRODUCE_EXPERIMENTS.md. Compact citable outputs are stored in the version-controlled results directory identified in that guide.</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