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97" w:name="nav_front_list_of_figures"/>
      <w:r>
        <w:rPr>
          <w:rFonts w:ascii="Times New Roman" w:hAnsi="Times New Roman"/>
          <w:b/>
          <w:sz w:val="28"/>
        </w:rPr>
        <w:t>LIST OF FIGURES</w:t>
      </w:r>
      <w:bookmarkEnd w:id="97"/>
    </w:p>
    <w:p>
      <w:pPr>
        <w:keepLines/>
        <w:tabs>
          <w:tab w:pos="8784" w:val="right" w:leader="dot"/>
        </w:tabs>
        <w:spacing w:after="40" w:line="240" w:lineRule="auto"/>
        <w:ind w:left="0"/>
      </w:pPr>
      <w:hyperlink w:anchor="nav_figure_Figure_1_1" w:history="1">
        <w:r>
          <w:rPr>
            <w:noProof/>
          </w:rPr>
          <w:t xml:space="preserve">Figure 1.1  Stale data and the explanation-release decision</w:t>
          <w:tab/>
          <w:t>3</w:t>
        </w:r>
      </w:hyperlink>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11</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12</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14</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15</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18</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24</w:t>
        </w:r>
      </w:hyperlink>
    </w:p>
    <w:p>
      <w:pPr>
        <w:keepLines/>
        <w:tabs>
          <w:tab w:pos="8784" w:val="right" w:leader="dot"/>
        </w:tabs>
        <w:spacing w:after="40" w:line="240" w:lineRule="auto"/>
        <w:ind w:left="0"/>
      </w:pPr>
      <w:hyperlink w:anchor="nav_figure_Figure_4_2" w:history="1">
        <w:r>
          <w:rPr>
            <w:noProof/>
          </w:rPr>
          <w:t xml:space="preserve">Figure 4.2  Clean-telemetry pickups by training seed</w:t>
          <w:tab/>
          <w:t>25</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27</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28</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29</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30</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31</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32</w:t>
        </w:r>
      </w:hyperlink>
    </w:p>
    <w:p>
      <w:pPr>
        <w:keepLines/>
        <w:tabs>
          <w:tab w:pos="8784" w:val="right" w:leader="dot"/>
        </w:tabs>
        <w:spacing w:after="40" w:line="240" w:lineRule="auto"/>
        <w:ind w:left="0"/>
      </w:pPr>
      <w:hyperlink w:anchor="nav_figure_Figure_4_9" w:history="1">
        <w:r>
          <w:rPr>
            <w:noProof/>
          </w:rPr>
          <w:t xml:space="preserve">Figure 4.9  Action-stratified faithfulness diagnostic</w:t>
          <w:tab/>
          <w:t>33</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35</w:t>
        </w:r>
      </w:hyperlink>
    </w:p>
    <w:p>
      <w:pPr>
        <w:keepLines/>
        <w:tabs>
          <w:tab w:pos="8784" w:val="right" w:leader="dot"/>
        </w:tabs>
        <w:spacing w:after="40" w:line="240" w:lineRule="auto"/>
        <w:ind w:left="0"/>
      </w:pPr>
      <w:hyperlink w:anchor="nav_figure_Figure_4_11" w:history="1">
        <w:r>
          <w:rPr>
            <w:noProof/>
          </w:rPr>
          <w:t xml:space="preserve">Figure 4.11  WAMSN-DEF correlation by training seed</w:t>
          <w:tab/>
          <w:t>36</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39</w:t>
        </w:r>
      </w:hyperlink>
    </w:p>
    <w:p>
      <w:pPr>
        <w:keepLines/>
        <w:tabs>
          <w:tab w:pos="8784" w:val="right" w:leader="dot"/>
        </w:tabs>
        <w:spacing w:after="40" w:line="240" w:lineRule="auto"/>
        <w:ind w:left="0"/>
      </w:pPr>
      <w:hyperlink w:anchor="nav_figure_Figure_5_2" w:history="1">
        <w:r>
          <w:rPr>
            <w:noProof/>
          </w:rPr>
          <w:t xml:space="preserve">Figure 5.2  Freshness-aware explanation audit workflow</w:t>
          <w:tab/>
          <w:t>43</w:t>
        </w:r>
      </w:hyperlink>
    </w:p>
    <w:p w14:paraId="4E24840A">
      <w:pPr>
        <w:keepNext/>
        <w:pageBreakBefore/>
        <w:spacing w:after="360"/>
        <w:jc w:val="center"/>
        <w:outlineLvl w:val="0"/>
      </w:pPr>
      <w:bookmarkStart w:id="98" w:name="nav_front_list_of_tables"/>
      <w:r>
        <w:rPr>
          <w:rFonts w:ascii="Times New Roman" w:hAnsi="Times New Roman"/>
          <w:b/>
          <w:sz w:val="28"/>
        </w:rPr>
        <w:t>LIST OF TABLES</w:t>
      </w:r>
      <w:bookmarkEnd w:id="98"/>
    </w:p>
    <w:p>
      <w:pPr>
        <w:keepLines/>
        <w:tabs>
          <w:tab w:pos="8784" w:val="right" w:leader="dot"/>
        </w:tabs>
        <w:spacing w:after="40" w:line="240" w:lineRule="auto"/>
        <w:ind w:left="0"/>
      </w:pPr>
      <w:hyperlink w:anchor="nav_table_Table_2_1" w:history="1">
        <w:r>
          <w:rPr>
            <w:noProof/>
          </w:rPr>
          <w:t xml:space="preserve">Table 2.1  Recent graph-based dispatch literature compared with this study</w:t>
          <w:tab/>
          <w:t>9</w:t>
        </w:r>
      </w:hyperlink>
    </w:p>
    <w:p>
      <w:pPr>
        <w:keepLines/>
        <w:tabs>
          <w:tab w:pos="8784" w:val="right" w:leader="dot"/>
        </w:tabs>
        <w:spacing w:after="40" w:line="240" w:lineRule="auto"/>
        <w:ind w:left="0"/>
      </w:pPr>
      <w:hyperlink w:anchor="nav_table_Table_3_1" w:history="1">
        <w:r>
          <w:rPr>
            <w:noProof/>
          </w:rPr>
          <w:t xml:space="preserve">Table 3.1  Observation graph node types and roles</w:t>
          <w:tab/>
          <w:t>10</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13</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13</w:t>
        </w:r>
      </w:hyperlink>
    </w:p>
    <w:p>
      <w:pPr>
        <w:keepLines/>
        <w:tabs>
          <w:tab w:pos="8784" w:val="right" w:leader="dot"/>
        </w:tabs>
        <w:spacing w:after="40" w:line="240" w:lineRule="auto"/>
        <w:ind w:left="0"/>
      </w:pPr>
      <w:hyperlink w:anchor="nav_table_Table_3_4" w:history="1">
        <w:r>
          <w:rPr>
            <w:noProof/>
          </w:rPr>
          <w:t xml:space="preserve">Table 3.4  Shared training and optimization settings</w:t>
          <w:tab/>
          <w:t>13</w:t>
        </w:r>
      </w:hyperlink>
    </w:p>
    <w:p>
      <w:pPr>
        <w:keepLines/>
        <w:tabs>
          <w:tab w:pos="8784" w:val="right" w:leader="dot"/>
        </w:tabs>
        <w:spacing w:after="40" w:line="240" w:lineRule="auto"/>
        <w:ind w:left="0"/>
      </w:pPr>
      <w:hyperlink w:anchor="nav_table_Table_3_5" w:history="1">
        <w:r>
          <w:rPr>
            <w:noProof/>
          </w:rPr>
          <w:t xml:space="preserve">Table 3.5  Explanation measures and roles</w:t>
          <w:tab/>
          <w:t>16</w:t>
        </w:r>
      </w:hyperlink>
    </w:p>
    <w:p>
      <w:pPr>
        <w:keepLines/>
        <w:tabs>
          <w:tab w:pos="8784" w:val="right" w:leader="dot"/>
        </w:tabs>
        <w:spacing w:after="40" w:line="240" w:lineRule="auto"/>
        <w:ind w:left="0"/>
      </w:pPr>
      <w:hyperlink w:anchor="nav_table_Table_3_6" w:history="1">
        <w:r>
          <w:rPr>
            <w:noProof/>
          </w:rPr>
          <w:t xml:space="preserve">Table 3.6  Held-out evaluation structure and episode counts</w:t>
          <w:tab/>
          <w:t>19</w:t>
        </w:r>
      </w:hyperlink>
    </w:p>
    <w:p>
      <w:pPr>
        <w:keepLines/>
        <w:tabs>
          <w:tab w:pos="8784" w:val="right" w:leader="dot"/>
        </w:tabs>
        <w:spacing w:after="40" w:line="240" w:lineRule="auto"/>
        <w:ind w:left="0"/>
      </w:pPr>
      <w:hyperlink w:anchor="nav_table_Table_3_7" w:history="1">
        <w:r>
          <w:rPr>
            <w:noProof/>
          </w:rPr>
          <w:t xml:space="preserve">Table 3.7  Telemetry conditions used in held-out evaluation</w:t>
          <w:tab/>
          <w:t>19</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25</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26</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26</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29</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31</w:t>
        </w:r>
      </w:hyperlink>
    </w:p>
    <w:p>
      <w:pPr>
        <w:keepLines/>
        <w:tabs>
          <w:tab w:pos="8784" w:val="right" w:leader="dot"/>
        </w:tabs>
        <w:spacing w:after="40" w:line="240" w:lineRule="auto"/>
        <w:ind w:left="0"/>
      </w:pPr>
      <w:hyperlink w:anchor="nav_table_Table_4_6" w:history="1">
        <w:r>
          <w:rPr>
            <w:noProof/>
          </w:rPr>
          <w:t xml:space="preserve">Table 4.6  Action composition and dispatch-stratified DEF diagnostic</w:t>
          <w:tab/>
          <w:t>32</w:t>
        </w:r>
      </w:hyperlink>
    </w:p>
    <w:p>
      <w:pPr>
        <w:keepLines/>
        <w:tabs>
          <w:tab w:pos="8784" w:val="right" w:leader="dot"/>
        </w:tabs>
        <w:spacing w:after="40" w:line="240" w:lineRule="auto"/>
        <w:ind w:left="0"/>
      </w:pPr>
      <w:hyperlink w:anchor="nav_table_Table_4_7" w:history="1">
        <w:r>
          <w:rPr>
            <w:noProof/>
          </w:rPr>
          <w:t xml:space="preserve">Table 4.7  Tunnel-triggered and random-loss sensitivity results</w:t>
          <w:tab/>
          <w:t>35</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36</w:t>
        </w:r>
      </w:hyperlink>
    </w:p>
    <w:p>
      <w:pPr>
        <w:keepLines/>
        <w:tabs>
          <w:tab w:pos="8784" w:val="right" w:leader="dot"/>
        </w:tabs>
        <w:spacing w:after="40" w:line="240" w:lineRule="auto"/>
        <w:ind w:left="0"/>
      </w:pPr>
      <w:hyperlink w:anchor="nav_table_Table_4_9" w:history="1">
        <w:r>
          <w:rPr>
            <w:noProof/>
          </w:rPr>
          <w:t xml:space="preserve">Table 4.9  Freshness-aware explanation audit decisions</w:t>
          <w:tab/>
          <w:t>37</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42</w:t>
        </w:r>
      </w:hyperlink>
    </w:p>
    <w:p>
      <w:pPr>
        <w:keepLines/>
        <w:tabs>
          <w:tab w:pos="8784" w:val="right" w:leader="dot"/>
        </w:tabs>
        <w:spacing w:after="40" w:line="240" w:lineRule="auto"/>
        <w:ind w:left="0"/>
      </w:pPr>
      <w:hyperlink w:anchor="nav_table_Table_5_2" w:history="1">
        <w:r>
          <w:rPr>
            <w:noProof/>
          </w:rPr>
          <w:t xml:space="preserve">Table 5.2  Audit framework inputs and outputs</w:t>
          <w:tab/>
          <w:t>43</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three independent training seeds. Decision-level explanation faithfulness (DEF) compares attention-ranked nodes with type-matched, action-protected random controls. Weighted attention mass on stale nodes (WAMSN) separately measures attention assigned to stale vehicle information. Further checks cover leave-one-out rankings, attention extraction, action type, and random telemetry-loss triggers.</w:t>
      </w:r>
    </w:p>
    <w:p>
      <w:pPr>
        <w:widowControl/>
      </w:pPr>
      <w:r>
        <w:t>The results do not validate raw attention as a reliable explanation. Clean corrected DEF remains near zero and varies across checkpoints. Longer outages increase stale-data exposure, but paired attention and DEF shifts reverse direction for one training seed. The main associations are dominated by no-op decisions and do not reproduce for dispatch actions. The seed-dependent pattern also appears under random triggering and in both training regimes. Therefore, the tested attention weights do not provide consistent evidence of freshness or decision relevance.</w:t>
      </w:r>
    </w:p>
    <w:p>
      <w:pPr>
        <w:widowControl/>
      </w:pPr>
      <w:r>
        <w:t>The dissertation proposes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The framework governs explanation release; it does not repair the model. Its demonstrative application returns WITHHOLD for both model families and all six checkpoints.</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96" w:name="nav_front_toc"/>
      <w:r>
        <w:rPr>
          <w:rFonts w:ascii="Times New Roman" w:hAnsi="Times New Roman"/>
          <w:b/>
          <w:sz w:val="28"/>
        </w:rPr>
        <w:t>TABLE OF CONTENTS</w:t>
      </w:r>
      <w:bookmarkEnd w:id="96"/>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4</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5</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5</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5</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6</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7</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7</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8</w:t>
        </w:r>
      </w:hyperlink>
    </w:p>
    <w:p>
      <w:pPr>
        <w:keepLines/>
        <w:tabs>
          <w:tab w:pos="8784" w:val="right" w:leader="dot"/>
        </w:tabs>
        <w:spacing w:after="40" w:line="240" w:lineRule="auto"/>
        <w:ind w:left="360"/>
      </w:pPr>
      <w:hyperlink w:anchor="nav_heading_2_7_From_explanation_evaluat" w:history="1">
        <w:r>
          <w:rPr>
            <w:noProof/>
          </w:rPr>
          <w:t xml:space="preserve">2.7 From explanation evaluation to explanation assurance</w:t>
          <w:tab/>
          <w:t>8</w:t>
        </w:r>
      </w:hyperlink>
    </w:p>
    <w:p>
      <w:pPr>
        <w:keepLines/>
        <w:tabs>
          <w:tab w:pos="8784" w:val="right" w:leader="dot"/>
        </w:tabs>
        <w:spacing w:after="40" w:line="240" w:lineRule="auto"/>
        <w:ind w:left="360"/>
      </w:pPr>
      <w:hyperlink w:anchor="nav_heading_2_8_Research_gap_and_positio" w:history="1">
        <w:r>
          <w:rPr>
            <w:noProof/>
          </w:rPr>
          <w:t xml:space="preserve">2.8 Research gap and positioning</w:t>
          <w:tab/>
          <w:t>8</w:t>
        </w:r>
      </w:hyperlink>
    </w:p>
    <w:p>
      <w:pPr>
        <w:keepLines/>
        <w:tabs>
          <w:tab w:pos="8784" w:val="right" w:leader="dot"/>
        </w:tabs>
        <w:spacing w:after="40" w:line="240" w:lineRule="auto"/>
        <w:ind w:left="0"/>
      </w:pPr>
      <w:hyperlink w:anchor="nav_heading_Chapter_3_Methodology" w:history="1">
        <w:r>
          <w:rPr>
            <w:noProof/>
          </w:rPr>
          <w:t xml:space="preserve">Chapter 3: Methodology</w:t>
          <w:tab/>
          <w:t>10</w:t>
        </w:r>
      </w:hyperlink>
    </w:p>
    <w:p>
      <w:pPr>
        <w:keepLines/>
        <w:tabs>
          <w:tab w:pos="8784" w:val="right" w:leader="dot"/>
        </w:tabs>
        <w:spacing w:after="40" w:line="240" w:lineRule="auto"/>
        <w:ind w:left="360"/>
      </w:pPr>
      <w:hyperlink w:anchor="nav_heading_3_1_Study_design" w:history="1">
        <w:r>
          <w:rPr>
            <w:noProof/>
          </w:rPr>
          <w:t xml:space="preserve">3.1 Study design</w:t>
          <w:tab/>
          <w:t>10</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10</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10</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11</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14</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15</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15</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17</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17</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18</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20</w:t>
        </w:r>
      </w:hyperlink>
    </w:p>
    <w:p>
      <w:pPr>
        <w:keepLines/>
        <w:tabs>
          <w:tab w:pos="8784" w:val="right" w:leader="dot"/>
        </w:tabs>
        <w:spacing w:after="40" w:line="240" w:lineRule="auto"/>
        <w:ind w:left="360"/>
      </w:pPr>
      <w:hyperlink w:anchor="nav_heading_3_10_Audit_decision_implemen" w:history="1">
        <w:r>
          <w:rPr>
            <w:noProof/>
          </w:rPr>
          <w:t xml:space="preserve">3.10 Audit decision implementation</w:t>
          <w:tab/>
          <w:t>21</w:t>
        </w:r>
      </w:hyperlink>
    </w:p>
    <w:p>
      <w:pPr>
        <w:keepLines/>
        <w:tabs>
          <w:tab w:pos="8784" w:val="right" w:leader="dot"/>
        </w:tabs>
        <w:spacing w:after="40" w:line="240" w:lineRule="auto"/>
        <w:ind w:left="360"/>
      </w:pPr>
      <w:hyperlink w:anchor="nav_heading_3_11_Reproducibility" w:history="1">
        <w:r>
          <w:rPr>
            <w:noProof/>
          </w:rPr>
          <w:t xml:space="preserve">3.11 Reproducibility</w:t>
          <w:tab/>
          <w:t>22</w:t>
        </w:r>
      </w:hyperlink>
    </w:p>
    <w:p>
      <w:pPr>
        <w:keepLines/>
        <w:tabs>
          <w:tab w:pos="8784" w:val="right" w:leader="dot"/>
        </w:tabs>
        <w:spacing w:after="40" w:line="240" w:lineRule="auto"/>
        <w:ind w:left="360"/>
      </w:pPr>
      <w:hyperlink w:anchor="nav_heading_3_12_Ethics_and_data_governa" w:history="1">
        <w:r>
          <w:rPr>
            <w:noProof/>
          </w:rPr>
          <w:t xml:space="preserve">3.12 Ethics and data governance</w:t>
          <w:tab/>
          <w:t>23</w:t>
        </w:r>
      </w:hyperlink>
    </w:p>
    <w:p>
      <w:pPr>
        <w:keepLines/>
        <w:tabs>
          <w:tab w:pos="8784" w:val="right" w:leader="dot"/>
        </w:tabs>
        <w:spacing w:after="40" w:line="240" w:lineRule="auto"/>
        <w:ind w:left="0"/>
      </w:pPr>
      <w:hyperlink w:anchor="nav_heading_Chapter_4_Results" w:history="1">
        <w:r>
          <w:rPr>
            <w:noProof/>
          </w:rPr>
          <w:t xml:space="preserve">Chapter 4: Results</w:t>
          <w:tab/>
          <w:t>24</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24</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26</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26</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29</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30</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31</w:t>
        </w:r>
      </w:hyperlink>
    </w:p>
    <w:p>
      <w:pPr>
        <w:keepLines/>
        <w:tabs>
          <w:tab w:pos="8784" w:val="right" w:leader="dot"/>
        </w:tabs>
        <w:spacing w:after="40" w:line="240" w:lineRule="auto"/>
        <w:ind w:left="360"/>
      </w:pPr>
      <w:hyperlink w:anchor="nav_heading_4_7_Action_stratified_diagno" w:history="1">
        <w:r>
          <w:rPr>
            <w:noProof/>
          </w:rPr>
          <w:t xml:space="preserve">4.7 Action-stratified diagnostic</w:t>
          <w:tab/>
          <w:t>32</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33</w:t>
        </w:r>
      </w:hyperlink>
    </w:p>
    <w:p>
      <w:pPr>
        <w:keepLines/>
        <w:tabs>
          <w:tab w:pos="8784" w:val="right" w:leader="dot"/>
        </w:tabs>
        <w:spacing w:after="40" w:line="240" w:lineRule="auto"/>
        <w:ind w:left="360"/>
      </w:pPr>
      <w:hyperlink w:anchor="nav_heading_4_9_Faithfulness_hypotheses" w:history="1">
        <w:r>
          <w:rPr>
            <w:noProof/>
          </w:rPr>
          <w:t xml:space="preserve">4.9 Faithfulness hypotheses</w:t>
          <w:tab/>
          <w:t>36</w:t>
        </w:r>
      </w:hyperlink>
    </w:p>
    <w:p>
      <w:pPr>
        <w:keepLines/>
        <w:tabs>
          <w:tab w:pos="8784" w:val="right" w:leader="dot"/>
        </w:tabs>
        <w:spacing w:after="40" w:line="240" w:lineRule="auto"/>
        <w:ind w:left="360"/>
      </w:pPr>
      <w:hyperlink w:anchor="nav_heading_4_10_Result_summary" w:history="1">
        <w:r>
          <w:rPr>
            <w:noProof/>
          </w:rPr>
          <w:t xml:space="preserve">4.10 Result summary</w:t>
          <w:tab/>
          <w:t>37</w:t>
        </w:r>
      </w:hyperlink>
    </w:p>
    <w:p>
      <w:pPr>
        <w:keepLines/>
        <w:tabs>
          <w:tab w:pos="8784" w:val="right" w:leader="dot"/>
        </w:tabs>
        <w:spacing w:after="40" w:line="240" w:lineRule="auto"/>
        <w:ind w:left="360"/>
      </w:pPr>
      <w:hyperlink w:anchor="nav_heading_4_11_Demonstrative_framework" w:history="1">
        <w:r>
          <w:rPr>
            <w:noProof/>
          </w:rPr>
          <w:t xml:space="preserve">4.11 Demonstrative framework decision</w:t>
          <w:tab/>
          <w:t>37</w:t>
        </w:r>
      </w:hyperlink>
    </w:p>
    <w:p>
      <w:pPr>
        <w:keepLines/>
        <w:tabs>
          <w:tab w:pos="8784" w:val="right" w:leader="dot"/>
        </w:tabs>
        <w:spacing w:after="40" w:line="240" w:lineRule="auto"/>
        <w:ind w:left="0"/>
      </w:pPr>
      <w:hyperlink w:anchor="nav_heading_Chapter_5_Discussion" w:history="1">
        <w:r>
          <w:rPr>
            <w:noProof/>
          </w:rPr>
          <w:t xml:space="preserve">Chapter 5: Discussion</w:t>
          <w:tab/>
          <w:t>39</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39</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40</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40</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41</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41</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42</w:t>
        </w:r>
      </w:hyperlink>
    </w:p>
    <w:p>
      <w:pPr>
        <w:keepLines/>
        <w:tabs>
          <w:tab w:pos="8784" w:val="right" w:leader="dot"/>
        </w:tabs>
        <w:spacing w:after="40" w:line="240" w:lineRule="auto"/>
        <w:ind w:left="360"/>
      </w:pPr>
      <w:hyperlink w:anchor="nav_heading_5_6_1_Purpose_and_scope" w:history="1">
        <w:r>
          <w:rPr>
            <w:noProof/>
          </w:rPr>
          <w:t xml:space="preserve">5.6.1 Purpose and scope</w:t>
          <w:tab/>
          <w:t>42</w:t>
        </w:r>
      </w:hyperlink>
    </w:p>
    <w:p>
      <w:pPr>
        <w:keepLines/>
        <w:tabs>
          <w:tab w:pos="8784" w:val="right" w:leader="dot"/>
        </w:tabs>
        <w:spacing w:after="40" w:line="240" w:lineRule="auto"/>
        <w:ind w:left="360"/>
      </w:pPr>
      <w:hyperlink w:anchor="nav_heading_5_6_2_Inputs_outputs_and_use" w:history="1">
        <w:r>
          <w:rPr>
            <w:noProof/>
          </w:rPr>
          <w:t xml:space="preserve">5.6.2 Inputs, outputs and use</w:t>
          <w:tab/>
          <w:t>43</w:t>
        </w:r>
      </w:hyperlink>
    </w:p>
    <w:p>
      <w:pPr>
        <w:keepLines/>
        <w:tabs>
          <w:tab w:pos="8784" w:val="right" w:leader="dot"/>
        </w:tabs>
        <w:spacing w:after="40" w:line="240" w:lineRule="auto"/>
        <w:ind w:left="360"/>
      </w:pPr>
      <w:hyperlink w:anchor="nav_heading_5_6_3_Application_to_this_st" w:history="1">
        <w:r>
          <w:rPr>
            <w:noProof/>
          </w:rPr>
          <w:t xml:space="preserve">5.6.3 Application to this study</w:t>
          <w:tab/>
          <w:t>44</w:t>
        </w:r>
      </w:hyperlink>
    </w:p>
    <w:p>
      <w:pPr>
        <w:keepLines/>
        <w:tabs>
          <w:tab w:pos="8784" w:val="right" w:leader="dot"/>
        </w:tabs>
        <w:spacing w:after="40" w:line="240" w:lineRule="auto"/>
        <w:ind w:left="360"/>
      </w:pPr>
      <w:hyperlink w:anchor="nav_heading_5_7_Limitations" w:history="1">
        <w:r>
          <w:rPr>
            <w:noProof/>
          </w:rPr>
          <w:t xml:space="preserve">5.7 Limitations</w:t>
          <w:tab/>
          <w:t>44</w:t>
        </w:r>
      </w:hyperlink>
    </w:p>
    <w:p>
      <w:pPr>
        <w:keepLines/>
        <w:tabs>
          <w:tab w:pos="8784" w:val="right" w:leader="dot"/>
        </w:tabs>
        <w:spacing w:after="40" w:line="240" w:lineRule="auto"/>
        <w:ind w:left="360"/>
      </w:pPr>
      <w:hyperlink w:anchor="nav_heading_5_8_Future_work" w:history="1">
        <w:r>
          <w:rPr>
            <w:noProof/>
          </w:rPr>
          <w:t xml:space="preserve">5.8 Future work</w:t>
          <w:tab/>
          <w:t>45</w:t>
        </w:r>
      </w:hyperlink>
    </w:p>
    <w:p>
      <w:pPr>
        <w:keepLines/>
        <w:tabs>
          <w:tab w:pos="8784" w:val="right" w:leader="dot"/>
        </w:tabs>
        <w:spacing w:after="40" w:line="240" w:lineRule="auto"/>
        <w:ind w:left="0"/>
      </w:pPr>
      <w:hyperlink w:anchor="nav_heading_Chapter_6_Conclusion" w:history="1">
        <w:r>
          <w:rPr>
            <w:noProof/>
          </w:rPr>
          <w:t xml:space="preserve">Chapter 6: Conclusion</w:t>
          <w:tab/>
          <w:t>46</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Does degradation-aware training produce more consistent attention and faithfulness responses under telemetry degradation than clean training?</w:t>
      </w:r>
    </w:p>
    <w:p>
      <w:pPr>
        <w:widowControl/>
      </w:pPr>
      <w:r>
        <w:t>The construct-validity audit supports the interpretation of all four research questions. It is not a separate primary problem. Its purpose is to check that the faithfulness evaluator measures the effect of removing information rather than the accidental removal of an available action.</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strata, and attention-extraction choices;</w:t>
      </w:r>
    </w:p>
    <w:p>
      <w:pPr>
        <w:pStyle w:val="14"/>
        <w:keepLines/>
        <w:numPr>
          <w:ilvl w:val="0"/>
          <w:numId w:val="6"/>
        </w:numPr>
        <w:spacing w:after="40"/>
      </w:pPr>
      <w:r>
        <w:t>compare matched clean-trained and degradation-aware policies to determine whether degradation-aware training improves the consistency of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pStyle w:val="3"/>
        <w:keepNext/>
      </w:pPr>
      <w:bookmarkStart w:id="6" w:name="nav_heading_1_5_Main_findings"/>
      <w:r>
        <w:t>1.5 Main findings</w:t>
      </w:r>
      <w:bookmarkEnd w:id="6"/>
    </w:p>
    <w:p>
      <w:pPr>
        <w:widowControl/>
      </w:pPr>
      <w:r>
        <w:t xml:space="preserve">Overall, </w:t>
      </w:r>
      <w:r>
        <w:rPr>
          <w:b/>
          <w:i w:val="0"/>
        </w:rPr>
        <w:t>this study does not validate raw graph-attention weights as reliable explanations of fleet-dispatch decisions</w:t>
      </w:r>
      <w:r>
        <w:t>. Figure 1.1 summarizes the central finding: an attention explanation can remain available after the policy begins receiving stale vehicle information, but its availability does not show that it reliably identifies the evidence behind the decision.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9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freshness and faithfulness are not both established.</w:t>
      </w:r>
      <w:bookmarkEnd w:id="7"/>
    </w:p>
    <w:p>
      <w:pPr>
        <w:widowControl/>
      </w:pPr>
      <w:r>
        <w:t>Under clean telemetry, raw attention performs close to its type-matched random control and varies across the six trained policies. In contrast, the leave-one-out control produces a clearer faithfulness response. This shows that the evaluator can detect decision-relevant information, but raw attention does not consistently provide it.</w:t>
      </w:r>
    </w:p>
    <w:p>
      <w:pPr>
        <w:widowControl/>
      </w:pPr>
      <w:r>
        <w:t>Longer outages consistently increase exposure to stale vehicle information. However, the resulting changes in attention and faithfulness differ across trained policies. Some policies assign more attention to stale nodes, while others assign less. The study therefore does not find a single, consistent attention response to telemetry degradation.</w:t>
      </w:r>
    </w:p>
    <w:p>
      <w:pPr>
        <w:widowControl/>
      </w:pPr>
      <w:r>
        <w:t>The findings also depend on how attention is extracted and on whether the selected action is dispatch or no-op. Most scorable decisions are no-op, and the smaller dispatch-only results do not reproduce the main associations consistently. Degradation-aware training does not remove this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action-stratified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the SUMO environment, policy models, observation-layer degradation, faithfulness measures, evaluation design,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5" w:name="nav_heading_2_5_Faithfulness_evaluation_"/>
      <w:r>
        <w:t>2.5 Faithfulness evaluation and its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This dissertation uses AoI only as a node-level freshness descriptor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From_explanation_evaluat"/>
      <w:r>
        <w:t>2.7 From explanation evaluation to explanation assurance</w:t>
      </w:r>
      <w:bookmarkEnd w:id="17"/>
    </w:p>
    <w:p>
      <w:pPr>
        <w:widowControl/>
      </w:pPr>
      <w:r>
        <w:t>An explanation test becomes an assurance process when its result is used to decide whether an explanation should be shown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general assurance principle to a narrower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w:t>
      </w:r>
    </w:p>
    <w:p>
      <w:pPr>
        <w:pStyle w:val="3"/>
        <w:keepNext/>
      </w:pPr>
      <w:bookmarkStart w:id="18" w:name="nav_heading_2_8_Research_gap_and_positio"/>
      <w:r>
        <w:t>2.8 Research gap and positioning</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Within the literature reviewed in this chapter, no study was identified that treats these topics as one explanation-assurance problem. This is a focused narrative review used to position the experiment; it is not a systematic or exhaustive literature search.</w:t>
      </w:r>
    </w:p>
    <w:p>
      <w:pPr>
        <w:widowControl/>
      </w:pPr>
      <w:r>
        <w:t>Recent graph-based dispatch studies provide the closest task comparison, but they answer a different question from this dissertation. Hu, Feng and Li (2025) evaluate BMG-Q, Wang et al. (2025) evaluate CoopRide, and Sha et al. (2026) evaluate DualG-MARL. Table 2.1 summarizes how their aims differ from the present study.</w:t>
      </w:r>
    </w:p>
    <w:p>
      <w:pPr>
        <w:pStyle w:val="12"/>
        <w:keepNext/>
      </w:pPr>
      <w:bookmarkStart w:id="19" w:name="nav_table_Table_2_1"/>
      <w:r>
        <w:rPr>
          <w:b/>
        </w:rPr>
        <w:t>Table 2.1: Recent graph-based dispatch literature compared with this study</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500"/>
        <w:gridCol w:w="2500"/>
        <w:gridCol w:w="1800"/>
        <w:gridCol w:w="3220"/>
      </w:tblGrid>
      <w:tr>
        <w:trPr>
          <w:cantSplit/>
          <w:tblHeader w:val="true"/>
        </w:trPr>
        <w:tc>
          <w:tcPr>
            <w:tcW w:type="dxa" w:w="1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2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Data and graph design</w:t>
            </w:r>
          </w:p>
        </w:tc>
        <w:tc>
          <w:tcPr>
            <w:tcW w:type="dxa" w:w="1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purpose</w:t>
            </w:r>
          </w:p>
        </w:tc>
        <w:tc>
          <w:tcPr>
            <w:tcW w:type="dxa" w:w="32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Unaddressed assurance question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BMG-Q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ride-pooling with a local bipartite matching graph</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quality and scalability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graph weights faithful under stale telemetry?</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CoopRide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cooperative MARL across city grids and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city-scale dispatch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node-level explanations faithful?</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DualG-MARL (2026)</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vehicle-state and task graphs with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ride-sharing scheduling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explanations remain supported under paired telemetry degradation?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This dissertation</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local GAT-MAPPO taxi/request graphs in controlled SUMO runs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 assurance</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paired degradation, action-aware faithfulness, and release conditions.</w:t>
            </w:r>
          </w:p>
        </w:tc>
      </w:tr>
    </w:tbl>
    <w:p>
      <w:pPr>
        <w:widowControl/>
      </w:pPr>
      <w:r>
        <w:t>These methods are not treated as performance baselines because their tasks, action spaces, and data-generation procedures differ. They are benchmark literature for positioning the contribution: recent work improves relational dispatch, whereas this dissertation tests whether an exposed attention channel has enough evidence to be presented as an explanation.</w:t>
      </w:r>
    </w:p>
    <w:p>
      <w:pPr>
        <w:keepNext/>
        <w:widowControl/>
      </w:pPr>
      <w:r>
        <w:t>Within the graph- and RL-explainability and delayed-observation studies reviewed in Sections 2.2-2.6,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This thesis contributes an audit protocol and an empirical test rather than a new dispatch algorithm. SUMO supplies a controlled simulated state (Lopez et al., 2018). The GAT-MAPPO policy supplies an auditable attention channel. The research contribution is to test whether that channel gives a reproducible freshness-aware and decision-relevant explanation, and to state clearly when the evidence cannot support that claim.</w:t>
      </w:r>
    </w:p>
    <w:p>
      <w:pPr>
        <w:pStyle w:val="2"/>
        <w:keepNext/>
      </w:pPr>
      <w:bookmarkStart w:id="20" w:name="nav_heading_Chapter_3_Methodology"/>
      <w:r>
        <w:t>Chapter 3: Methodology</w:t>
      </w:r>
      <w:bookmarkEnd w:id="20"/>
    </w:p>
    <w:p>
      <w:pPr>
        <w:pStyle w:val="3"/>
        <w:keepNext/>
      </w:pPr>
      <w:bookmarkStart w:id="21" w:name="nav_heading_3_1_Study_design"/>
      <w:r>
        <w:t>3.1 Study design</w:t>
      </w:r>
      <w:bookmarkEnd w:id="21"/>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six objectives are implemented through the paired observation benchmark, clean faithfulness controls, telemetry-degradation sweep, cross-checkpoint consistency analyses, matched training comparison, and final explanation-release audit.</w:t>
      </w:r>
    </w:p>
    <w:p>
      <w:pPr>
        <w:pStyle w:val="3"/>
        <w:keepNext/>
      </w:pPr>
      <w:bookmarkStart w:id="22" w:name="nav_heading_3_2_SUMO_environment_and_dat"/>
      <w:r>
        <w:t>3.2 SUMO environment and data</w:t>
      </w:r>
      <w:bookmarkEnd w:id="22"/>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microscopic traffic simulator (Lopez et al., 2018), not a source of directly observed traffic data.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3" w:name="nav_heading_3_3_Observation_graph_and_ac"/>
      <w:r>
        <w:t>3.3 Observation graph and action space</w:t>
      </w:r>
      <w:bookmarkEnd w:id="23"/>
    </w:p>
    <w:p>
      <w:pPr>
        <w:widowControl/>
      </w:pPr>
      <w:r>
        <w:t>Each idle taxi receives a self-centered graph. Table 3.1 summarizes its node types, features, and roles.</w:t>
      </w:r>
    </w:p>
    <w:p>
      <w:pPr>
        <w:pStyle w:val="12"/>
        <w:keepNext/>
      </w:pPr>
      <w:bookmarkStart w:id="24" w:name="nav_table_Table_3_1"/>
      <w:r>
        <w:rPr>
          <w:b/>
        </w:rPr>
        <w:t>Table 3.1: Observation graph node types and roles</w:t>
      </w:r>
      <w:bookmarkEnd w:id="2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 Figure 3.1 shows the local graph and the request-to-action mapping.</w:t>
      </w:r>
    </w:p>
    <w:p>
      <w:pPr>
        <w:keepNext/>
        <w:keepLines/>
        <w:spacing w:before="120" w:after="40"/>
        <w:jc w:val="center"/>
      </w:pPr>
      <w:r>
        <w:drawing>
          <wp:inline xmlns:a="http://schemas.openxmlformats.org/drawingml/2006/main" xmlns:pic="http://schemas.openxmlformats.org/drawingml/2006/picture">
            <wp:extent cx="5623560" cy="2904119"/>
            <wp:docPr id="3" name="Picture 3"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5"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5"/>
    </w:p>
    <w:p>
      <w:pPr>
        <w:pStyle w:val="3"/>
        <w:keepNext/>
      </w:pPr>
      <w:bookmarkStart w:id="26" w:name="nav_heading_3_4_Policy_models_and_traini"/>
      <w:r>
        <w:t>3.4 Policy models and training</w:t>
      </w:r>
      <w:bookmarkEnd w:id="26"/>
    </w:p>
    <w:p>
      <w:pPr>
        <w:widowControl/>
      </w:pPr>
      <w:r>
        <w:t>The main policy uses per-node-type feature projections followed by two graph attention layers with four heads. The actor scores no-op and the visible requests. The critic estimates value for MAPPO training with centralized training and decentralized execution (CTDE). The GAT implementation returns its attention tensors directly so they can be audited without changing the trained network.</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3.2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4" name="Picture 4"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6"/>
                    <a:stretch>
                      <a:fillRect/>
                    </a:stretch>
                  </pic:blipFill>
                  <pic:spPr>
                    <a:xfrm>
                      <a:off x="0" y="0"/>
                      <a:ext cx="5623560" cy="3113151"/>
                    </a:xfrm>
                    <a:prstGeom prst="rect"/>
                  </pic:spPr>
                </pic:pic>
              </a:graphicData>
            </a:graphic>
          </wp:inline>
        </w:drawing>
      </w:r>
    </w:p>
    <w:p>
      <w:pPr>
        <w:pStyle w:val="12"/>
        <w:keepLines/>
      </w:pPr>
      <w:bookmarkStart w:id="27"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7"/>
    </w:p>
    <w:p>
      <w:pPr>
        <w:widowControl/>
      </w:pPr>
      <w:r>
        <w:t>Table 3.2 lists the three policy conditions included in the experiment. The non-graph baseline uses a multilayer perceptron (MLP).</w:t>
      </w:r>
    </w:p>
    <w:p>
      <w:pPr>
        <w:pStyle w:val="12"/>
        <w:keepNext/>
      </w:pPr>
      <w:bookmarkStart w:id="28" w:name="nav_table_Table_3_2"/>
      <w:r>
        <w:rPr>
          <w:b/>
        </w:rPr>
        <w:t>Table 3.2: Policy conditions used in the experiment</w:t>
      </w:r>
      <w:bookmarkEnd w:id="2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MLP is trained for 50 epochs, GAT for 40 epochs, and GAT-Outage for 50 epochs. Each condition uses independent training seeds 42, 43, and 44.</w:t>
      </w:r>
    </w:p>
    <w:p>
      <w:pPr>
        <w:widowControl/>
      </w:pPr>
      <w:r>
        <w:t>Candidate checkpoints include periodic snapshots saved every ten epochs, the final snapshot, and a rolling-best snapshot updated when the ten-epoch mean pickup count improves. The implementation records zero-based epoch indices, so index 39 denotes the checkpoint saved after 40 training epochs. Selection uses eight stochastic validation episodes with seed 2026 and mean pickups as the primary criterion; mean reward and the earlier checkpoint index break ties. The test split is not read during selection. Table 3.3 reports the selected checkpoint index for each training run.</w:t>
      </w:r>
    </w:p>
    <w:p>
      <w:pPr>
        <w:pStyle w:val="12"/>
        <w:keepNext/>
      </w:pPr>
      <w:bookmarkStart w:id="29" w:name="nav_table_Table_3_3"/>
      <w:r>
        <w:rPr>
          <w:b/>
        </w:rPr>
        <w:t>Table 3.3: Validation-selected checkpoint indices (zero-based)</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Table 3.4 reports the shared optimization settings.</w:t>
      </w:r>
    </w:p>
    <w:p>
      <w:pPr>
        <w:pStyle w:val="12"/>
        <w:keepNext/>
      </w:pPr>
      <w:bookmarkStart w:id="30" w:name="nav_table_Table_3_4"/>
      <w:r>
        <w:rPr>
          <w:b/>
        </w:rPr>
        <w:t>Table 3.4: Shared training and optimization settings</w:t>
      </w:r>
      <w:bookmarkEnd w:id="3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890"/>
        <w:gridCol w:w="4130"/>
      </w:tblGrid>
      <w:tr>
        <w:trPr>
          <w:cantSplit/>
          <w:tblHeader w:val="true"/>
        </w:trPr>
        <w:tc>
          <w:tcPr>
            <w:tcW w:type="dxa" w:w="489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1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pickups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zero-pickup epochs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pickups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Final validation retention is the final checkpoint's mean validation pickups divided by the selected checkpoint's mean validation pickups. These four stability gates are applied to every training run before its checkpoint is accepted for evaluation.</w:t>
      </w:r>
    </w:p>
    <w:p>
      <w:pPr>
        <w:widowControl/>
      </w:pPr>
      <w:r>
        <w:t>At simulation step t, the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r</m:t>
                  </m:r>
                </m:e>
                <m:sub>
                  <m:r>
                    <m:t>t</m:t>
                  </m:r>
                </m:sub>
              </m:sSub>
              <m:r>
                <m:t>=10</m:t>
              </m:r>
              <m:sSub>
                <m:e>
                  <m:r>
                    <m:t>N</m:t>
                  </m:r>
                </m:e>
                <m:sub>
                  <m:r>
                    <m:rPr>
                      <m:nor/>
                    </m:rPr>
                    <m:t>pickup</m:t>
                  </m:r>
                  <m:r>
                    <m:t>,t</m:t>
                  </m:r>
                </m:sub>
              </m:sSub>
              <m:r>
                <m:t>+0.5</m:t>
              </m:r>
              <m:sSub>
                <m:e>
                  <m:r>
                    <m:t>N</m:t>
                  </m:r>
                </m:e>
                <m:sub>
                  <m:r>
                    <m:rPr>
                      <m:nor/>
                    </m:rPr>
                    <m:t>dispatch</m:t>
                  </m:r>
                  <m:r>
                    <m:t>,t</m:t>
                  </m:r>
                </m:sub>
              </m:sSub>
              <m:r>
                <m:t>-0.001</m:t>
              </m:r>
              <m:sSub>
                <m:e>
                  <m:r>
                    <m:rPr>
                      <m:nor/>
                    </m:rPr>
                    <m:t>mean_wait</m:t>
                  </m:r>
                </m:e>
                <m:sub>
                  <m:r>
                    <m:t>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The reward trains dispatch behavior. It contains no term that rewards a faithful, stable, or human-readable attention map.</w:t>
      </w:r>
    </w:p>
    <w:p>
      <w:pPr>
        <w:widowControl/>
      </w:pPr>
      <w:r>
        <w:t>Figure 3.3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5" name="Picture 5"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7"/>
                    <a:stretch>
                      <a:fillRect/>
                    </a:stretch>
                  </pic:blipFill>
                  <pic:spPr>
                    <a:xfrm>
                      <a:off x="0" y="0"/>
                      <a:ext cx="5623560" cy="3247093"/>
                    </a:xfrm>
                    <a:prstGeom prst="rect"/>
                  </pic:spPr>
                </pic:pic>
              </a:graphicData>
            </a:graphic>
          </wp:inline>
        </w:drawing>
      </w:r>
    </w:p>
    <w:p>
      <w:pPr>
        <w:pStyle w:val="12"/>
        <w:keepLines/>
      </w:pPr>
      <w:bookmarkStart w:id="31"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31"/>
    </w:p>
    <w:p>
      <w:pPr>
        <w:pStyle w:val="3"/>
        <w:keepNext/>
      </w:pPr>
      <w:bookmarkStart w:id="32" w:name="nav_heading_3_5_Telemetry_degradation"/>
      <w:r>
        <w:t>3.5 Telemetry degradation</w:t>
      </w:r>
      <w:bookmarkEnd w:id="32"/>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 Figure 3.4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6" name="Picture 6"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8"/>
                    <a:stretch>
                      <a:fillRect/>
                    </a:stretch>
                  </pic:blipFill>
                  <pic:spPr>
                    <a:xfrm>
                      <a:off x="0" y="0"/>
                      <a:ext cx="5623560" cy="3113151"/>
                    </a:xfrm>
                    <a:prstGeom prst="rect"/>
                  </pic:spPr>
                </pic:pic>
              </a:graphicData>
            </a:graphic>
          </wp:inline>
        </w:drawing>
      </w:r>
    </w:p>
    <w:p>
      <w:pPr>
        <w:pStyle w:val="12"/>
        <w:keepLines/>
      </w:pPr>
      <w:bookmarkStart w:id="33" w:name="nav_figure_Figure_3_4"/>
      <w:r>
        <w:t>Figure 3.4. Tunnel entry triggers an observation-layer outage. SUMO keeps moving the vehicle while the policy sees its last valid position; the clean twin reads current state but never acts.</w:t>
      </w:r>
      <w:bookmarkEnd w:id="33"/>
    </w:p>
    <w:p>
      <w:pPr>
        <w:pStyle w:val="3"/>
        <w:keepNext/>
      </w:pPr>
      <w:bookmarkStart w:id="34" w:name="nav_heading_3_6_Explanation_measures"/>
      <w:r>
        <w:t>3.6 Explanation measures</w:t>
      </w:r>
      <w:bookmarkEnd w:id="34"/>
    </w:p>
    <w:p>
      <w:pPr>
        <w:pStyle w:val="4"/>
        <w:keepNext/>
      </w:pPr>
      <w:bookmarkStart w:id="35" w:name="nav_heading_3_6_1_Decision_level_explana"/>
      <w:r>
        <w:t>3.6.1 Decision-level explanation faithfulness</w:t>
      </w:r>
      <w:bookmarkEnd w:id="35"/>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s(G,a) denote either p(G,a) or m(G,a). For explanation subset R_k and a matched random subset B_k:</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r>
                    <m:rPr>
                      <m:nor/>
                    </m:rPr>
                    <m:t>Comp</m:t>
                  </m:r>
                  <m:r>
                    <m:t>(</m:t>
                  </m:r>
                  <m:sSub>
                    <m:e>
                      <m:r>
                        <m:t>R</m:t>
                      </m:r>
                    </m:e>
                    <m:sub>
                      <m:r>
                        <m:t>k</m:t>
                      </m:r>
                    </m:sub>
                  </m:sSub>
                  <m:r>
                    <m:t>)</m:t>
                  </m:r>
                  <m:r>
                    <m:t>=</m:t>
                  </m:r>
                  <m:r>
                    <m:rPr>
                      <m:nor/>
                    </m:rPr>
                    <m:t>s</m:t>
                  </m:r>
                  <m:r>
                    <m:t>(G,a)</m:t>
                  </m:r>
                  <m:r>
                    <m:t>-</m:t>
                  </m:r>
                  <m:r>
                    <m:rPr>
                      <m:nor/>
                    </m:rPr>
                    <m:t>s</m:t>
                  </m:r>
                  <m:r>
                    <m:t>(</m:t>
                  </m:r>
                  <m:r>
                    <m:t>Gwithout</m:t>
                  </m:r>
                  <m:sSub>
                    <m:e>
                      <m:r>
                        <m:t>R</m:t>
                      </m:r>
                    </m:e>
                    <m:sub>
                      <m:r>
                        <m:t>k</m:t>
                      </m:r>
                    </m:sub>
                  </m:sSub>
                  <m:r>
                    <m:t>,a)</m:t>
                  </m:r>
                </m:e>
                <m:e>
                  <m:r>
                    <m:rPr>
                      <m:nor/>
                    </m:rPr>
                    <m:t>Suff</m:t>
                  </m:r>
                  <m:r>
                    <m:t>(</m:t>
                  </m:r>
                  <m:sSub>
                    <m:e>
                      <m:r>
                        <m:t>R</m:t>
                      </m:r>
                    </m:e>
                    <m:sub>
                      <m:r>
                        <m:t>k</m:t>
                      </m:r>
                    </m:sub>
                  </m:sSub>
                  <m:r>
                    <m:t>)</m:t>
                  </m:r>
                  <m:r>
                    <m:t>=</m:t>
                  </m:r>
                  <m:r>
                    <m:rPr>
                      <m:nor/>
                    </m:rPr>
                    <m:t>s</m:t>
                  </m:r>
                  <m:r>
                    <m:t>(G,a)</m:t>
                  </m:r>
                  <m:r>
                    <m:t>-</m:t>
                  </m:r>
                  <m:r>
                    <m:rPr>
                      <m:nor/>
                    </m:rPr>
                    <m:t>s</m:t>
                  </m:r>
                  <m:r>
                    <m:t>(</m:t>
                  </m:r>
                  <m:r>
                    <m:t>Gkeeping only</m:t>
                  </m:r>
                  <m:sSub>
                    <m:e>
                      <m:r>
                        <m:t>R</m:t>
                      </m:r>
                    </m:e>
                    <m:sub>
                      <m:r>
                        <m:t>k</m:t>
                      </m:r>
                    </m:sub>
                  </m:sSub>
                  <m:r>
                    <m:t>,a)</m:t>
                  </m:r>
                </m:e>
                <m:e>
                  <m:sSub>
                    <m:e>
                      <m:r>
                        <m:t>g</m:t>
                      </m:r>
                    </m:e>
                    <m:sub>
                      <m:r>
                        <m:rPr>
                          <m:nor/>
                        </m:rPr>
                        <m:t>comp</m:t>
                      </m:r>
                    </m:sub>
                  </m:sSub>
                  <m:r>
                    <m:t>(k)=</m:t>
                  </m:r>
                  <m:r>
                    <m:rPr>
                      <m:nor/>
                    </m:rPr>
                    <m:t>Comp</m:t>
                  </m:r>
                  <m:r>
                    <m:t>(</m:t>
                  </m:r>
                  <m:sSub>
                    <m:e>
                      <m:r>
                        <m:t>R</m:t>
                      </m:r>
                    </m:e>
                    <m:sub>
                      <m:r>
                        <m:t>k</m:t>
                      </m:r>
                    </m:sub>
                  </m:sSub>
                  <m:r>
                    <m:t>)</m:t>
                  </m:r>
                  <m:r>
                    <m:t>-</m:t>
                  </m:r>
                  <m:sSub>
                    <m:e>
                      <m:r>
                        <m:rPr>
                          <m:nor/>
                        </m:rPr>
                        <m:t>mean</m:t>
                      </m:r>
                    </m:e>
                    <m:sub>
                      <m:r>
                        <m:t>b</m:t>
                      </m:r>
                    </m:sub>
                  </m:sSub>
                  <m:r>
                    <m:rPr>
                      <m:nor/>
                    </m:rPr>
                    <m:t>Comp</m:t>
                  </m:r>
                  <m:r>
                    <m:t>(</m:t>
                  </m:r>
                  <m:sSubSup>
                    <m:e>
                      <m:r>
                        <m:t>B</m:t>
                      </m:r>
                    </m:e>
                    <m:sub>
                      <m:r>
                        <m:t>k</m:t>
                      </m:r>
                    </m:sub>
                    <m:sup>
                      <m:r>
                        <m:t>b</m:t>
                      </m:r>
                    </m:sup>
                  </m:sSubSup>
                  <m:r>
                    <m:t>)</m:t>
                  </m:r>
                </m:e>
                <m:e>
                  <m:sSub>
                    <m:e>
                      <m:r>
                        <m:t>g</m:t>
                      </m:r>
                    </m:e>
                    <m:sub>
                      <m:r>
                        <m:rPr>
                          <m:nor/>
                        </m:rPr>
                        <m:t>suff</m:t>
                      </m:r>
                    </m:sub>
                  </m:sSub>
                  <m:r>
                    <m:t>(k)=</m:t>
                  </m:r>
                  <m:sSub>
                    <m:e>
                      <m:r>
                        <m:rPr>
                          <m:nor/>
                        </m:rPr>
                        <m:t>mean</m:t>
                      </m:r>
                    </m:e>
                    <m:sub>
                      <m:r>
                        <m:t>b</m:t>
                      </m:r>
                    </m:sub>
                  </m:sSub>
                  <m:r>
                    <m:rPr>
                      <m:nor/>
                    </m:rPr>
                    <m:t>Suff</m:t>
                  </m:r>
                  <m:r>
                    <m:t>(</m:t>
                  </m:r>
                  <m:sSubSup>
                    <m:e>
                      <m:r>
                        <m:t>B</m:t>
                      </m:r>
                    </m:e>
                    <m:sub>
                      <m:r>
                        <m:t>k</m:t>
                      </m:r>
                    </m:sub>
                    <m:sup>
                      <m:r>
                        <m:t>b</m:t>
                      </m:r>
                    </m:sup>
                  </m:sSubSup>
                  <m:r>
                    <m:t>)</m:t>
                  </m:r>
                  <m:r>
                    <m:t>-</m:t>
                  </m:r>
                  <m:r>
                    <m:rPr>
                      <m:nor/>
                    </m:rPr>
                    <m:t>Suff</m:t>
                  </m:r>
                  <m:r>
                    <m:t>(</m:t>
                  </m:r>
                  <m:sSub>
                    <m:e>
                      <m:r>
                        <m:t>R</m:t>
                      </m:r>
                    </m:e>
                    <m:sub>
                      <m:r>
                        <m:t>k</m:t>
                      </m:r>
                    </m:sub>
                  </m:sSub>
                  <m:r>
                    <m:t>)</m:t>
                  </m:r>
                </m:e>
                <m:e>
                  <m:r>
                    <m:rPr>
                      <m:nor/>
                    </m:rPr>
                    <m:t>DEF</m:t>
                  </m:r>
                  <m:r>
                    <m:t>=</m:t>
                  </m:r>
                  <m:sSub>
                    <m:e>
                      <m:r>
                        <m:rPr>
                          <m:nor/>
                        </m:rPr>
                        <m:t>mean</m:t>
                      </m:r>
                    </m:e>
                    <m:sub>
                      <m:r>
                        <m:t>k</m:t>
                      </m:r>
                    </m:sub>
                  </m:sSub>
                  <m:f>
                    <m:fPr>
                      <m:type m:val="bar"/>
                    </m:fPr>
                    <m:num>
                      <m:r>
                        <m:t>1</m:t>
                      </m:r>
                    </m:num>
                    <m:den>
                      <m:r>
                        <m:t>2</m:t>
                      </m:r>
                    </m:den>
                  </m:f>
                  <m:r>
                    <m:t>[</m:t>
                  </m:r>
                  <m:sSub>
                    <m:e>
                      <m:r>
                        <m:t>g</m:t>
                      </m:r>
                    </m:e>
                    <m:sub>
                      <m:r>
                        <m:rPr>
                          <m:nor/>
                        </m:rPr>
                        <m:t>comp</m:t>
                      </m:r>
                    </m:sub>
                  </m:sSub>
                  <m:r>
                    <m:t>(k)+</m:t>
                  </m:r>
                  <m:sSub>
                    <m:e>
                      <m:r>
                        <m:t>g</m:t>
                      </m:r>
                    </m:e>
                    <m:sub>
                      <m:r>
                        <m:rPr>
                          <m:nor/>
                        </m:rPr>
                        <m:t>suff</m:t>
                      </m:r>
                    </m:sub>
                  </m:sSub>
                  <m:r>
                    <m:t>(k)]</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confirmatory H1-H4 family and the paired clean-twin comparison use probability DEF, following the declared hypothesis analysis.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3.5 states the role of each measure.</w:t>
      </w:r>
    </w:p>
    <w:p>
      <w:pPr>
        <w:pStyle w:val="12"/>
        <w:keepNext/>
      </w:pPr>
      <w:bookmarkStart w:id="36" w:name="nav_table_Table_3_5"/>
      <w:r>
        <w:rPr>
          <w:b/>
        </w:rPr>
        <w:t>Table 3.5: Explanation measures and roles</w:t>
      </w:r>
      <w:bookmarkEnd w:id="3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350"/>
        <w:gridCol w:w="1100"/>
        <w:gridCol w:w="1500"/>
        <w:gridCol w:w="1250"/>
        <w:gridCol w:w="1600"/>
        <w:gridCol w:w="1220"/>
      </w:tblGrid>
      <w:tr>
        <w:trPr>
          <w:cantSplit/>
          <w:tblHeader w:val="true"/>
        </w:trPr>
        <w:tc>
          <w:tcPr>
            <w:tcW w:type="dxa" w:w="23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probability scale</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selected-action margin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37" w:name="nav_heading_3_6_2_Stale_node_attention"/>
      <w:r>
        <w:t>3.6.2 Stale-node attention</w:t>
      </w:r>
      <w:bookmarkEnd w:id="37"/>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8" w:name="nav_heading_3_7_Construct_validity_audit"/>
      <w:r>
        <w:t>3.7 Construct-validity audit</w:t>
      </w:r>
      <w:bookmarkEnd w:id="38"/>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3.5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7" name="Picture 7"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9" w:name="nav_figure_Figure_3_5"/>
      <w:r>
        <w:t>Figure 3.5. Request-node occlusion can remove its action, while peer-taxi occlusion removes context only. Corrected DEF matches subset size and node types, protects the chosen request, and logs margin clamps.</w:t>
      </w:r>
      <w:bookmarkEnd w:id="39"/>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40" w:name="nav_heading_3_8_Evaluation_matrix"/>
      <w:r>
        <w:t>3.8 Evaluation matrix</w:t>
      </w:r>
      <w:bookmarkEnd w:id="40"/>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3 × 3 × 8 × 3</m:t>
              </m:r>
              <m:r>
                <m:t>=216</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Table 3.6 summarizes the complete evaluation structure. An episode evaluation is one complete rollout of one frozen checkpoint under one telemetry condition.</w:t>
      </w:r>
    </w:p>
    <w:p>
      <w:pPr>
        <w:pStyle w:val="12"/>
        <w:keepNext/>
      </w:pPr>
      <w:bookmarkStart w:id="41" w:name="nav_table_Table_3_6"/>
      <w:r>
        <w:rPr>
          <w:b/>
        </w:rPr>
        <w:t>Table 3.6: Held-out evaluation structure and episode counts</w:t>
      </w:r>
      <w:bookmarkEnd w:id="4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50"/>
        <w:gridCol w:w="2550"/>
        <w:gridCol w:w="2200"/>
        <w:gridCol w:w="3120"/>
      </w:tblGrid>
      <w:tr>
        <w:trPr>
          <w:cantSplit/>
          <w:tblHeader w:val="true"/>
        </w:trPr>
        <w:tc>
          <w:tcPr>
            <w:tcW w:type="dxa" w:w="11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25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22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5"/>
            <w:vAlign w:val="center"/>
            <w:shd w:fill="E7E6E6"/>
          </w:tcPr>
          <w:p>
            <w:pPr>
              <w:keepLines/>
              <w:widowControl/>
              <w:spacing w:after="0" w:line="240" w:lineRule="auto"/>
              <w:jc w:val="center"/>
            </w:pPr>
            <w:r>
              <w:rPr>
                <w:rFonts w:ascii="Times New Roman" w:hAnsi="Times New Roman"/>
                <w:b/>
                <w:sz w:val="20"/>
              </w:rPr>
              <w:t>Episodes/cell</w:t>
            </w:r>
          </w:p>
        </w:tc>
        <w:tc>
          <w:tcPr>
            <w:tcW w:type="dxa" w:w="1505"/>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5"/>
            <w:vAlign w:val="center"/>
          </w:tcPr>
          <w:p>
            <w:pPr>
              <w:keepLines/>
              <w:widowControl/>
              <w:spacing w:after="0" w:line="240" w:lineRule="auto"/>
              <w:jc w:val="center"/>
            </w:pPr>
            <w:r>
              <w:rPr>
                <w:rFonts w:ascii="Times New Roman" w:hAnsi="Times New Roman"/>
                <w:sz w:val="20"/>
              </w:rPr>
              <w:t>24</w:t>
            </w:r>
          </w:p>
        </w:tc>
        <w:tc>
          <w:tcPr>
            <w:tcW w:type="dxa" w:w="1505"/>
            <w:vAlign w:val="center"/>
          </w:tcPr>
          <w:p>
            <w:pPr>
              <w:keepLines/>
              <w:widowControl/>
              <w:spacing w:after="0" w:line="240" w:lineRule="auto"/>
              <w:jc w:val="center"/>
            </w:pPr>
            <w:r>
              <w:rPr>
                <w:rFonts w:ascii="Times New Roman" w:hAnsi="Times New Roman"/>
                <w:sz w:val="20"/>
              </w:rPr>
              <w:t>216</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5"/>
            <w:vAlign w:val="center"/>
          </w:tcPr>
          <w:p>
            <w:pPr>
              <w:keepLines/>
              <w:widowControl/>
              <w:spacing w:after="0" w:line="240" w:lineRule="auto"/>
              <w:jc w:val="center"/>
            </w:pPr>
            <w:r>
              <w:rPr>
                <w:rFonts w:ascii="Times New Roman" w:hAnsi="Times New Roman"/>
                <w:sz w:val="20"/>
              </w:rPr>
              <w:t>48</w:t>
            </w:r>
          </w:p>
        </w:tc>
        <w:tc>
          <w:tcPr>
            <w:tcW w:type="dxa" w:w="1505"/>
            <w:vAlign w:val="center"/>
          </w:tcPr>
          <w:p>
            <w:pPr>
              <w:keepLines/>
              <w:widowControl/>
              <w:spacing w:after="0" w:line="240" w:lineRule="auto"/>
              <w:jc w:val="center"/>
            </w:pPr>
            <w:r>
              <w:rPr>
                <w:rFonts w:ascii="Times New Roman" w:hAnsi="Times New Roman"/>
                <w:sz w:val="20"/>
              </w:rPr>
              <w:t>1,440</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5"/>
            <w:vAlign w:val="center"/>
          </w:tcPr>
          <w:p>
            <w:pPr>
              <w:keepLines/>
              <w:widowControl/>
              <w:spacing w:after="0" w:line="240" w:lineRule="auto"/>
              <w:jc w:val="center"/>
            </w:pPr>
            <w:r>
              <w:rPr>
                <w:rFonts w:ascii="Times New Roman" w:hAnsi="Times New Roman"/>
                <w:sz w:val="20"/>
              </w:rPr>
              <w:t>24</w:t>
            </w:r>
          </w:p>
        </w:tc>
        <w:tc>
          <w:tcPr>
            <w:tcW w:type="dxa" w:w="1505"/>
            <w:vAlign w:val="center"/>
          </w:tcPr>
          <w:p>
            <w:pPr>
              <w:keepLines/>
              <w:widowControl/>
              <w:spacing w:after="0" w:line="240" w:lineRule="auto"/>
              <w:jc w:val="center"/>
            </w:pPr>
            <w:r>
              <w:rPr>
                <w:rFonts w:ascii="Times New Roman" w:hAnsi="Times New Roman"/>
                <w:sz w:val="20"/>
              </w:rPr>
              <w:t>288</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5"/>
            <w:vAlign w:val="center"/>
          </w:tcPr>
          <w:p>
            <w:pPr>
              <w:keepLines/>
              <w:widowControl/>
              <w:spacing w:after="0" w:line="240" w:lineRule="auto"/>
              <w:jc w:val="center"/>
            </w:pPr>
            <w:r>
              <w:rPr>
                <w:rFonts w:ascii="Times New Roman" w:hAnsi="Times New Roman"/>
                <w:sz w:val="20"/>
              </w:rPr>
              <w:t>24</w:t>
            </w:r>
          </w:p>
        </w:tc>
        <w:tc>
          <w:tcPr>
            <w:tcW w:type="dxa" w:w="1505"/>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5 × 8 × 6</m:t>
              </m:r>
              <m:r>
                <m:t>=</m:t>
              </m:r>
              <m:r>
                <m:rPr>
                  <m:sty m:val="p"/>
                </m:rPr>
                <m:t>1,440</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lists the five telemetry conditions and their roles.</w:t>
      </w:r>
    </w:p>
    <w:p>
      <w:pPr>
        <w:pStyle w:val="12"/>
        <w:keepNext/>
      </w:pPr>
      <w:bookmarkStart w:id="42" w:name="nav_table_Table_3_7"/>
      <w:r>
        <w:rPr>
          <w:b/>
        </w:rPr>
        <w:t>Table 3.7: Telemetry conditions used in held-out evaluation</w:t>
      </w:r>
      <w:bookmarkEnd w:id="42"/>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38"/>
        <w:gridCol w:w="2818"/>
        <w:gridCol w:w="1761"/>
        <w:gridCol w:w="3103"/>
      </w:tblGrid>
      <w:tr>
        <w:trPr>
          <w:cantSplit/>
          <w:tblHeader w:val="true"/>
        </w:trPr>
        <w:tc>
          <w:tcPr>
            <w:tcW w:type="dxa" w:w="133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81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176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1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81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176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primary learned-policy evaluation samples from the policy distribution. This matches training and preserves both no-op and request-dispatch decisions for explanation auditing. A separate descriptive diagnostic evaluates each of the six selected GAT checkpoints by deterministic argmax over three held-out test episodes. This diagnostic is not used for checkpoint selection or the primary capability comparison. It checks whether sampled performance also corresponds to a usable deterministic policy.</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degraded and clean evaluations reuse the same matched-random draw,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All six sweeps pass these gates.</w:t>
      </w:r>
    </w:p>
    <w:p>
      <w:pPr>
        <w:pStyle w:val="3"/>
        <w:keepNext/>
      </w:pPr>
      <w:bookmarkStart w:id="43" w:name="nav_heading_3_9_Hypotheses_and_statistic"/>
      <w:r>
        <w:t>3.9 Hypotheses and statistics</w:t>
      </w:r>
      <w:bookmarkEnd w:id="43"/>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compared with clean training, degradation-aware training reduces the decline in DEF associated with longer outages and higher WAMSN.</w:t>
      </w:r>
    </w:p>
    <w:p>
      <w:pPr>
        <w:widowControl/>
      </w:pPr>
      <w:r>
        <w:t>The evidence is mapped to the research questions as follows. RQ1 uses clean DEF against the type-matched random baseline, with LOO and ranking controls. RQ2 uses paired clean/degraded stale-attention measurements. RQ3 combines the duration and exposure hypotheses (H1, H3, and H4) with paired DEF, action strata, attention-extraction sensitivity, and consistency across checkpoints. RQ4 uses the matched-seed H5 comparison between GAT and GAT-Outage. This mapping keeps each research question tied to an observable result.</w:t>
      </w:r>
    </w:p>
    <w:p>
      <w:pPr>
        <w:widowControl/>
      </w:pPr>
      <w:r>
        <w:t>H3 is interpreted as a stale-exposure manipulation check because WAMSN includes normalized AoI by definition. It confirms that longer outages create more AoI-weighted exposure; it is not independent evidence that AoI changes DEF.</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H5 uses a matched-seed directional comparison rather than a cross-seed significance test. For training seed s, H5 is supported only if the GAT-Outage checkpoint has both an H1 duration-DEF correlation and an H4 WAMSN-DEF correlation closer to zero than the clean-trained GAT checkpoint with the same seed. In other words, both adverse negative relationships must be weaker after degradation-aware training. If either relationship is equally or more negative, that seed does not support H5. The result is reported as the number of supporting matched seeds out of three; no population p-value is claimed from these three comparisons.</w:t>
      </w:r>
    </w:p>
    <w:p>
      <w:pPr>
        <w:widowControl/>
      </w:pPr>
      <w:r>
        <w:t>The exposure-conditioned paired follow-up directly subtracts clean-twin DEF from degraded DEF for the same decision. Negative values mean lower measured faithfulness under the degraded observation. This paired estimate is reported with an episode-block confidence interval and is interpreted by effect size, direction across trained policies, and uncertainty rather than by a decision-level p-value alone.</w:t>
      </w:r>
    </w:p>
    <w:p>
      <w:pPr>
        <w:widowControl/>
      </w:pPr>
      <w:r>
        <w:t>H2 is treated as a predeclared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An exploratory action-stratified audit separates scorable decisions with at least one available request into no-op and dispatch. Decisions with no available request are excluded because no-op is then forced rather than chosen. Within each stratum, records are still averaged by episode before permutation tests or bootstrap intervals are formed. This diagnostic tests whether the combined statistics describe both actions or are driven by the more common action. It was added after the primary analysis and is interpreted descriptively rather than as a new confirmatory hypothesis.</w:t>
      </w:r>
    </w:p>
    <w:p>
      <w:pPr>
        <w:widowControl/>
      </w:pPr>
      <w:r>
        <w:t>A second sensitivity analysis checks whether the paired result is specific to the fixed tunnel location. The six checkpoints remain frozen and are evaluated under clean telemetry, a 30-second tunnel-triggered freeze, and a 30-second randomly triggered freeze. The random trigger is an independent Bernoulli draw for each taxi at each observation step. A preliminary run without faithfulness scoring selected a trigger probability of 0.0023: for the reference GAT checkpoint, this produced a 0.569% degraded-observation rate, close to the 0.580% tunnel rate. The same probability is then held fixed for all checkpoints. Because policy actions change taxi availability and trajectories, the realized exposure rates can differ; they are reported rather than assumed equal. The comparison is therefore interpreted mainly from paired shifts among decisions that actually contain a stale vehicle node.</w:t>
      </w:r>
    </w:p>
    <w:p>
      <w:pPr>
        <w:widowControl/>
      </w:pPr>
      <w:r>
        <w:t>The ranking controls use the same held-out demand and stochastic action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2 × 8 × 3</m:t>
              </m:r>
              <m:r>
                <m:t>=288</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4" w:name="nav_heading_3_10_Audit_decision_implemen"/>
      <w:r>
        <w:t>3.10 Audit decision implementation</w:t>
      </w:r>
      <w:bookmarkEnd w:id="44"/>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action-stratified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 and</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confirms that both action strata and dispatch evidence are present; it does not claim that a sparse dispatch stratum would be representative.</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Their application to the present results is therefore demonstrative and is not an additional confirmatory test of H1-H5. For future candidate models, the rules and thresholds must be fixed before held-out evaluation.</w:t>
      </w:r>
    </w:p>
    <w:p>
      <w:pPr>
        <w:pStyle w:val="3"/>
        <w:keepNext/>
      </w:pPr>
      <w:bookmarkStart w:id="45" w:name="nav_heading_3_11_Reproducibility"/>
      <w:r>
        <w:t>3.11 Reproducibility</w:t>
      </w:r>
      <w:bookmarkEnd w:id="45"/>
    </w:p>
    <w:p>
      <w:pPr>
        <w:widowControl/>
      </w:pPr>
      <w:r>
        <w:t>The experiment runner records the configuration, commands, seeds, checkpoint hashes, source revision, and preflight reports in versioned run directories. Compact outputs include the summary, performance context, deterministic diagnostic, action-stratified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pStyle w:val="3"/>
        <w:keepNext/>
      </w:pPr>
      <w:bookmarkStart w:id="46" w:name="nav_heading_3_12_Ethics_and_data_governa"/>
      <w:r>
        <w:t>3.12 Ethics and data governance</w:t>
      </w:r>
      <w:bookmarkEnd w:id="46"/>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47" w:name="nav_heading_Chapter_4_Results"/>
      <w:r>
        <w:t>Chapter 4: Results</w:t>
      </w:r>
      <w:bookmarkEnd w:id="47"/>
    </w:p>
    <w:p>
      <w:pPr>
        <w:widowControl/>
      </w:pPr>
      <w:r>
        <w:t>The automated preflight audit passed 100 checks covering provenance and protocol requirements. Results are reported by training seed because decisions and episodes from one checkpoint do not constitute independent model replications. Unless stated otherwise, uncertainty is reported as a 95% confidence interval (CI).</w:t>
      </w:r>
    </w:p>
    <w:p>
      <w:pPr>
        <w:pStyle w:val="3"/>
        <w:keepNext/>
      </w:pPr>
      <w:bookmarkStart w:id="48" w:name="nav_heading_4_1_Policy_capability_and_tr"/>
      <w:r>
        <w:t>4.1 Policy capability and training stability</w:t>
      </w:r>
      <w:bookmarkEnd w:id="48"/>
    </w:p>
    <w:p>
      <w:pPr>
        <w:widowControl/>
      </w:pPr>
      <w:r>
        <w:t>Validation selected GAT checkpoint indices 39, 39, and 30 and GAT-Outage indices 49, 40, and 40 for seeds 42, 43, and 44. These are zero-based indices; for example, index 39 is the checkpoint saved after 40 training epochs. The selected index is reported separately for each trained policy.</w:t>
      </w:r>
    </w:p>
    <w:p>
      <w:pPr>
        <w:widowControl/>
      </w:pPr>
      <w:r>
        <w:t>Figure 4.1 shows the training and checkpoint-selection diagnostics.</w:t>
      </w:r>
    </w:p>
    <w:p>
      <w:pPr>
        <w:keepNext/>
        <w:keepLines/>
        <w:spacing w:before="120" w:after="40"/>
        <w:jc w:val="center"/>
      </w:pPr>
      <w:r>
        <w:drawing>
          <wp:inline xmlns:a="http://schemas.openxmlformats.org/drawingml/2006/main" xmlns:pic="http://schemas.openxmlformats.org/drawingml/2006/picture">
            <wp:extent cx="5623560" cy="3733940"/>
            <wp:docPr id="8" name="Picture 8" descr="GAT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49"/>
                    <a:stretch>
                      <a:fillRect/>
                    </a:stretch>
                  </pic:blipFill>
                  <pic:spPr>
                    <a:xfrm>
                      <a:off x="0" y="0"/>
                      <a:ext cx="5623560" cy="3733940"/>
                    </a:xfrm>
                    <a:prstGeom prst="rect"/>
                  </pic:spPr>
                </pic:pic>
              </a:graphicData>
            </a:graphic>
          </wp:inline>
        </w:drawing>
      </w:r>
    </w:p>
    <w:p>
      <w:pPr>
        <w:pStyle w:val="12"/>
        <w:keepLines/>
      </w:pPr>
      <w:bookmarkStart w:id="49" w:name="nav_figure_Figure_4_1"/>
      <w:r>
        <w:t>Figure 4.1. GAT training metrics use a ten-epoch moving mean. Stars mark validation-selected checkpoints. Reward and pickups still vary between epochs, but entropy remains above the collapse threshold and PPO clipping is limited.</w:t>
      </w:r>
      <w:bookmarkEnd w:id="49"/>
    </w:p>
    <w:p>
      <w:pPr>
        <w:widowControl/>
      </w:pPr>
      <w:r>
        <w:t>All nine training runs pass the declared stability gates. The following values describe the final ten training epochs, not the held-out evaluation in Table 4.1. For GAT, the final ten-epoch mean pickups are 13.3, 9.0, and 9.9, and final validation retention is 100%, 100%, and 92.6%. The corresponding GAT-Outage values are 12.4, 14.1, and 13.8 pickups, with validation retention of 100%, 93.9%, and 96.5%. Training metrics still fluctuate across epochs, but no selected checkpoint is a zero-pickup policy under stochastic validation. Deterministic argmax results are reported separately below.</w:t>
      </w:r>
    </w:p>
    <w:p>
      <w:pPr>
        <w:widowControl/>
      </w:pPr>
      <w:r>
        <w:t>Table 4.1 places the selected policies above two lower bounds evaluated on the same held-out demand. Performance is reported only to establish that the audited policies perform above random and greedy lower bounds.</w:t>
      </w:r>
    </w:p>
    <w:p>
      <w:pPr>
        <w:pStyle w:val="12"/>
        <w:keepNext/>
      </w:pPr>
      <w:bookmarkStart w:id="50" w:name="nav_table_Table_4_1"/>
      <w:r>
        <w:rPr>
          <w:b/>
        </w:rPr>
        <w:t>Table 4.1: Policy capability on held-out demand</w:t>
      </w:r>
      <w:bookmarkEnd w:id="5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under stochastic action sampling. These results confirm capability for the sampled policy distributions only; the role of graph attention and the usability of the argmax policy remain untested.</w:t>
      </w:r>
    </w:p>
    <w:p>
      <w:pPr>
        <w:widowControl/>
      </w:pPr>
      <w:r>
        <w:t>The audit requires each checkpoint's sampled policy distribution to exceed the declared lower bounds, not GAT to outperform MLP. That condition is met. MLP has the highest cross-seed mean in this implementation, although the replicate ranges overlap. The experiment finds no task-performance advantage for graph attention. This limits how broadly the audit can be generalized but remains separate from whether the exposed weights faithfully explain GAT decisions.</w:t>
      </w:r>
    </w:p>
    <w:p>
      <w:pPr>
        <w:widowControl/>
      </w:pPr>
      <w:r>
        <w:t>Figure 4.2 shows the held-out pickup count for each selected policy.</w:t>
      </w:r>
    </w:p>
    <w:p>
      <w:pPr>
        <w:keepNext/>
        <w:keepLines/>
        <w:spacing w:before="120" w:after="40"/>
        <w:jc w:val="center"/>
      </w:pPr>
      <w:r>
        <w:drawing>
          <wp:inline xmlns:a="http://schemas.openxmlformats.org/drawingml/2006/main" xmlns:pic="http://schemas.openxmlformats.org/drawingml/2006/picture">
            <wp:extent cx="5623560" cy="2925114"/>
            <wp:docPr id="9" name="Picture 9" descr="Clean-telemetry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50"/>
                    <a:stretch>
                      <a:fillRect/>
                    </a:stretch>
                  </pic:blipFill>
                  <pic:spPr>
                    <a:xfrm>
                      <a:off x="0" y="0"/>
                      <a:ext cx="5623560" cy="2925114"/>
                    </a:xfrm>
                    <a:prstGeom prst="rect"/>
                  </pic:spPr>
                </pic:pic>
              </a:graphicData>
            </a:graphic>
          </wp:inline>
        </w:drawing>
      </w:r>
    </w:p>
    <w:p>
      <w:pPr>
        <w:pStyle w:val="12"/>
        <w:keepLines/>
      </w:pPr>
      <w:bookmarkStart w:id="51" w:name="nav_figure_Figure_4_2"/>
      <w:r>
        <w:t>Figure 4.2. Each point is one selected policy evaluated over 24 held-out episodes. Horizontal lines show the cross-seed mean.</w:t>
      </w:r>
      <w:bookmarkEnd w:id="51"/>
    </w:p>
    <w:p>
      <w:pPr>
        <w:widowControl/>
      </w:pPr>
      <w:r>
        <w:t>The deterministic diagnostic changes the capability interpretation. All six selected graph-attention checkpoints choose no-op throughout three held-out episodes, giving 0 pickups in 18 of 18 checkpoint-episodes. Their common mean reward is -46.58 and final pending-request wait is 905.9 seconds. The stochastic results show only that the policy distributions assign enough probability to dispatch actions to produce pickups when sampled; they do not establish a stable argmax dispatcher.</w:t>
      </w:r>
    </w:p>
    <w:p>
      <w:pPr>
        <w:pStyle w:val="3"/>
        <w:keepNext/>
      </w:pPr>
      <w:bookmarkStart w:id="52" w:name="nav_heading_4_2_Construct_validity_audit"/>
      <w:r>
        <w:t>4.2 Construct-validity audit</w:t>
      </w:r>
      <w:bookmarkEnd w:id="52"/>
    </w:p>
    <w:p>
      <w:pPr>
        <w:widowControl/>
      </w:pPr>
      <w:r>
        <w:t>Removing a request node can remove an available action, while removing a peer taxi only hides information. A uniform random occlusion therefore compares different types of change. Table 4.2 quantifies the resulting control-baseline artifact.</w:t>
      </w:r>
    </w:p>
    <w:p>
      <w:pPr>
        <w:pStyle w:val="12"/>
        <w:keepNext/>
      </w:pPr>
      <w:bookmarkStart w:id="53" w:name="nav_table_Table_4_2"/>
      <w:r>
        <w:rPr>
          <w:b/>
        </w:rPr>
        <w:t>Table 4.2: Construct-validity audit of random controls</w:t>
      </w:r>
      <w:bookmarkEnd w:id="5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artifact. This 1,199-decision audit supports the measurement design rather than answering the primary research question. The reported protocol uses type matching, protects the chosen request in the margin variant, and logs action-margin clamps.</w:t>
      </w:r>
    </w:p>
    <w:p>
      <w:pPr>
        <w:pStyle w:val="3"/>
        <w:keepNext/>
      </w:pPr>
      <w:bookmarkStart w:id="54" w:name="nav_heading_4_3_Evaluator_sensitivity_an"/>
      <w:r>
        <w:t>4.3 Evaluator sensitivity and ranking controls</w:t>
      </w:r>
      <w:bookmarkEnd w:id="54"/>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widowControl/>
      </w:pPr>
      <w:r>
        <w:t>The two conditions are stored as separate evaluations and have different decision counts. Across the six checkpoints, the largest absolute 60-second minus clean change is 0.000071 for raw attention, 0.000254 for Gradient x Input, and 0.000306 for LOO. Figure 4.3 shows the clean values and the condition difference separately instead of presenting two visually indistinguishable rows.</w:t>
      </w:r>
    </w:p>
    <w:p>
      <w:pPr>
        <w:pStyle w:val="12"/>
        <w:keepNext/>
      </w:pPr>
      <w:bookmarkStart w:id="55" w:name="nav_table_Table_4_3"/>
      <w:r>
        <w:rPr>
          <w:b/>
        </w:rPr>
        <w:t>Table 4.3: Clean-telemetry faithfulness controls by training seed</w:t>
      </w:r>
      <w:bookmarkEnd w:id="5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2608"/>
        <w:gridCol w:w="1521"/>
        <w:gridCol w:w="1521"/>
        <w:gridCol w:w="1415"/>
      </w:tblGrid>
      <w:tr>
        <w:trPr>
          <w:cantSplit/>
          <w:tblHeader w:val="true"/>
        </w:trPr>
        <w:tc>
          <w:tcPr>
            <w:tcW w:type="dxa" w:w="108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260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Raw-attention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margin-DEF</w:t>
            </w:r>
          </w:p>
        </w:tc>
        <w:tc>
          <w:tcPr>
            <w:tcW w:type="dxa" w:w="141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+0.404</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+0.426</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-0.0010</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The LOO-ranked control is positive and larger than raw attention for all six selected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shows some agreement with decision-relevant LOO ordering, but the strength of that agreement remains checkpoint-dependent.</w:t>
      </w:r>
    </w:p>
    <w:p>
      <w:pPr>
        <w:keepNext/>
        <w:keepLines/>
        <w:spacing w:before="120" w:after="40"/>
        <w:jc w:val="center"/>
      </w:pPr>
      <w:r>
        <w:drawing>
          <wp:inline xmlns:a="http://schemas.openxmlformats.org/drawingml/2006/main" xmlns:pic="http://schemas.openxmlformats.org/drawingml/2006/picture">
            <wp:extent cx="5623560" cy="4033091"/>
            <wp:docPr id="10" name="Picture 10"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1"/>
                    <a:stretch>
                      <a:fillRect/>
                    </a:stretch>
                  </pic:blipFill>
                  <pic:spPr>
                    <a:xfrm>
                      <a:off x="0" y="0"/>
                      <a:ext cx="5623560" cy="4033091"/>
                    </a:xfrm>
                    <a:prstGeom prst="rect"/>
                  </pic:spPr>
                </pic:pic>
              </a:graphicData>
            </a:graphic>
          </wp:inline>
        </w:drawing>
      </w:r>
    </w:p>
    <w:p>
      <w:pPr>
        <w:pStyle w:val="12"/>
        <w:keepLines/>
      </w:pPr>
      <w:bookmarkStart w:id="56" w:name="nav_figure_Figure_4_3"/>
      <w:r>
        <w:t>Figure 4.3. Top: clean logit-margin DEF. Bottom: 60-second minus clean DEF, multiplied by 10,000, from separate evaluations. Lines join methods for each checkpoint; non-zero changes confirm distinct records.</w:t>
      </w:r>
      <w:bookmarkEnd w:id="56"/>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widowControl/>
      </w:pPr>
      <w:r>
        <w:t>Figure 4.4 shows the sensitivity to the attention reduction rule.</w:t>
      </w:r>
    </w:p>
    <w:p>
      <w:pPr>
        <w:keepNext/>
        <w:keepLines/>
        <w:spacing w:before="120" w:after="40"/>
        <w:jc w:val="center"/>
      </w:pPr>
      <w:r>
        <w:drawing>
          <wp:inline xmlns:a="http://schemas.openxmlformats.org/drawingml/2006/main" xmlns:pic="http://schemas.openxmlformats.org/drawingml/2006/picture">
            <wp:extent cx="5623560" cy="3797729"/>
            <wp:docPr id="11" name="Picture 11"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2"/>
                    <a:stretch>
                      <a:fillRect/>
                    </a:stretch>
                  </pic:blipFill>
                  <pic:spPr>
                    <a:xfrm>
                      <a:off x="0" y="0"/>
                      <a:ext cx="5623560" cy="3797729"/>
                    </a:xfrm>
                    <a:prstGeom prst="rect"/>
                  </pic:spPr>
                </pic:pic>
              </a:graphicData>
            </a:graphic>
          </wp:inline>
        </w:drawing>
      </w:r>
    </w:p>
    <w:p>
      <w:pPr>
        <w:pStyle w:val="12"/>
        <w:keepLines/>
      </w:pPr>
      <w:bookmarkStart w:id="57" w:name="nav_figure_Figure_4_4"/>
      <w:r>
        <w:t>Figure 4.4. Stale-attention shift multiplied by 1,000. Selecting a layer, head, or rollout rule after seeing the result could reverse the conclusion.</w:t>
      </w:r>
      <w:bookmarkEnd w:id="57"/>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 The largest absolute 60-second minus clean query-row change is 0.000264, so the two conditions again remain close without being duplicates.</w:t>
      </w:r>
    </w:p>
    <w:p>
      <w:pPr>
        <w:widowControl/>
      </w:pPr>
      <w:r>
        <w:t>Figure 4.5 compares the declared self row with the selected request row.</w:t>
      </w:r>
    </w:p>
    <w:p>
      <w:pPr>
        <w:keepNext/>
        <w:keepLines/>
        <w:spacing w:before="120" w:after="40"/>
        <w:jc w:val="center"/>
      </w:pPr>
      <w:r>
        <w:drawing>
          <wp:inline xmlns:a="http://schemas.openxmlformats.org/drawingml/2006/main" xmlns:pic="http://schemas.openxmlformats.org/drawingml/2006/picture">
            <wp:extent cx="5623560" cy="3899355"/>
            <wp:docPr id="12" name="Picture 12"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3"/>
                    <a:stretch>
                      <a:fillRect/>
                    </a:stretch>
                  </pic:blipFill>
                  <pic:spPr>
                    <a:xfrm>
                      <a:off x="0" y="0"/>
                      <a:ext cx="5623560" cy="3899355"/>
                    </a:xfrm>
                    <a:prstGeom prst="rect"/>
                  </pic:spPr>
                </pic:pic>
              </a:graphicData>
            </a:graphic>
          </wp:inline>
        </w:drawing>
      </w:r>
    </w:p>
    <w:p>
      <w:pPr>
        <w:pStyle w:val="12"/>
        <w:keepLines/>
      </w:pPr>
      <w:bookmarkStart w:id="58" w:name="nav_figure_Figure_4_5"/>
      <w:r>
        <w:t>Figure 4.5. Top: clean request-action DEF from the declared self row and the selected request row. Bottom: each query row's independently evaluated 60-second result minus clean, multiplied by 10,000. The selected request row improves the seed-43 clean results but does not provide a consistent improvement across checkpoints or conditions.</w:t>
      </w:r>
      <w:bookmarkEnd w:id="58"/>
    </w:p>
    <w:p>
      <w:pPr>
        <w:pStyle w:val="3"/>
        <w:keepNext/>
      </w:pPr>
      <w:bookmarkStart w:id="59" w:name="nav_heading_4_4_Small_graph_resolution"/>
      <w:r>
        <w:t>4.4 Small-graph resolution</w:t>
      </w:r>
      <w:bookmarkEnd w:id="59"/>
    </w:p>
    <w:p>
      <w:pPr>
        <w:widowControl/>
      </w:pPr>
      <w:r>
        <w:t>The scored graphs usually contain the maximum number of visible nodes, as summarized in Table 4.4.</w:t>
      </w:r>
    </w:p>
    <w:p>
      <w:pPr>
        <w:pStyle w:val="12"/>
        <w:keepNext/>
      </w:pPr>
      <w:bookmarkStart w:id="60" w:name="nav_table_Table_4_4"/>
      <w:r>
        <w:rPr>
          <w:b/>
        </w:rPr>
        <w:t>Table 4.4: Valid node-count distribution in scored graphs</w:t>
      </w:r>
      <w:bookmarkEnd w:id="6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 This pattern suggests that the ranking agreement has more contrast at k=1; it does not establish that LOO is ground truth or that the top-ranked attention node is a causal explanation.</w:t>
      </w:r>
    </w:p>
    <w:p>
      <w:pPr>
        <w:widowControl/>
      </w:pPr>
      <w:r>
        <w:t>Figure 4.6 shows how the expected overlap grows with k.</w:t>
      </w:r>
    </w:p>
    <w:p>
      <w:pPr>
        <w:keepNext/>
        <w:keepLines/>
        <w:spacing w:before="120" w:after="40"/>
        <w:jc w:val="center"/>
      </w:pPr>
      <w:r>
        <w:drawing>
          <wp:inline xmlns:a="http://schemas.openxmlformats.org/drawingml/2006/main" xmlns:pic="http://schemas.openxmlformats.org/drawingml/2006/picture">
            <wp:extent cx="5623560" cy="2561961"/>
            <wp:docPr id="13" name="Picture 13"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4"/>
                    <a:stretch>
                      <a:fillRect/>
                    </a:stretch>
                  </pic:blipFill>
                  <pic:spPr>
                    <a:xfrm>
                      <a:off x="0" y="0"/>
                      <a:ext cx="5623560" cy="2561961"/>
                    </a:xfrm>
                    <a:prstGeom prst="rect"/>
                  </pic:spPr>
                </pic:pic>
              </a:graphicData>
            </a:graphic>
          </wp:inline>
        </w:drawing>
      </w:r>
    </w:p>
    <w:p>
      <w:pPr>
        <w:pStyle w:val="12"/>
        <w:keepLines/>
      </w:pPr>
      <w:bookmarkStart w:id="61" w:name="nav_figure_Figure_4_6"/>
      <w:r>
        <w:t>Figure 4.6. Large expected overlap between the explanation and its matched random set reduces the contrast available to DEF, especially at k=3.</w:t>
      </w:r>
      <w:bookmarkEnd w:id="61"/>
    </w:p>
    <w:p>
      <w:pPr>
        <w:pStyle w:val="3"/>
        <w:keepNext/>
      </w:pPr>
      <w:bookmarkStart w:id="62" w:name="nav_heading_4_5_Telemetry_manipulation_a"/>
      <w:r>
        <w:t>4.5 Telemetry manipulation and stale exposure</w:t>
      </w:r>
      <w:bookmarkEnd w:id="62"/>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selected checkpoints. Because WAMSN contains normalized AoI, this verifies increasing stale exposure; it does not show that AoI causes lower faithfulness. Figure 4.7 displays the duration sweep.</w:t>
      </w:r>
    </w:p>
    <w:p>
      <w:pPr>
        <w:keepNext/>
        <w:keepLines/>
        <w:spacing w:before="120" w:after="40"/>
        <w:jc w:val="center"/>
      </w:pPr>
      <w:r>
        <w:drawing>
          <wp:inline xmlns:a="http://schemas.openxmlformats.org/drawingml/2006/main" xmlns:pic="http://schemas.openxmlformats.org/drawingml/2006/picture">
            <wp:extent cx="5623560" cy="5471659"/>
            <wp:docPr id="14" name="Picture 14" descr="WAMSN, probability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5"/>
                    <a:stretch>
                      <a:fillRect/>
                    </a:stretch>
                  </pic:blipFill>
                  <pic:spPr>
                    <a:xfrm>
                      <a:off x="0" y="0"/>
                      <a:ext cx="5623560" cy="5471659"/>
                    </a:xfrm>
                    <a:prstGeom prst="rect"/>
                  </pic:spPr>
                </pic:pic>
              </a:graphicData>
            </a:graphic>
          </wp:inline>
        </w:drawing>
      </w:r>
    </w:p>
    <w:p>
      <w:pPr>
        <w:pStyle w:val="12"/>
        <w:keepLines/>
      </w:pPr>
      <w:bookmarkStart w:id="63" w:name="nav_figure_Figure_4_7"/>
      <w:r>
        <w:t>Figure 4.7. Longer observation outages increase WAMSN for every policy. DEF changes are much smaller; pickups are reported only as context, not as the main research outcome.</w:t>
      </w:r>
      <w:bookmarkEnd w:id="63"/>
    </w:p>
    <w:p>
      <w:pPr>
        <w:pStyle w:val="3"/>
        <w:keepNext/>
      </w:pPr>
      <w:bookmarkStart w:id="64" w:name="nav_heading_4_6_Exposure_conditioned_pai"/>
      <w:r>
        <w:t>4.6 Exposure-conditioned paired audit</w:t>
      </w:r>
      <w:bookmarkEnd w:id="64"/>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 Table 4.5 reports the paired estimates.</w:t>
      </w:r>
    </w:p>
    <w:p>
      <w:pPr>
        <w:pStyle w:val="12"/>
        <w:keepNext/>
      </w:pPr>
      <w:bookmarkStart w:id="65" w:name="nav_table_Table_4_5"/>
      <w:r>
        <w:rPr>
          <w:b/>
        </w:rPr>
        <w:t>Table 4.5: Exposure-conditioned paired attention and DEF shifts</w:t>
      </w:r>
      <w:bookmarkEnd w:id="6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49"/>
        <w:gridCol w:w="759"/>
        <w:gridCol w:w="3038"/>
        <w:gridCol w:w="4274"/>
      </w:tblGrid>
      <w:tr>
        <w:trPr>
          <w:cantSplit/>
          <w:tblHeader w:val="true"/>
        </w:trPr>
        <w:tc>
          <w:tcPr>
            <w:tcW w:type="dxa" w:w="94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75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303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x 1,000 [95% CI]</w:t>
            </w:r>
          </w:p>
        </w:tc>
        <w:tc>
          <w:tcPr>
            <w:tcW w:type="dxa" w:w="4274"/>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probability-DEF shift x 10,000 [95% CI]</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+4.074 [+3.9, +4.2]</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-0.041 [-0.060, -0.022]</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+0.208 [+0.2, +0.3]</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-0.839 [-1.892, +0.143]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-3.483 [-3.6, -3.4]</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+0.092 [+0.068, +0.116]</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+3.975 [+3.8, +4.1]</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-0.253 [-0.323, -0.193]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+0.959 [+0.9, +1.0]</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-0.114 [-0.343, +0.061]</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-3.038 [-3.1, -2.9]</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+0.172 [+0.135, +0.212]</w:t>
            </w:r>
          </w:p>
        </w:tc>
      </w:tr>
    </w:tbl>
    <w:p>
      <w:pPr>
        <w:widowControl/>
      </w:pPr>
      <w:r>
        <w:t>Figure 4.8 shows the paired attention and DEF shifts by checkpoint.</w:t>
      </w:r>
    </w:p>
    <w:p>
      <w:pPr>
        <w:keepNext/>
        <w:keepLines/>
        <w:spacing w:before="120" w:after="40"/>
        <w:jc w:val="center"/>
      </w:pPr>
      <w:r>
        <w:drawing>
          <wp:inline xmlns:a="http://schemas.openxmlformats.org/drawingml/2006/main" xmlns:pic="http://schemas.openxmlformats.org/drawingml/2006/picture">
            <wp:extent cx="5623560" cy="2680961"/>
            <wp:docPr id="15" name="Picture 15"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6"/>
                    <a:stretch>
                      <a:fillRect/>
                    </a:stretch>
                  </pic:blipFill>
                  <pic:spPr>
                    <a:xfrm>
                      <a:off x="0" y="0"/>
                      <a:ext cx="5623560" cy="2680961"/>
                    </a:xfrm>
                    <a:prstGeom prst="rect"/>
                  </pic:spPr>
                </pic:pic>
              </a:graphicData>
            </a:graphic>
          </wp:inline>
        </w:drawing>
      </w:r>
    </w:p>
    <w:p>
      <w:pPr>
        <w:pStyle w:val="12"/>
        <w:keepLines/>
      </w:pPr>
      <w:bookmarkStart w:id="66" w:name="nav_figure_Figure_4_8"/>
      <w:r>
        <w:t>Figure 4.8. Checkpoints trained with seeds 42 and 43 move attention toward stale nodes and have a negative mean DEF shift. Checkpoints trained with seed 44 show the opposite directions. Error bars are 95% episode-block bootstrap intervals.</w:t>
      </w:r>
      <w:bookmarkEnd w:id="66"/>
    </w:p>
    <w:p>
      <w:pPr>
        <w:widowControl/>
      </w:pPr>
      <w:r>
        <w:t>The same checkpoint pattern appears in both training regimes: four of six selected checkpoints have a positive attention shift and four have a negative mean DEF shift. Only the DEF decrease for checkpoints trained with seed 42 is separated from zero in both models; both seed-43 intervals include zero, while both checkpoints trained with seed 44 show a small increase. The effects are numerically small and directionally heterogeneous. This is not evidence for a universal claim that telemetry degradation moves attention toward stale nodes or always lowers faithfulness. The largest absolute paired probability-DEF shift is 0.0000839, equivalent to 0.00839 probability percentage points. Relative percentages are not reported because clean DEF is close to zero and would make such ratios unstable.</w:t>
      </w:r>
    </w:p>
    <w:p>
      <w:pPr>
        <w:pStyle w:val="3"/>
        <w:keepNext/>
      </w:pPr>
      <w:bookmarkStart w:id="67" w:name="nav_heading_4_7_Action_stratified_diagno"/>
      <w:r>
        <w:t>4.7 Action-stratified diagnostic</w:t>
      </w:r>
      <w:bookmarkEnd w:id="67"/>
    </w:p>
    <w:p>
      <w:pPr>
        <w:widowControl/>
      </w:pPr>
      <w:r>
        <w:t>The combined faithfulness audit is dominated by chosen no-op actions. Across all six checkpoints, 56,550 records contain at least one valid request. Of these, 52,585 (93.0%) select no-op and 3,965 (7.0%) dispatch a request. Decisions with no valid request are excluded from these percentages. Table 4.6 reports the action composition and dispatch-only diagnostic.</w:t>
      </w:r>
    </w:p>
    <w:p>
      <w:pPr>
        <w:pStyle w:val="12"/>
        <w:keepNext/>
      </w:pPr>
      <w:bookmarkStart w:id="68" w:name="nav_table_Table_4_6"/>
      <w:r>
        <w:rPr>
          <w:b/>
        </w:rPr>
        <w:t>Table 4.6: Action composition and dispatch-stratified DEF diagnostic</w:t>
      </w:r>
      <w:bookmarkEnd w:id="6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800"/>
        <w:gridCol w:w="800"/>
        <w:gridCol w:w="1800"/>
        <w:gridCol w:w="39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No-op (%)</w:t>
            </w:r>
          </w:p>
        </w:tc>
        <w:tc>
          <w:tcPr>
            <w:tcW w:type="dxa" w:w="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Dispatch (%)</w:t>
            </w:r>
          </w:p>
        </w:tc>
        <w:tc>
          <w:tcPr>
            <w:tcW w:type="dxa" w:w="1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selected dispatch probability</w:t>
            </w:r>
          </w:p>
        </w:tc>
        <w:tc>
          <w:tcPr>
            <w:tcW w:type="dxa" w:w="39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dispatch DEF shift x 10,000 [95% CI]</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96.6</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0.0085</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 [0.000,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88.4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0.0368</w:t>
            </w:r>
          </w:p>
        </w:tc>
        <w:tc>
          <w:tcPr>
            <w:tcW w:type="dxa" w:w="39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-20.358 [-32.488, -8.371]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0.0211</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-0.011 [-0.029,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91.4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0.0228</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[+0.047, +0.131]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94.6</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5.4</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0.0127</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-4.403 [-8.368, -1.285]</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92.8</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0.0181</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-0.044 [-0.092, +0.004]</w:t>
            </w:r>
          </w:p>
        </w:tc>
      </w:tr>
    </w:tbl>
    <w:p>
      <w:pPr>
        <w:widowControl/>
      </w:pPr>
      <w:r>
        <w:t>Figure 4.9 visualizes the imbalance and the paired dispatch estimates.</w:t>
      </w:r>
    </w:p>
    <w:p>
      <w:pPr>
        <w:keepNext/>
        <w:keepLines/>
        <w:spacing w:before="120" w:after="40"/>
        <w:jc w:val="center"/>
      </w:pPr>
      <w:r>
        <w:drawing>
          <wp:inline xmlns:a="http://schemas.openxmlformats.org/drawingml/2006/main" xmlns:pic="http://schemas.openxmlformats.org/drawingml/2006/picture">
            <wp:extent cx="5623560" cy="3985512"/>
            <wp:docPr id="16" name="Picture 16" descr="Action-stratified faithfulness diagnostic"/>
            <wp:cNvGraphicFramePr>
              <a:graphicFrameLocks noChangeAspect="1"/>
            </wp:cNvGraphicFramePr>
            <a:graphic>
              <a:graphicData uri="http://schemas.openxmlformats.org/drawingml/2006/picture">
                <pic:pic>
                  <pic:nvPicPr>
                    <pic:cNvPr id="0" name="v9_action_stratified_faithfulness.png"/>
                    <pic:cNvPicPr/>
                  </pic:nvPicPr>
                  <pic:blipFill>
                    <a:blip r:embed="rId57"/>
                    <a:stretch>
                      <a:fillRect/>
                    </a:stretch>
                  </pic:blipFill>
                  <pic:spPr>
                    <a:xfrm>
                      <a:off x="0" y="0"/>
                      <a:ext cx="5623560" cy="3985512"/>
                    </a:xfrm>
                    <a:prstGeom prst="rect"/>
                  </pic:spPr>
                </pic:pic>
              </a:graphicData>
            </a:graphic>
          </wp:inline>
        </w:drawing>
      </w:r>
    </w:p>
    <w:p>
      <w:pPr>
        <w:pStyle w:val="12"/>
        <w:keepLines/>
      </w:pPr>
      <w:bookmarkStart w:id="69" w:name="nav_figure_Figure_4_9"/>
      <w:r>
        <w:t>Figure 4.9. (a) Absolute no-op and dispatch counts; labels give the dispatch share. (b) Mean probability assigned to the sampled action on a logarithmic scale. (c) Paired degraded-minus-clean probability DEF on the full scale. (d) Enlarged view around zero; arrows mark intervals that extend beyond the panel. Error bars are 95% episode-block bootstrap intervals.</w:t>
      </w:r>
      <w:bookmarkEnd w:id="69"/>
    </w:p>
    <w:p>
      <w:pPr>
        <w:widowControl/>
      </w:pPr>
      <w:r>
        <w:t>The no-op stratum closely follows the combined result because it accounts for most records. The same H1 trend does not appear in the dispatch stratum for any checkpoint (p = 0.44-1.00), and the dispatch results show no consistent H4 evidence. The paired dispatch DEF shift is negative in four checkpoints, positive in one, and exactly zero in one. In four of six checkpoints its direction differs from the combined estimate. These effects are small except for the seed-43 checkpoints, and dispatch intervals are wider because fewer episodes contain scored dispatch actions. The diagnostic does not establish a separate pattern for dispatch decisions. It shows that the combined H1 and H4 findings should not be generalized to dispatch actions.</w:t>
      </w:r>
    </w:p>
    <w:p>
      <w:pPr>
        <w:pStyle w:val="3"/>
        <w:keepNext/>
      </w:pPr>
      <w:bookmarkStart w:id="70" w:name="nav_heading_4_8_Random_trigger_sensitivi"/>
      <w:r>
        <w:t>4.8 Random-trigger sensitivity analysis</w:t>
      </w:r>
      <w:bookmarkEnd w:id="70"/>
    </w:p>
    <w:p>
      <w:pPr>
        <w:widowControl/>
      </w:pPr>
      <w:r>
        <w:t>The random-loss control replaces the fixed tunnel-entry trigger with an independent per-taxi trigger while retaining the same 30-second observation-layer freeze. The trigger probability is fixed across checkpoints, so realized exposure remains dependent on the trajectory induced by each policy. Random-to-tunnel exposure-rate ratios range from 0.44 to 0.98, with a median of 0.78. The comparison therefore focuses on the direction of paired effects within stale-exposed decisions rather than treating the two conditions as perfectly exposure matched. Table 4.7 reports the trigger comparison.</w:t>
      </w:r>
    </w:p>
    <w:p>
      <w:pPr>
        <w:widowControl/>
      </w:pPr>
      <w:r>
        <w:t>This sensitivity analysis is a separate 24-episode evaluation. Its repeated 30-second tunnel estimates therefore differ slightly from the 48-episode main sweep in Table 4.5; no checkpoint is retrained or reselected.</w:t>
      </w:r>
    </w:p>
    <w:p>
      <w:pPr>
        <w:pStyle w:val="12"/>
        <w:keepNext/>
        <w:pageBreakBefore/>
      </w:pPr>
      <w:bookmarkStart w:id="71" w:name="nav_table_Table_4_7"/>
      <w:r>
        <w:rPr>
          <w:b/>
        </w:rPr>
        <w:t>Table 4.7: Tunnel-triggered and random-loss sensitivity results</w:t>
      </w:r>
      <w:bookmarkEnd w:id="7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69"/>
        <w:gridCol w:w="1737"/>
        <w:gridCol w:w="3006"/>
        <w:gridCol w:w="3008"/>
      </w:tblGrid>
      <w:tr>
        <w:trPr>
          <w:cantSplit/>
          <w:tblHeader w:val="true"/>
        </w:trPr>
        <w:tc>
          <w:tcPr>
            <w:tcW w:type="dxa" w:w="126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173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Exposure tunnel/random (%)</w:t>
            </w:r>
          </w:p>
        </w:tc>
        <w:tc>
          <w:tcPr>
            <w:tcW w:type="dxa" w:w="30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tunnel/random (values x 1,000)</w:t>
            </w:r>
          </w:p>
        </w:tc>
        <w:tc>
          <w:tcPr>
            <w:tcW w:type="dxa" w:w="300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Probability DEF shift tunnel/random (values x 10,000)</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 / 0.569</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+4.281 / +4.037</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 / +0.004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1.176 / 0.517</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+0.231 / -0.286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-0.479 / +7.361</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0.818 / 0.532</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-3.623 / -3.165</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+0.020 / +0.322</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0.967 / 0.713</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+4.279 / +5.453</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 / -0.093</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0.584 / 0.480</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+0.958 / +0.444</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 -0.014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0.712 / 0.648</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-3.063 / -4.296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+0.091 / +0.518</w:t>
            </w:r>
          </w:p>
        </w:tc>
      </w:tr>
    </w:tbl>
    <w:p>
      <w:pPr>
        <w:widowControl/>
      </w:pPr>
      <w:r>
        <w:t>Figure 4.10 shows the tunnel and random-trigger sensitivity results.</w:t>
      </w:r>
    </w:p>
    <w:p>
      <w:pPr>
        <w:keepNext/>
        <w:keepLines/>
        <w:spacing w:before="120" w:after="40"/>
        <w:jc w:val="center"/>
      </w:pPr>
      <w:r>
        <w:drawing>
          <wp:inline xmlns:a="http://schemas.openxmlformats.org/drawingml/2006/main" xmlns:pic="http://schemas.openxmlformats.org/drawingml/2006/picture">
            <wp:extent cx="5623560" cy="3475917"/>
            <wp:docPr id="17" name="Picture 17" descr="Random telemetry-loss robustness check"/>
            <wp:cNvGraphicFramePr>
              <a:graphicFrameLocks noChangeAspect="1"/>
            </wp:cNvGraphicFramePr>
            <a:graphic>
              <a:graphicData uri="http://schemas.openxmlformats.org/drawingml/2006/picture">
                <pic:pic>
                  <pic:nvPicPr>
                    <pic:cNvPr id="0" name="v9_random_loss_robustness.png"/>
                    <pic:cNvPicPr/>
                  </pic:nvPicPr>
                  <pic:blipFill>
                    <a:blip r:embed="rId58"/>
                    <a:stretch>
                      <a:fillRect/>
                    </a:stretch>
                  </pic:blipFill>
                  <pic:spPr>
                    <a:xfrm>
                      <a:off x="0" y="0"/>
                      <a:ext cx="5623560" cy="3475917"/>
                    </a:xfrm>
                    <a:prstGeom prst="rect"/>
                  </pic:spPr>
                </pic:pic>
              </a:graphicData>
            </a:graphic>
          </wp:inline>
        </w:drawing>
      </w:r>
    </w:p>
    <w:p>
      <w:pPr>
        <w:pStyle w:val="12"/>
        <w:keepLines/>
      </w:pPr>
      <w:bookmarkStart w:id="72" w:name="nav_figure_Figure_4_10"/>
      <w:r>
        <w:t>Figure 4.10. Sensitivity to tunnel and random triggers under a 30-second freeze: (a) exposure rate; (b) stale-attention shift; (c) probability-DEF shift at full scale; and (d) enlarged DEF near zero. Arrows mark off-panel intervals; error bars show 95% episode-block bootstrap intervals.</w:t>
      </w:r>
      <w:bookmarkEnd w:id="72"/>
    </w:p>
    <w:p>
      <w:pPr>
        <w:widowControl/>
      </w:pPr>
      <w:r>
        <w:t>Attention-shift direction agrees between tunnel and random triggers in five of six checkpoints. Probability-DEF direction agrees in four of six. One mismatch for GAT seed 42 consists of values very close to zero. GAT seed 43 is the clear exception, but its random-trigger DEF interval is wide and crosses zero. The seed-42 positive attention pattern and seed-44 negative pattern otherwise remain visible under random triggering in both training regimes. This reduces the likelihood that the overall checkpoint dependence is produced only by the chosen tunnel location. It does not establish a location-independent effect, because the realized exposure rates and stale-node populations are not identical.</w:t>
      </w:r>
    </w:p>
    <w:p>
      <w:pPr>
        <w:pStyle w:val="3"/>
        <w:keepNext/>
      </w:pPr>
      <w:bookmarkStart w:id="73" w:name="nav_heading_4_9_Faithfulness_hypotheses"/>
      <w:r>
        <w:t>4.9 Faithfulness hypotheses</w:t>
      </w:r>
      <w:bookmarkEnd w:id="73"/>
    </w:p>
    <w:p>
      <w:pPr>
        <w:widowControl/>
      </w:pPr>
      <w:r>
        <w:t>The event-aware audit uses every decision with visible stale exposure rather than a periodic sample. H1 is supported for two of three GAT checkpoints and all three GAT-Outage checkpoints. H4 is supported for all six: within-episode WAMSN-DEF correlations range from -0.199 to -0.084 for GAT and from -0.423 to -0.212 for GAT-Outage. H3 remains consistently supported. Figure 4.11 shows the per-checkpoint correlations, while Table 4.8 summarizes all hypothesis outcomes.</w:t>
      </w:r>
    </w:p>
    <w:p>
      <w:pPr>
        <w:keepNext/>
        <w:keepLines/>
        <w:spacing w:before="120" w:after="40"/>
        <w:jc w:val="center"/>
      </w:pPr>
      <w:r>
        <w:drawing>
          <wp:inline xmlns:a="http://schemas.openxmlformats.org/drawingml/2006/main" xmlns:pic="http://schemas.openxmlformats.org/drawingml/2006/picture">
            <wp:extent cx="5623560" cy="3099630"/>
            <wp:docPr id="18" name="Picture 18" descr="Within-episode WAMSN-DEF correlation by training seed"/>
            <wp:cNvGraphicFramePr>
              <a:graphicFrameLocks noChangeAspect="1"/>
            </wp:cNvGraphicFramePr>
            <a:graphic>
              <a:graphicData uri="http://schemas.openxmlformats.org/drawingml/2006/picture">
                <pic:pic>
                  <pic:nvPicPr>
                    <pic:cNvPr id="0" name="v9_h4_correlation_by_training_seed.png"/>
                    <pic:cNvPicPr/>
                  </pic:nvPicPr>
                  <pic:blipFill>
                    <a:blip r:embed="rId59"/>
                    <a:stretch>
                      <a:fillRect/>
                    </a:stretch>
                  </pic:blipFill>
                  <pic:spPr>
                    <a:xfrm>
                      <a:off x="0" y="0"/>
                      <a:ext cx="5623560" cy="3099630"/>
                    </a:xfrm>
                    <a:prstGeom prst="rect"/>
                  </pic:spPr>
                </pic:pic>
              </a:graphicData>
            </a:graphic>
          </wp:inline>
        </w:drawing>
      </w:r>
    </w:p>
    <w:p>
      <w:pPr>
        <w:pStyle w:val="12"/>
        <w:keepLines/>
      </w:pPr>
      <w:bookmarkStart w:id="74" w:name="nav_figure_Figure_4_11"/>
      <w:r>
        <w:t>Figure 4.11. All checkpoints have a negative within-episode WAMSN-DEF association after Holm correction; the direct paired effect remains mixed.</w:t>
      </w:r>
      <w:bookmarkEnd w:id="74"/>
    </w:p>
    <w:p>
      <w:pPr>
        <w:pStyle w:val="12"/>
        <w:keepNext/>
      </w:pPr>
      <w:bookmarkStart w:id="75" w:name="nav_table_Table_4_8"/>
      <w:r>
        <w:rPr>
          <w:b/>
        </w:rPr>
        <w:t>Table 4.8: Hypothesis outcomes across training seeds</w:t>
      </w:r>
      <w:bookmarkEnd w:id="7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62"/>
        <w:gridCol w:w="1316"/>
        <w:gridCol w:w="1777"/>
        <w:gridCol w:w="2965"/>
      </w:tblGrid>
      <w:tr>
        <w:trPr>
          <w:cantSplit/>
          <w:tblHeader w:val="true"/>
        </w:trPr>
        <w:tc>
          <w:tcPr>
            <w:tcW w:type="dxa" w:w="296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1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7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96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exploratory</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as a stale-exposure manipulation check</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reduces the adverse DEF relationships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96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widowControl/>
      </w:pPr>
      <w:r>
        <w:t>For H5, every matched GAT-Outage checkpoint has more negative H1 and H4 correlations than its clean-trained GAT counterpart. The H1 comparisons for seeds 42, 43, and 44 are -0.164 versus -0.069, -0.141 versus -0.058, and -0.025 versus -0.017. The corresponding H4 comparisons are -0.423 versus -0.092, -0.411 versus -0.084, and -0.212 versus -0.199. None meets the requirement that both relationships become weaker, giving 0/3 support for H5.</w:t>
      </w:r>
    </w:p>
    <w:p>
      <w:pPr>
        <w:widowControl/>
      </w:pPr>
      <w:r>
        <w:t>H1 and H4 are association tests within one trained policy and primarily describe no-op decisions in this action-imbalanced sample. They do not by themselves establish that AoI causes lower faithfulness or that the same relationship holds for dispatch actions. The paired clean-twin audit supplies the more direct intervention contrast, and its sign still changes with training seed. H2 is treated as exploratory because clean DEF is close to zero and the relative-rate formulation is unstable.</w:t>
      </w:r>
    </w:p>
    <w:p>
      <w:pPr>
        <w:pStyle w:val="3"/>
        <w:keepNext/>
      </w:pPr>
      <w:bookmarkStart w:id="76" w:name="nav_heading_4_10_Result_summary"/>
      <w:r>
        <w:t>4.10 Result summary</w:t>
      </w:r>
      <w:bookmarkEnd w:id="76"/>
    </w:p>
    <w:p>
      <w:pPr>
        <w:keepNext/>
        <w:widowControl/>
      </w:pPr>
      <w:r>
        <w:t>The results answer the research questions as follows:</w:t>
      </w:r>
    </w:p>
    <w:p>
      <w:pPr>
        <w:pStyle w:val="13"/>
        <w:keepLines/>
        <w:spacing w:after="40"/>
      </w:pPr>
      <w:r>
        <w:rPr>
          <w:b/>
          <w:i w:val="0"/>
        </w:rPr>
        <w:t>RQ1:</w:t>
      </w:r>
      <w:r>
        <w:t xml:space="preserve"> under clean telemetry, raw attention does not consistently identify decision-relevant nodes better than the type-matched random baseline;</w:t>
      </w:r>
    </w:p>
    <w:p>
      <w:pPr>
        <w:pStyle w:val="13"/>
        <w:keepLines/>
        <w:spacing w:after="40"/>
      </w:pPr>
      <w:r>
        <w:rPr>
          <w:b/>
          <w:i w:val="0"/>
        </w:rPr>
        <w:t>RQ2:</w:t>
      </w:r>
      <w:r>
        <w:t xml:space="preserve"> tunnel-triggered degradation changes stale-node attention, but the direction of the paired change depends on the trained checkpoint;</w:t>
      </w:r>
    </w:p>
    <w:p>
      <w:pPr>
        <w:pStyle w:val="13"/>
        <w:keepLines/>
        <w:spacing w:after="40"/>
      </w:pPr>
      <w:r>
        <w:rPr>
          <w:b/>
          <w:i w:val="0"/>
        </w:rPr>
        <w:t>RQ3:</w:t>
      </w:r>
      <w:r>
        <w:t xml:space="preserve"> longer outages consistently increase stale exposure and usually accompany lower within-policy DEF, but paired attention and DEF changes are not consistent across checkpoints, action strata, or extraction choices; and</w:t>
      </w:r>
    </w:p>
    <w:p>
      <w:pPr>
        <w:pStyle w:val="13"/>
        <w:keepLines/>
        <w:spacing w:after="120"/>
      </w:pPr>
      <w:r>
        <w:rPr>
          <w:b/>
          <w:i w:val="0"/>
        </w:rPr>
        <w:t>RQ4:</w:t>
      </w:r>
      <w:r>
        <w:t xml:space="preserve"> degradation-aware training does not produce a more consistent explanation response than clean training.</w:t>
      </w:r>
    </w:p>
    <w:p>
      <w:pPr>
        <w:widowControl/>
      </w:pPr>
      <w:r>
        <w:t>Seed reversals, no-op dominance, dispatch-stratum failures, and extraction sensitivity therefore mean that raw attention cannot provide a reliable indication of data freshness or explanation faithfulness.</w:t>
      </w:r>
    </w:p>
    <w:p>
      <w:pPr>
        <w:pStyle w:val="3"/>
        <w:keepNext/>
      </w:pPr>
      <w:bookmarkStart w:id="77" w:name="nav_heading_4_11_Demonstrative_framework"/>
      <w:r>
        <w:t>4.11 Demonstrative framework decision</w:t>
      </w:r>
      <w:bookmarkEnd w:id="77"/>
    </w:p>
    <w:p>
      <w:pPr>
        <w:widowControl/>
      </w:pPr>
      <w:r>
        <w:t>The completed evidence was passed through the operational audit described in Section 3.10. Table 4.9 separates successful evidence collection from failed explanation-release checks.</w:t>
      </w:r>
    </w:p>
    <w:p>
      <w:pPr>
        <w:pStyle w:val="12"/>
        <w:keepNext/>
      </w:pPr>
      <w:bookmarkStart w:id="78" w:name="nav_table_Table_4_9"/>
      <w:r>
        <w:rPr>
          <w:b/>
        </w:rPr>
        <w:t>Table 4.9: Freshness-aware explanation audit decisions</w:t>
      </w:r>
      <w:bookmarkEnd w:id="7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1300"/>
        <w:gridCol w:w="15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Audit check</w:t>
            </w:r>
          </w:p>
        </w:tc>
        <w:tc>
          <w:tcPr>
            <w:tcW w:type="dxa" w:w="13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w:t>
            </w:r>
          </w:p>
        </w:tc>
        <w:tc>
          <w:tcPr>
            <w:tcW w:type="dxa" w:w="15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Key evidence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Evidence integrity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3/3 checkpoint preflights passed for each model</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reported separately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10,832 and 10,885 stale-exposed records reported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Action-aware controls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 matching, chosen-action protection, and LOO present</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decision relevance</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clean/60 s CIs: GAT [-0.00367, -0.00252] / [-0.00371, -0.00252]; GAT-Outage [-0.00765, -0.00594] / [-0.00752, -0.00578]</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No-op and dispatch composition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26,278/2,020 and 26,307/1,945 no-op/dispatch records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Attention-extraction stability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an alternative reverses the default direction in every seed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Checkpoint consistency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stale-attention direction is positive, positive, then negative across seeds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Deployment-action capability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stochastic sampling is the audited action rule; argmax is descriptive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Tunnel/random trigger robustness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 supported reversal, but at least one 95% interval crosses zero</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Final decision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decision relevance, extraction stability, and checkpoint consistency fail</w:t>
            </w:r>
          </w:p>
        </w:tc>
      </w:tr>
    </w:tbl>
    <w:p>
      <w:pPr>
        <w:widowControl/>
      </w:pPr>
      <w:r>
        <w:t>INDET. denotes INDETERMINATE: the available evidence neither passes nor fails the check.</w:t>
      </w:r>
    </w:p>
    <w:p>
      <w:pPr>
        <w:widowControl/>
      </w:pPr>
      <w:r>
        <w:t>Both models pass the checks that establish whether the evidence is complete and properly separated. Dispatch self-row margin-DEF is below the matched-random boundary under both clean and 60-second conditions, and the extraction and checkpoint checks also fail. Trigger robustness remains indeterminate because some confidence intervals cross zero. The argmax diagnostic remains an important policy limitation but is not a release gate for the sampled action rule audited here. The result is WITHHOLD for all six frozen checkpoints, so their attention maps remain internal diagnostics. This table is a demonstrative application of the post-study release rules, not a new hypothesis test or independent evidence for the main conclusion.</w:t>
      </w:r>
    </w:p>
    <w:p>
      <w:pPr>
        <w:pStyle w:val="2"/>
        <w:keepNext/>
      </w:pPr>
      <w:bookmarkStart w:id="79" w:name="nav_heading_Chapter_5_Discussion"/>
      <w:r>
        <w:t>Chapter 5: Discussion</w:t>
      </w:r>
      <w:bookmarkEnd w:id="79"/>
    </w:p>
    <w:p>
      <w:pPr>
        <w:pStyle w:val="3"/>
        <w:keepNext/>
      </w:pPr>
      <w:bookmarkStart w:id="80" w:name="nav_heading_5_1_Answer_to_the_central_pr"/>
      <w:r>
        <w:t>5.1 Answer to the central problem</w:t>
      </w:r>
      <w:bookmarkEnd w:id="80"/>
    </w:p>
    <w:p>
      <w:pPr>
        <w:widowControl/>
      </w:pPr>
      <w:r>
        <w:t xml:space="preserve">The central problem is whether a complete graph-attention map can be trusted when some of its vehicle data are stale. The results show that </w:t>
      </w:r>
      <w:r>
        <w:rPr>
          <w:b/>
          <w:i w:val="0"/>
        </w:rPr>
        <w:t>separate validation is required</w:t>
      </w:r>
      <w:r>
        <w:t>. Raw attention alone provides no reliable evidence of freshness or decision relevance.</w:t>
      </w:r>
    </w:p>
    <w:p>
      <w:pPr>
        <w:widowControl/>
      </w:pPr>
      <w:r>
        <w:t>This conclusion is based on several results, not one p-value. Longer outages increase stale-data exposure, and the combined within-policy tests associate that exposure with lower DEF in all six checkpoints. The direct clean-twin comparison is less uniform: attention reallocation and paired DEF shift have the expected signs in their point estimates for checkpoints trained with seeds 42 and 43, but both signs reverse for checkpoints trained with seed 44 under both training regimes. The measured effects are also small.</w:t>
      </w:r>
    </w:p>
    <w:p>
      <w:pPr>
        <w:widowControl/>
      </w:pPr>
      <w:r>
        <w:t>The action-stratified results limit how broadly this finding can be interpreted. Chosen no-op actions account for 93.0% of scorable decisions with at least one available request, and the combined H1 and H4 patterns are not reproduced among dispatch actions. Four checkpoints also change paired-DEF direction between the combined and dispatch strata. The primary statistics describe the sampled action mixture, not a universal explanation response for both dispatch and no-op decisions.</w:t>
      </w:r>
    </w:p>
    <w:p>
      <w:pPr>
        <w:widowControl/>
      </w:pPr>
      <w:r>
        <w:t>The supporting controls make the interpretation stronger and narrower. The LOO-ranked control produces a positive DEF for every checkpoint, so the evaluator has some sensitivity to a perturbation-based ranking. However, expected top-k overlap reaches about 60% at k=3, which limits resolution. Taxi-only attention-LOO correlation is positive but varies substantially in strength. These checks do not show that the evaluator is perfect and attention fails. They show that, within the evaluator's measured but limited resolution, raw attention lacks reproducible evidence of explanation faithfulness. Figure 5.1 summarizes this cross-seed evidence path.</w:t>
      </w:r>
    </w:p>
    <w:p>
      <w:pPr>
        <w:keepNext/>
        <w:keepLines/>
        <w:spacing w:before="120" w:after="40"/>
        <w:jc w:val="center"/>
      </w:pPr>
      <w:r>
        <w:drawing>
          <wp:inline xmlns:a="http://schemas.openxmlformats.org/drawingml/2006/main" xmlns:pic="http://schemas.openxmlformats.org/drawingml/2006/picture">
            <wp:extent cx="5623560" cy="3083887"/>
            <wp:docPr id="19" name="Picture 19" descr="Cross-seed evidence matrix"/>
            <wp:cNvGraphicFramePr>
              <a:graphicFrameLocks noChangeAspect="1"/>
            </wp:cNvGraphicFramePr>
            <a:graphic>
              <a:graphicData uri="http://schemas.openxmlformats.org/drawingml/2006/picture">
                <pic:pic>
                  <pic:nvPicPr>
                    <pic:cNvPr id="0" name="v9_evidence_path_summary.png"/>
                    <pic:cNvPicPr/>
                  </pic:nvPicPr>
                  <pic:blipFill>
                    <a:blip r:embed="rId60"/>
                    <a:stretch>
                      <a:fillRect/>
                    </a:stretch>
                  </pic:blipFill>
                  <pic:spPr>
                    <a:xfrm>
                      <a:off x="0" y="0"/>
                      <a:ext cx="5623560" cy="3083887"/>
                    </a:xfrm>
                    <a:prstGeom prst="rect"/>
                  </pic:spPr>
                </pic:pic>
              </a:graphicData>
            </a:graphic>
          </wp:inline>
        </w:drawing>
      </w:r>
    </w:p>
    <w:p>
      <w:pPr>
        <w:pStyle w:val="12"/>
        <w:keepLines/>
      </w:pPr>
      <w:bookmarkStart w:id="81" w:name="nav_figure_Figure_5_1"/>
      <w:r>
        <w:t>Figure 5.1. Cross-seed results for the four research questions. The matrix separates clean decision relevance, paired stale-node attention, consistency across duration and paired faithfulness tests, and the effect of degradation-aware training.</w:t>
      </w:r>
      <w:bookmarkEnd w:id="81"/>
    </w:p>
    <w:p>
      <w:pPr>
        <w:pStyle w:val="3"/>
        <w:keepNext/>
      </w:pPr>
      <w:bookmarkStart w:id="82" w:name="nav_heading_5_2_What_the_stale_exposure_"/>
      <w:r>
        <w:t>5.2 What the stale-exposure result means</w:t>
      </w:r>
      <w:bookmarkEnd w:id="82"/>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normalized AoI, so part of the increase follows directly from the manipulation. H1 and H4 show that DEF tends to be lower at greater exposure within most frozen policies. The paired audit asks a stricter question: does replacing the current observation with its degraded twin change attention and DEF at the same decision? That result changes sign across checkpoints trained with different seeds. Exposure, within-policy association, and paired intervention answer different questions and should be reported separately.</w:t>
      </w:r>
    </w:p>
    <w:p>
      <w:pPr>
        <w:pStyle w:val="3"/>
        <w:keepNext/>
      </w:pPr>
      <w:bookmarkStart w:id="83" w:name="nav_heading_5_3_Dependence_on_checkpoint"/>
      <w:r>
        <w:t>5.3 Dependence on checkpoint and analysis choice</w:t>
      </w:r>
      <w:bookmarkEnd w:id="83"/>
    </w:p>
    <w:p>
      <w:pPr>
        <w:widowControl/>
      </w:pPr>
      <w:r>
        <w:t>The primary aggregation gives positive stale-attention shifts for checkpoints trained with seeds 42 and 43 and negative shifts for checkpoints trained with seed 44. The values are small: approximately -0.0035 to +0.0041 of total attention mass. Paired probability-DEF shifts are also small and reproduce the same direction in both training regimes. This shared pattern across the two model conditions suggests sensitivity to the trained checkpoint, not a stable response created by outage-aware training. The between-checkpoint range is larger than the observed difference between the two training-condition means. With only three training seeds, this is a descriptive comparison of selected checkpoints, not a variance decomposition or evidence that the seed value itself causes the response.</w:t>
      </w:r>
    </w:p>
    <w:p>
      <w:pPr>
        <w:widowControl/>
      </w:pPr>
      <w:r>
        <w:t>The random-trigger sensitivity analysis checks whether this pattern is only an artifact of the fixed tunnel location. The same attention-shift direction appears in five of six checkpoints, and the same probability-DEF direction in four of six. The seed-42 positive attention pattern and seed-44 negative pattern appear under both triggers and both training regimes. This makes a tunnel-only explanation less plausible, but it is not a complete location control. A fixed trigger probability produces different realized exposure rates after each policy changes taxi trajectories, and the identity of the stale taxis also changes. The result supports checkpoint dependence but cannot establish one general effect of random or tunnel-triggered loss.</w:t>
      </w:r>
    </w:p>
    <w:p>
      <w:pPr>
        <w:widowControl/>
      </w:pPr>
      <w:r>
        <w:t>The paired probability-DEF effects are small and may have little operational importance. The concern is not a large universal decline. Instead, even these small changes reverse direction across independently trained checkpoints, while raw corrected DEF under clean telemetry is already near zero. Together, these results do not provide a consistent basis for trusting the explanations, but they also do not show large damage from telemetry degradation.</w:t>
      </w:r>
    </w:p>
    <w:p>
      <w:pPr>
        <w:widowControl/>
      </w:pPr>
      <w:r>
        <w:t>The aggregation audit identifies a second problem. Individual heads can reverse the sign within the same checkpoint. The six checkpoint ranges extend from -0.0109 to +0.0089 across the tested reductions. Selecting another head or layer after seeing the data could change the verbal conclusion.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by about 0.0064 for GAT seed 43 and 0.0073 for GAT-Outage seed 43, but changes little for the other four checkpoints. One query-row change therefore cannot be assumed to correct near-zero or negative DEF. An operator-facing attention map needs a declared and tested rule for choosing its query, layer, and heads.</w:t>
      </w:r>
    </w:p>
    <w:p>
      <w:pPr>
        <w:widowControl/>
      </w:pPr>
      <w:r>
        <w:t>The deterministic diagnostic reveals a related policy limitation. All six graph-attention checkpoints choose no-op in all 18 argmax episode evaluations, although their sampled policies outperform the declared lower bounds. This limitation does not invalidate the faithfulness calculations for sampled actions, but it means that the experiment audits stochastic policy decisions rather than a deployable deterministic dispatcher. The audit framework should evaluate the action rule intended for deployment and report any alternative action rule as a separate diagnostic.</w:t>
      </w:r>
    </w:p>
    <w:p>
      <w:pPr>
        <w:pStyle w:val="3"/>
        <w:keepNext/>
      </w:pPr>
      <w:bookmarkStart w:id="84" w:name="nav_heading_5_4_Role_of_the_construct_va"/>
      <w:r>
        <w:t>5.4 Role of the construct-validity audit</w:t>
      </w:r>
      <w:bookmarkEnd w:id="84"/>
    </w:p>
    <w:p>
      <w:pPr>
        <w:widowControl/>
      </w:pPr>
      <w:r>
        <w:t>The construct-validity audit supports the primary experiment. Request nodes are both information and actions; peer taxis are context only. Uniform random deletion therefore creates a large action-removal artifact.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a positive control, not ground truth for the combined comprehensiveness-sufficiency score. Gradient x Input changes sign across checkpoints and is not automatically a stronger explanation in this task.</w:t>
      </w:r>
    </w:p>
    <w:p>
      <w:pPr>
        <w:widowControl/>
      </w:pPr>
      <w:r>
        <w:t>Together, these checks change the conclusion from a simple “attention is near random” statement to a more defensible one. Raw attention remains below the LOO control in all six checkpoints and has positive taxi-only agreement with LOO, but both DEF and rank agreement vary by trained policy. The aggregation and query-row audits add further sensitivity. This provides some evidence of decision relevance, but not enough to treat attention as reliable by default.</w:t>
      </w:r>
    </w:p>
    <w:p>
      <w:pPr>
        <w:widowControl/>
      </w:pPr>
      <w:r>
        <w:t>The top-k diagnostic further limits this interpretation. Attention-LOO overlap is above the expected matched-random overlap at k=1, but it offers no clear advantage over that baseline at k=3. This is consistent with reduced resolution as larger subsets overlap, not proof that the top attention node is the model's true reason or that every three-node display is random.</w:t>
      </w:r>
    </w:p>
    <w:p>
      <w:pPr>
        <w:pStyle w:val="3"/>
        <w:keepNext/>
      </w:pPr>
      <w:bookmarkStart w:id="85" w:name="nav_heading_5_5_Degradation_aware_traini"/>
      <w:r>
        <w:t>5.5 Degradation-aware training</w:t>
      </w:r>
      <w:bookmarkEnd w:id="85"/>
    </w:p>
    <w:p>
      <w:pPr>
        <w:widowControl/>
      </w:pPr>
      <w:r>
        <w:t>Training with 30-second outages does not solve the explanation problem. GAT-Outage shows the same seed-dependent attention and paired DEF directions as GAT. It strengthens the H1 and H4 associations, but does not make the direct degraded-minus-clean response consistent across independently trained policies. Under the matched-seed H5 rule, both adverse correlations would need to move closer to zero. Neither does so for any of the three seeds.</w:t>
      </w:r>
    </w:p>
    <w:p>
      <w:pPr>
        <w:widowControl/>
      </w:pPr>
      <w:r>
        <w:t>These findings apply only to the tested form of robustness training. The reward contains no term for explanation stability or faithfulness, so task-reward optimization alone is not designed to align attention with a human explanation. A future intervention would need an explicit explanation objective and evaluation on independently trained models.</w:t>
      </w:r>
    </w:p>
    <w:p>
      <w:pPr>
        <w:pStyle w:val="3"/>
        <w:keepNext/>
      </w:pPr>
      <w:bookmarkStart w:id="86" w:name="nav_heading_5_6_Proposed_audit_framework"/>
      <w:r>
        <w:t>5.6 Proposed audit framework</w:t>
      </w:r>
      <w:bookmarkEnd w:id="86"/>
    </w:p>
    <w:p>
      <w:pPr>
        <w:pStyle w:val="4"/>
        <w:keepNext/>
      </w:pPr>
      <w:bookmarkStart w:id="87" w:name="nav_heading_5_6_1_Purpose_and_scope"/>
      <w:r>
        <w:t>5.6.1 Purpose and scope</w:t>
      </w:r>
      <w:bookmarkEnd w:id="87"/>
    </w:p>
    <w:p>
      <w:pPr>
        <w:widowControl/>
      </w:pPr>
      <w:r>
        <w:t xml:space="preserve">To address this risk, the thesis develops and applies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an audited candidate explanation within a stated scope. Table 5.1 links each observed risk to the required evidence and decision rule.</w:t>
      </w:r>
    </w:p>
    <w:p>
      <w:pPr>
        <w:pStyle w:val="12"/>
        <w:keepNext/>
      </w:pPr>
      <w:bookmarkStart w:id="88" w:name="nav_table_Table_5_1"/>
      <w:r>
        <w:rPr>
          <w:b/>
        </w:rPr>
        <w:t>Table 5.1: Freshness-aware explanation audit framework</w:t>
      </w:r>
      <w:bookmarkEnd w:id="8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strata</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stratified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0" name="Picture 20"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1"/>
                    <a:stretch>
                      <a:fillRect/>
                    </a:stretch>
                  </pic:blipFill>
                  <pic:spPr>
                    <a:xfrm>
                      <a:off x="0" y="0"/>
                      <a:ext cx="5623560" cy="2701176"/>
                    </a:xfrm>
                    <a:prstGeom prst="rect"/>
                  </pic:spPr>
                </pic:pic>
              </a:graphicData>
            </a:graphic>
          </wp:inline>
        </w:drawing>
      </w:r>
    </w:p>
    <w:p>
      <w:pPr>
        <w:pStyle w:val="12"/>
        <w:keepLines/>
      </w:pPr>
      <w:bookmarkStart w:id="89"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89"/>
    </w:p>
    <w:p>
      <w:pPr>
        <w:pStyle w:val="4"/>
        <w:keepNext/>
      </w:pPr>
      <w:bookmarkStart w:id="90" w:name="nav_heading_5_6_2_Inputs_outputs_and_use"/>
      <w:r>
        <w:t>5.6.2 Inputs, outputs and use</w:t>
      </w:r>
      <w:bookmarkEnd w:id="90"/>
    </w:p>
    <w:p>
      <w:pPr>
        <w:widowControl/>
      </w:pPr>
      <w:r>
        <w:t>The framework accepts evidence rather than raw attention alone. Table 5.2 summarizes its inputs and outputs.</w:t>
      </w:r>
    </w:p>
    <w:p>
      <w:pPr>
        <w:pStyle w:val="12"/>
        <w:keepNext/>
      </w:pPr>
      <w:bookmarkStart w:id="91" w:name="nav_table_Table_5_2"/>
      <w:r>
        <w:rPr>
          <w:b/>
        </w:rPr>
        <w:t>Table 5.2: Audit framework inputs and outputs</w:t>
      </w:r>
      <w:bookmarkEnd w:id="9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strata,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Lines/>
        <w:numPr>
          <w:ilvl w:val="0"/>
          <w:numId w:val="10"/>
        </w:numPr>
        <w:spacing w:after="40"/>
      </w:pPr>
      <w:r>
        <w:t>freeze the candidate checkpoint and evaluation protocol;</w:t>
      </w:r>
    </w:p>
    <w:p>
      <w:pPr>
        <w:pStyle w:val="14"/>
        <w:keepLines/>
        <w:numPr>
          <w:ilvl w:val="0"/>
          <w:numId w:val="10"/>
        </w:numPr>
        <w:spacing w:after="40"/>
      </w:pPr>
      <w:r>
        <w:t>generate paired freshness, action-aware faithfulness, action-composition, and sensitivity evidence on held-out demand;</w:t>
      </w:r>
    </w:p>
    <w:p>
      <w:pPr>
        <w:pStyle w:val="14"/>
        <w:keepLines/>
        <w:numPr>
          <w:ilvl w:val="0"/>
          <w:numId w:val="10"/>
        </w:numPr>
        <w:spacing w:after="40"/>
      </w:pPr>
      <w:r>
        <w:t>run preflight to establish that the evidence is complete and valid to analyze;</w:t>
      </w:r>
    </w:p>
    <w:p>
      <w:pPr>
        <w:pStyle w:val="14"/>
        <w:keepLines/>
        <w:numPr>
          <w:ilvl w:val="0"/>
          <w:numId w:val="10"/>
        </w:numPr>
        <w:spacing w:after="40"/>
      </w:pPr>
      <w:r>
        <w:t>apply every release check to each checkpoint and then compare independent training runs; and</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92" w:name="nav_heading_5_6_3_Application_to_this_st"/>
      <w:r>
        <w:t>5.6.3 Application to this study</w:t>
      </w:r>
      <w:bookmarkEnd w:id="92"/>
    </w:p>
    <w:p>
      <w:pPr>
        <w:widowControl/>
      </w:pPr>
      <w:r>
        <w:t>Applying the framework to the completed evidence gives WITHHOLD for GAT and GAT-Outage and for all six individual checkpoints. This is not a failed experiment. The audit has completed and has found that the evidence is insufficient for explanation release. In particular, the dispatch-action decision-relevance intervals do not exceed the matched-random boundary, attention extraction can reverse the stale-attention direction, the stale-attention response changes direction across training seeds, and the tunnel/random comparison is indeterminate because several confidence intervals cross zero. Every argmax diagnostic also produces zero pickups, but this is a descriptive limitation rather than a release gate for the sampled action rule.</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faithfulness-aware model is still needed to validate the eligibility path empirically. The current thresholds must not be weakened after seeing these results simply to obtain a passing model.</w:t>
      </w:r>
    </w:p>
    <w:p>
      <w:pPr>
        <w:pStyle w:val="3"/>
        <w:keepNext/>
      </w:pPr>
      <w:bookmarkStart w:id="93" w:name="nav_heading_5_7_Limitations"/>
      <w:r>
        <w:t>5.7 Limitations</w:t>
      </w:r>
      <w:bookmarkEnd w:id="93"/>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and their stochastic evaluations outperform random and greedy lower bounds. However, every selected GAT checkpoint collapses to no-op under the small deterministic check. The study therefore cannot establish deterministic deployment capability or isolate the contribution of graph edges to sampled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94" w:name="nav_heading_5_8_Future_work"/>
      <w:r>
        <w:t>5.8 Future work</w:t>
      </w:r>
      <w:bookmarkEnd w:id="94"/>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95" w:name="nav_heading_Chapter_6_Conclusion"/>
      <w:r>
        <w:t>Chapter 6: Conclusion</w:t>
      </w:r>
      <w:bookmarkEnd w:id="95"/>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results lead to a clear conclusion: </w:t>
      </w:r>
      <w:r>
        <w:rPr>
          <w:b/>
          <w:i w:val="0"/>
        </w:rPr>
        <w:t>this experiment does not validate raw graph-attention weights as reliable explanations under clean or degraded telemetry</w:t>
      </w:r>
      <w:r>
        <w:t>. This is not a claim that every attention map is wrong. It means that attention cannot be assumed trustworthy by default.</w:t>
      </w:r>
    </w:p>
    <w:p>
      <w:pPr>
        <w:keepNext/>
        <w:widowControl/>
      </w:pPr>
      <w:r>
        <w:t>The four research questions are answered as follows:</w:t>
      </w:r>
    </w:p>
    <w:p>
      <w:pPr>
        <w:pStyle w:val="13"/>
        <w:keepLines/>
        <w:spacing w:after="40"/>
      </w:pPr>
      <w:r>
        <w:rPr>
          <w:b/>
          <w:i w:val="0"/>
        </w:rPr>
        <w:t>RQ1: Under clean telemetry, do raw graph-attention weights identify decision-relevant nodes more reliably than type-matched random controls?</w:t>
      </w:r>
      <w:r>
        <w:t xml:space="preserve"> Not consistently. Raw-attention DEF ranges from -0.0009 to +0.0031 across the six checkpoints. LOO produces a larger positive result for all six checkpoints, while taxi-only attention-LOO rank correlation ranges from +0.088 to +0.699.</w:t>
      </w:r>
    </w:p>
    <w:p>
      <w:pPr>
        <w:pStyle w:val="13"/>
        <w:keepLines/>
        <w:spacing w:after="40"/>
      </w:pPr>
      <w:r>
        <w:rPr>
          <w:b/>
          <w:i w:val="0"/>
        </w:rPr>
        <w:t>RQ2: Does tunnel-triggered telemetry degradation change the attention assigned to stale vehicle nodes relative to the paired clean observation?</w:t>
      </w:r>
      <w:r>
        <w:t xml:space="preserve"> Yes, but not in a consistent direction. Attention shifts toward stale nodes for checkpoints trained with seeds 42 and 43 and away from them for seed 44 under both training regimes. The same direction appears under random triggering in five of six checkpoints, while individual heads can still reverse it within one checkpoint.</w:t>
      </w:r>
    </w:p>
    <w:p>
      <w:pPr>
        <w:pStyle w:val="13"/>
        <w:keepLines/>
        <w:spacing w:after="40"/>
      </w:pPr>
      <w:r>
        <w:rPr>
          <w:b/>
          <w:i w:val="0"/>
        </w:rPr>
        <w:t>RQ3: As outage duration increases, are changes in stale-node attention and decision-level faithfulness consistent across independently trained checkpoints?</w:t>
      </w:r>
      <w:r>
        <w:t xml:space="preserve"> No. Paired stale-node attention changes direction with the trained checkpoint. H1 is supported in five of six selected checkpoints and H4 in all six, but the combined direct paired DEF shift is negative for four checkpoints and positive for two. The effect is small and reverses for the checkpoints trained with seed 44. Moreover, 93.0% of scorable decisions with at least one available request are no-op, and the H1/H4 patterns are not reproduced in the dispatch stratum.</w:t>
      </w:r>
    </w:p>
    <w:p>
      <w:pPr>
        <w:pStyle w:val="13"/>
        <w:keepLines/>
        <w:spacing w:after="120"/>
      </w:pPr>
      <w:r>
        <w:rPr>
          <w:b/>
          <w:i w:val="0"/>
        </w:rPr>
        <w:t>RQ4: Does degradation-aware training produce more consistent attention and faithfulness responses under telemetry degradation than clean training?</w:t>
      </w:r>
      <w:r>
        <w:t xml:space="preserve"> No. GAT-Outage shows the same seed-dependent paired direction as GAT and provides no consistent improvement.</w:t>
      </w:r>
    </w:p>
    <w:p>
      <w:pPr>
        <w:widowControl/>
      </w:pPr>
      <w:r>
        <w:t>This interpretation depends on the construct-validity audit. Deleting a request can also delete an action, while deleting a peer taxi only hides context. Type-matched and action-protected controls remove much of this artifact. The positive LOO result shows that DEF has some perturbation sensitivity, but the high expected top-k overlap limits its resolution. The conclusion draws on several checks rather than one near-zero number.</w:t>
      </w:r>
    </w:p>
    <w:p>
      <w:pPr>
        <w:widowControl/>
      </w:pPr>
      <w:r>
        <w:t>The 30-second random-trigger sensitivity analysis reduces concern that the checkpoint-dependent pattern is produced only by the selected tunnel. It does not remove the need for multiple tunnel placements or real telemetry traces, because realized exposure and the stale-node population still differ between trigger mechanisms.</w:t>
      </w:r>
    </w:p>
    <w:p>
      <w:pPr>
        <w:widowControl/>
      </w:pPr>
      <w:r>
        <w:t>The performance results also have an important limit. Sampled policies outperform the basic lower bounds, but all six graph-attention checkpoints choose no-op in 18 of 18 deterministic diagnostic episodes. The study audits explanations for sampled stochastic actions; it does not demonstrate a deployable argmax dispatcher.</w:t>
      </w:r>
    </w:p>
    <w:p>
      <w:pPr>
        <w:widowControl/>
      </w:pPr>
      <w:r>
        <w:t xml:space="preserve">In this thesis, </w:t>
      </w:r>
      <w:r>
        <w:rPr>
          <w:b/>
          <w:i w:val="0"/>
        </w:rPr>
        <w:t>faithfulness decoupling</w:t>
      </w:r>
      <w:r>
        <w:t xml:space="preserve"> refers to the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freshness-aware explanation audit framework addresses this gap. It reports freshness and action composition separately, uses action-aware and type-matched tests, checks the attention extraction rule, audits every candidate checkpoint, and requires consistency across independent training runs. Stable dispatch output is not an explanation test.</w:t>
      </w:r>
    </w:p>
    <w:p>
      <w:pPr>
        <w:widowControl/>
      </w:pPr>
      <w:r>
        <w:t>Its demonstrative application gives WITHHOLD for GAT, GAT-Outage, and all six frozen checkpoints. This means that the audit completed but the attention maps did not meet the release conditions. An ELIGIBLE model is not required to support the present finding: correctly withholding unsupported explanations is the purpose of the framework. However, the study validates only the rejection path on trained models. A future model with an explicit explanation objective is needed to test the eligibility path on held-out evidence.</w:t>
      </w:r>
    </w:p>
    <w:p>
      <w:pPr>
        <w:widowControl/>
      </w:pPr>
      <w:r>
        <w:t>An ELIGIBLE result would permit attention to be shown only as an audited candidate explanation within the stated scope, with freshness displayed separately. It would not prove a complete causal explanation.</w:t>
      </w:r>
    </w:p>
    <w:p>
      <w:pPr>
        <w:widowControl/>
      </w:pPr>
      <w:r>
        <w:t>The framework is designed to reduce operational risk, not to remove faithfulness decoupling from the model. Attention remains an internal diagnostic unless the full audit provides consistent evidence.</w:t>
      </w:r>
    </w:p>
    <w:p>
      <w:pPr>
        <w:widowControl/>
      </w:pPr>
      <w:r>
        <w:t>All six objectives were completed: the paired benchmark and audit pipeline were implemented, the four research questions were evaluated, and the collected evidence produced a WITHHOLD decision for every tested checkpoint. Completion refers to execution of the planned study, not support for every hypothesis or achievement of an ELIGIBLE result.</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pp. 4190-4197. Available at: https://doi.org/10.18653/v1/2020.acl-main.385.</w:t>
      </w:r>
    </w:p>
    <w:p>
      <w:pPr>
        <w:spacing w:line="240" w:lineRule="auto" w:after="40"/>
        <w:ind w:left="720" w:hanging="720"/>
        <w:jc w:val="left"/>
      </w:pPr>
      <w:r>
        <w:t xml:space="preserve">Adebayo, J. et al. (2018) 'Sanity checks for saliency maps', </w:t>
      </w:r>
      <w:r>
        <w:rPr>
          <w:b w:val="0"/>
          <w:i/>
        </w:rPr>
        <w:t>Advances in Neural Information Processing Systems</w:t>
      </w:r>
      <w:r>
        <w:t>, vol. 31. Available at: https://proceedings.neurips.cc/paper/2018/hash/294a8ed24b1ad22ec2e7efea049b8737-Abstract.html.</w:t>
      </w:r>
    </w:p>
    <w:p>
      <w:pPr>
        <w:spacing w:line="240" w:lineRule="auto" w:after="40"/>
        <w:ind w:left="720" w:hanging="720"/>
        <w:jc w:val="left"/>
      </w:pPr>
      <w:r>
        <w:t xml:space="preserve">Alvarez-Melis, D. and Jaakkola, T.S. (2018) 'On the robustness of interpretability methods', </w:t>
      </w:r>
      <w:r>
        <w:rPr>
          <w:b w:val="0"/>
          <w:i/>
        </w:rPr>
        <w:t>arXiv preprint arXiv:1806.08049</w:t>
      </w:r>
      <w:r>
        <w:t>. Available at: https://doi.org/10.48550/arXiv.1806.08049.</w:t>
      </w:r>
    </w:p>
    <w:p>
      <w:pPr>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vol. 198, pp. 44:1-44:23. Available at: https://proceedings.mlr.press/v198/amara22a.html.</w:t>
      </w:r>
    </w:p>
    <w:p>
      <w:pPr>
        <w:spacing w:line="240" w:lineRule="auto" w:after="40"/>
        <w:ind w:left="720" w:hanging="720"/>
        <w:jc w:val="left"/>
      </w:pPr>
      <w:r>
        <w:t xml:space="preserve">Bekkemoen, Y. (2024) 'Explainable reinforcement learning (XRL): A systematic literature review and taxonomy', </w:t>
      </w:r>
      <w:r>
        <w:rPr>
          <w:b w:val="0"/>
          <w:i/>
        </w:rPr>
        <w:t>Machine Learning</w:t>
      </w:r>
      <w:r>
        <w:t>, vol. 113, no. 1, pp. 355-441. Available at: https://doi.org/10.1007/s10994-023-06479-7.</w:t>
      </w:r>
    </w:p>
    <w:p>
      <w:pPr>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Available at: https://openreview.net/forum?id=QFYnKlBJYR.</w:t>
      </w:r>
    </w:p>
    <w:p>
      <w:pPr>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pp. 4443-4458. Available at: https://doi.org/10.18653/v1/2020.acl-main.408.</w:t>
      </w:r>
    </w:p>
    <w:p>
      <w:pPr>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vol. 80, pp. 1792-1801. Available at: https://proceedings.mlr.press/v80/greydanus18a.html.</w:t>
      </w:r>
    </w:p>
    <w:p>
      <w:pPr>
        <w:spacing w:line="240" w:lineRule="auto" w:after="40"/>
        <w:ind w:left="720" w:hanging="720"/>
        <w:jc w:val="left"/>
      </w:pPr>
      <w:r>
        <w:t xml:space="preserve">Heuillet, A., Couthouis, F. and Diaz-Rodriguez, N. (2021) 'Explainability in deep reinforcement learning', </w:t>
      </w:r>
      <w:r>
        <w:rPr>
          <w:b w:val="0"/>
          <w:i/>
        </w:rPr>
        <w:t>Knowledge-Based Systems</w:t>
      </w:r>
      <w:r>
        <w:t>, vol. 214, article 106685. Available at: https://doi.org/10.1016/j.knosys.2020.106685.</w:t>
      </w:r>
    </w:p>
    <w:p>
      <w:pPr>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vol. 32. Available at: https://proceedings.neurips.cc/paper/2019/hash/fe4b8556000d0f0cae99daa5c5c5a410-Abstract.html.</w:t>
      </w:r>
    </w:p>
    <w:p>
      <w:pPr>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vol. 26, no. 10, pp. 15407-15421. Available at: https://doi.org/10.1109/TITS.2025.3595653.</w:t>
      </w:r>
    </w:p>
    <w:p>
      <w:pPr>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vol. 97, pp. 2961-2970. Available at: https://proceedings.mlr.press/v97/iqbal19a.html.</w:t>
      </w:r>
    </w:p>
    <w:p>
      <w:pPr>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pp. 4198-4205. Available at: https://doi.org/10.18653/v1/2020.acl-main.386.</w:t>
      </w:r>
    </w:p>
    <w:p>
      <w:pPr>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vol. 1, pp. 3543-3556. Available at: https://aclanthology.org/N19-1357/.</w:t>
      </w:r>
    </w:p>
    <w:p>
      <w:pPr>
        <w:spacing w:line="240" w:lineRule="auto" w:after="40"/>
        <w:ind w:left="720" w:hanging="720"/>
        <w:jc w:val="left"/>
      </w:pPr>
      <w:r>
        <w:t xml:space="preserve">Kaul, S., Yates, R. and Gruteser, M. (2012) 'Real-time status: How often should one update?', in </w:t>
      </w:r>
      <w:r>
        <w:rPr>
          <w:b w:val="0"/>
          <w:i/>
        </w:rPr>
        <w:t>Proceedings of IEEE INFOCOM</w:t>
      </w:r>
      <w:r>
        <w:t>, pp. 2731-2735. Available at: https://doi.org/10.1109/INFCOM.2012.6195689.</w:t>
      </w:r>
    </w:p>
    <w:p>
      <w:pPr>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pp. 1774-1783. Available at: https://doi.org/10.1145/3219819.3219993.</w:t>
      </w:r>
    </w:p>
    <w:p>
      <w:pPr>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vol. 162, pp. 13528-13556. Available at: https://proceedings.mlr.press/v162/liotet22a.html.</w:t>
      </w:r>
    </w:p>
    <w:p>
      <w:pPr>
        <w:spacing w:line="240" w:lineRule="auto" w:after="40"/>
        <w:ind w:left="720" w:hanging="720"/>
        <w:jc w:val="left"/>
      </w:pPr>
      <w:r>
        <w:t xml:space="preserve">Lipton, Z.C. (2018) 'The mythos of model interpretability', </w:t>
      </w:r>
      <w:r>
        <w:rPr>
          <w:b w:val="0"/>
          <w:i/>
        </w:rPr>
        <w:t>Queue</w:t>
      </w:r>
      <w:r>
        <w:t>, vol. 16, no. 3, pp. 31-57. Available at: https://doi.org/10.1145/3236386.3241340.</w:t>
      </w:r>
    </w:p>
    <w:p>
      <w:pPr>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vol. 162, pp. 13807-13824. Available at: https://proceedings.mlr.press/v162/liu22i.html.</w:t>
      </w:r>
    </w:p>
    <w:p>
      <w:pPr>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pp. 2575-2582. Available at: https://doi.org/10.1109/ITSC.2018.8569938.</w:t>
      </w:r>
    </w:p>
    <w:p>
      <w:pPr>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vol. 30. Available at: https://proceedings.neurips.cc/paper/2017/hash/68a9750337a418a86fe06c1991a1d64c-Abstract.html.</w:t>
      </w:r>
    </w:p>
    <w:p>
      <w:pPr>
        <w:spacing w:line="240" w:lineRule="auto" w:after="40"/>
        <w:ind w:left="720" w:hanging="720"/>
        <w:jc w:val="left"/>
      </w:pPr>
      <w:r>
        <w:t xml:space="preserve">Luo, D. et al. (2020) 'Parameterized explainer for graph neural network', </w:t>
      </w:r>
      <w:r>
        <w:rPr>
          <w:b w:val="0"/>
          <w:i/>
        </w:rPr>
        <w:t>Advances in Neural Information Processing Systems</w:t>
      </w:r>
      <w:r>
        <w:t>, vol. 33, pp. 19620-19631. Available at: https://proceedings.neurips.cc/paper/2020/hash/e37b08dd3015330dcbb5d6663667b8b8-Abstract.html.</w:t>
      </w:r>
    </w:p>
    <w:p>
      <w:pPr>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vol. 34, no. 3, pp. 2493-2500. Available at: https://doi.org/10.1609/aaai.v34i03.5631.</w:t>
      </w:r>
    </w:p>
    <w:p>
      <w:pPr>
        <w:spacing w:line="240" w:lineRule="auto" w:after="40"/>
        <w:ind w:left="720" w:hanging="720"/>
        <w:jc w:val="left"/>
      </w:pPr>
      <w:r>
        <w:t xml:space="preserve">Milani, S. et al. (2024) 'Explainable reinforcement learning: A survey and comparative review', </w:t>
      </w:r>
      <w:r>
        <w:rPr>
          <w:b w:val="0"/>
          <w:i/>
        </w:rPr>
        <w:t>ACM Computing Surveys</w:t>
      </w:r>
      <w:r>
        <w:t>, vol. 56, no. 7, pp. 1-36. Available at: https://doi.org/10.1145/3616864.</w:t>
      </w:r>
    </w:p>
    <w:p>
      <w:pPr>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vol. 32. Available at: https://proceedings.neurips.cc/paper/2019/hash/e9510081ac30ffa83f10b68cde1cac07-Abstract.html.</w:t>
      </w:r>
    </w:p>
    <w:p>
      <w:pPr>
        <w:spacing w:line="240" w:lineRule="auto" w:after="40"/>
        <w:ind w:left="720" w:hanging="720"/>
        <w:jc w:val="left"/>
      </w:pPr>
      <w:r>
        <w:t xml:space="preserve">Puiutta, E. and Veith, E.M.S.P. (2020) 'Explainable reinforcement learning: A survey', in Holzinger, A. et al. (eds.) </w:t>
      </w:r>
      <w:r>
        <w:rPr>
          <w:b w:val="0"/>
          <w:i/>
        </w:rPr>
        <w:t>Machine Learning and Knowledge Extraction</w:t>
      </w:r>
      <w:r>
        <w:t>. Lecture Notes in Computer Science, vol. 12279. Cham: Springer, pp. 77-95. Available at: https://doi.org/10.1007/978-3-030-57321-8_5.</w:t>
      </w:r>
    </w:p>
    <w:p>
      <w:pPr>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vol. 144, article 103852. Available at: https://doi.org/10.1016/j.trc.2022.103852.</w:t>
      </w:r>
    </w:p>
    <w:p>
      <w:pPr>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vol. 21, no. 178, pp. 1-51. Available at: https://jmlr.org/papers/v21/20-081.html.</w:t>
      </w:r>
    </w:p>
    <w:p>
      <w:pPr>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pp. 1135-1144. Available at: https://doi.org/10.1145/2939672.2939778.</w:t>
      </w:r>
    </w:p>
    <w:p>
      <w:pPr>
        <w:spacing w:line="240" w:lineRule="auto" w:after="40"/>
        <w:ind w:left="720" w:hanging="720"/>
        <w:jc w:val="left"/>
      </w:pPr>
      <w:r>
        <w:t xml:space="preserve">Scarselli, F. et al. (2009) 'The graph neural network model', </w:t>
      </w:r>
      <w:r>
        <w:rPr>
          <w:b w:val="0"/>
          <w:i/>
        </w:rPr>
        <w:t>IEEE Transactions on Neural Networks</w:t>
      </w:r>
      <w:r>
        <w:t>, vol. 20, no. 1, pp. 61-80. Available at: https://doi.org/10.1109/TNN.2008.2005605.</w:t>
      </w:r>
    </w:p>
    <w:p>
      <w:pPr>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pp. 2931-2951. Available at: https://doi.org/10.18653/v1/P19-1282.</w:t>
      </w:r>
    </w:p>
    <w:p>
      <w:pPr>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vol. 16, article 5461. Available at: https://doi.org/10.1038/s41598-026-35004-8.</w:t>
      </w:r>
    </w:p>
    <w:p>
      <w:pPr>
        <w:spacing w:line="240" w:lineRule="auto" w:after="40"/>
        <w:ind w:left="720" w:hanging="720"/>
        <w:jc w:val="left"/>
      </w:pPr>
      <w:r>
        <w:t xml:space="preserve">Tabassi, E. (2023) </w:t>
      </w:r>
      <w:r>
        <w:rPr>
          <w:b w:val="0"/>
          <w:i/>
        </w:rPr>
        <w:t>Artificial Intelligence Risk Management Framework (AI RMF 1.0)</w:t>
      </w:r>
      <w:r>
        <w:t>. NIST AI 100-1. Gaithersburg, MD: National Institute of Standards and Technology. Available at: https://doi.org/10.6028/NIST.AI.100-1.</w:t>
      </w:r>
    </w:p>
    <w:p>
      <w:pPr>
        <w:spacing w:line="240" w:lineRule="auto" w:after="40"/>
        <w:ind w:left="720" w:hanging="720"/>
        <w:jc w:val="left"/>
      </w:pPr>
      <w:r>
        <w:t xml:space="preserve">Vaswani, A. et al. (2017) 'Attention is all you need', </w:t>
      </w:r>
      <w:r>
        <w:rPr>
          <w:b w:val="0"/>
          <w:i/>
        </w:rPr>
        <w:t>Advances in Neural Information Processing Systems</w:t>
      </w:r>
      <w:r>
        <w:t>, vol. 30, pp. 5998-6008. Available at: https://proceedings.neurips.cc/paper/2017/hash/3f5ee243547dee91fbd053c1c4a845aa-Abstract.html.</w:t>
      </w:r>
    </w:p>
    <w:p>
      <w:pPr>
        <w:spacing w:line="240" w:lineRule="auto" w:after="40"/>
        <w:ind w:left="720" w:hanging="720"/>
        <w:jc w:val="left"/>
      </w:pPr>
      <w:r>
        <w:t xml:space="preserve">Velickovic, P. et al. (2018) 'Graph attention networks', in </w:t>
      </w:r>
      <w:r>
        <w:rPr>
          <w:b w:val="0"/>
          <w:i/>
        </w:rPr>
        <w:t>Proceedings of the International Conference on Learning Representations</w:t>
      </w:r>
      <w:r>
        <w:t>. Available at: https://openreview.net/forum?id=rJXMpikCZ.</w:t>
      </w:r>
    </w:p>
    <w:p>
      <w:pPr>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vol. 1, pp. 1457-1468. Available at: https://doi.org/10.1145/3690624.3709205.</w:t>
      </w:r>
    </w:p>
    <w:p>
      <w:pPr>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pp. 11-20. Available at: https://doi.org/10.18653/v1/D19-1002.</w:t>
      </w:r>
    </w:p>
    <w:p>
      <w:pPr>
        <w:spacing w:line="240" w:lineRule="auto" w:after="40"/>
        <w:ind w:left="720" w:hanging="720"/>
        <w:jc w:val="left"/>
      </w:pPr>
      <w:r>
        <w:t xml:space="preserve">Yates, R.D. et al. (2021) 'Age of information: An introduction and survey', </w:t>
      </w:r>
      <w:r>
        <w:rPr>
          <w:b w:val="0"/>
          <w:i/>
        </w:rPr>
        <w:t>IEEE Journal on Selected Areas in Communications</w:t>
      </w:r>
      <w:r>
        <w:t>, vol. 39, no. 5, pp. 1183-1210. Available at: https://doi.org/10.1109/JSAC.2021.3065072.</w:t>
      </w:r>
    </w:p>
    <w:p>
      <w:pPr>
        <w:spacing w:line="240" w:lineRule="auto" w:after="40"/>
        <w:ind w:left="720" w:hanging="720"/>
        <w:jc w:val="left"/>
      </w:pPr>
      <w:r>
        <w:t xml:space="preserve">Ying, R. et al. (2019) 'GNNExplainer: Generating explanations for graph neural networks', </w:t>
      </w:r>
      <w:r>
        <w:rPr>
          <w:b w:val="0"/>
          <w:i/>
        </w:rPr>
        <w:t>Advances in Neural Information Processing Systems</w:t>
      </w:r>
      <w:r>
        <w:t>, vol. 32, pp. 9240-9251. Available at: https://proceedings.neurips.cc/paper/2019/hash/d80b7040b773199015de6d3b4293c8ff-Abstract.html.</w:t>
      </w:r>
    </w:p>
    <w:p>
      <w:pPr>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vol. 35, pp. 24611-24624. Available at: https://doi.org/10.52202/068431-1787.</w:t>
      </w:r>
    </w:p>
    <w:p>
      <w:pPr>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vol. 45, no. 5, pp. 5782-5799. Available at: https://doi.org/10.1109/TPAMI.2022.3204236.</w:t>
      </w:r>
    </w:p>
    <w:p>
      <w:pPr>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reproduction procedure is provided in docs/REPRODUCE_EXPERIMENTS.md. Compact citable outputs are stored in the version-controlled results directory identified in that guide.</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