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before="360" w:after="400"/>
        <w:jc w:val="center"/>
      </w:pPr>
      <w:r>
        <w:rPr>
          <w:rFonts w:ascii="Times New Roman" w:hAnsi="Times New Roman"/>
          <w:b/>
          <w:sz w:val="36"/>
        </w:rPr>
        <w:t>When Explanations Outlive Their Data: Faithfulness Decoupling in Graph-Attention MARL Fleet Dispatch under Telemetry Degradation</w:t>
      </w:r>
    </w:p>
    <w:p>
      <w:pPr>
        <w:spacing w:after="200"/>
        <w:jc w:val="center"/>
      </w:pPr>
      <w:r>
        <w:rPr>
          <w:rFonts w:ascii="Times New Roman" w:hAnsi="Times New Roman"/>
          <w:sz w:val="24"/>
        </w:rPr>
        <w:t>A Master's Dissertation</w:t>
      </w:r>
    </w:p>
    <w:p>
      <w:pPr>
        <w:spacing w:after="240"/>
        <w:jc w:val="center"/>
      </w:pPr>
      <w:r>
        <w:rPr>
          <w:rFonts w:ascii="Times New Roman" w:hAnsi="Times New Roman"/>
          <w:sz w:val="24"/>
        </w:rPr>
        <w:t>submitted in partial fulfilment of the requirements for the award of the degree of</w:t>
      </w:r>
    </w:p>
    <w:p>
      <w:pPr>
        <w:spacing w:after="320"/>
        <w:jc w:val="center"/>
      </w:pPr>
      <w:r>
        <w:rPr>
          <w:rFonts w:ascii="Times New Roman" w:hAnsi="Times New Roman"/>
          <w:b/>
          <w:sz w:val="28"/>
        </w:rPr>
        <w:t>Master of Science (MSc)</w:t>
      </w:r>
    </w:p>
    <w:p>
      <w:pPr>
        <w:jc w:val="center"/>
      </w:pPr>
      <w:r>
        <w:rPr>
          <w:rFonts w:ascii="Times New Roman" w:hAnsi="Times New Roman"/>
          <w:sz w:val="24"/>
        </w:rPr>
        <w:t>By</w:t>
      </w:r>
    </w:p>
    <w:p>
      <w:pPr>
        <w:spacing w:after="280"/>
        <w:jc w:val="center"/>
      </w:pPr>
      <w:r>
        <w:rPr>
          <w:rFonts w:ascii="Times New Roman" w:hAnsi="Times New Roman"/>
          <w:b/>
          <w:sz w:val="28"/>
        </w:rPr>
        <w:t>Hongwei Lin</w:t>
        <w:br/>
        <w:t>P2982757</w:t>
      </w:r>
    </w:p>
    <w:p>
      <w:pPr>
        <w:spacing w:after="200"/>
        <w:jc w:val="center"/>
      </w:pPr>
      <w:r>
        <w:rPr>
          <w:rFonts w:ascii="Times New Roman" w:hAnsi="Times New Roman"/>
          <w:sz w:val="24"/>
        </w:rPr>
        <w:t>Supervisor: Farhan S. Ujager</w:t>
      </w:r>
    </w:p>
    <w:p>
      <w:pPr>
        <w:spacing w:after="160"/>
        <w:jc w:val="center"/>
      </w:pPr>
      <w:r>
        <w:drawing>
          <wp:inline xmlns:a="http://schemas.openxmlformats.org/drawingml/2006/main" xmlns:pic="http://schemas.openxmlformats.org/drawingml/2006/picture">
            <wp:extent cx="2560320" cy="1035855"/>
            <wp:docPr id="1" name="Picture 1"/>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2560320" cy="1035855"/>
                    </a:xfrm>
                    <a:prstGeom prst="rect"/>
                  </pic:spPr>
                </pic:pic>
              </a:graphicData>
            </a:graphic>
          </wp:inline>
        </w:drawing>
      </w:r>
    </w:p>
    <w:p>
      <w:pPr>
        <w:spacing w:after="120"/>
        <w:jc w:val="center"/>
      </w:pPr>
      <w:r>
        <w:rPr>
          <w:rFonts w:ascii="Times New Roman" w:hAnsi="Times New Roman"/>
          <w:b/>
          <w:sz w:val="32"/>
        </w:rPr>
        <w:t>School of Computing</w:t>
      </w:r>
    </w:p>
    <w:p>
      <w:pPr>
        <w:spacing w:after="120"/>
        <w:jc w:val="center"/>
      </w:pPr>
      <w:r>
        <w:rPr>
          <w:rFonts w:ascii="Times New Roman" w:hAnsi="Times New Roman"/>
          <w:b/>
          <w:sz w:val="32"/>
        </w:rPr>
        <w:t>De Montfort University, Dubai</w:t>
      </w:r>
    </w:p>
    <w:p>
      <w:pPr>
        <w:spacing w:after="120"/>
        <w:jc w:val="center"/>
      </w:pPr>
      <w:r>
        <w:rPr>
          <w:rFonts w:ascii="Times New Roman" w:hAnsi="Times New Roman"/>
          <w:b/>
          <w:sz w:val="28"/>
        </w:rPr>
        <w:t>August 2026</w:t>
      </w:r>
    </w:p>
    <w:p>
      <w:pPr>
        <w:sectPr>
          <w:footerReference w:type="even" r:id="rId13"/>
          <w:footerReference w:type="default" r:id="rId14"/>
          <w:footerReference w:type="first" r:id="rId15"/>
          <w:pgSz w:w="11909" w:h="16834"/>
          <w:pgMar w:top="850" w:right="1440" w:bottom="1483" w:left="1440" w:header="720" w:footer="720" w:gutter="0"/>
          <w:pgNumType w:start="1"/>
          <w:cols w:space="720"/>
        </w:sectPr>
      </w:pPr>
    </w:p>
    <w:p>
      <w:pPr>
        <w:keepNext/>
        <w:spacing w:after="360"/>
        <w:jc w:val="center"/>
      </w:pPr>
      <w:r>
        <w:rPr>
          <w:rFonts w:ascii="Times New Roman" w:hAnsi="Times New Roman"/>
          <w:b/>
          <w:sz w:val="28"/>
        </w:rPr>
        <w:t>DECLARATION</w:t>
      </w:r>
    </w:p>
    <w:p>
      <w:pPr>
        <w:spacing w:line="480" w:lineRule="auto" w:after="120"/>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p>
      <w:pPr>
        <w:spacing w:line="276" w:lineRule="auto" w:after="120"/>
        <w:jc w:val="both"/>
      </w:pPr>
      <w:r>
        <w:rPr>
          <w:rFonts w:ascii="Times New Roman" w:hAnsi="Times New Roman"/>
          <w:sz w:val="24"/>
        </w:rPr>
        <w:t>Signature: ______________________________</w:t>
      </w:r>
    </w:p>
    <w:p>
      <w:pPr>
        <w:spacing w:line="276" w:lineRule="auto" w:after="120"/>
        <w:jc w:val="both"/>
      </w:pPr>
      <w:r>
        <w:rPr>
          <w:rFonts w:ascii="Times New Roman" w:hAnsi="Times New Roman"/>
          <w:sz w:val="24"/>
        </w:rPr>
        <w:t>Name: Hongwei Lin</w:t>
      </w:r>
    </w:p>
    <w:p>
      <w:pPr>
        <w:spacing w:line="276" w:lineRule="auto" w:after="120"/>
        <w:jc w:val="both"/>
      </w:pPr>
      <w:r>
        <w:rPr>
          <w:rFonts w:ascii="Times New Roman" w:hAnsi="Times New Roman"/>
          <w:sz w:val="24"/>
        </w:rPr>
        <w:t>Date: ______________________________</w:t>
      </w:r>
    </w:p>
    <w:p>
      <w:r>
        <w:br w:type="page"/>
      </w:r>
    </w:p>
    <w:p>
      <w:pPr>
        <w:keepNext/>
        <w:spacing w:after="360"/>
        <w:jc w:val="center"/>
      </w:pPr>
      <w:r>
        <w:rPr>
          <w:rFonts w:ascii="Times New Roman" w:hAnsi="Times New Roman"/>
          <w:b/>
          <w:sz w:val="28"/>
        </w:rPr>
        <w:t>ACKNOWLEDGEMENT</w:t>
      </w:r>
    </w:p>
    <w:p>
      <w:pPr>
        <w:spacing w:line="276" w:lineRule="auto" w:after="120"/>
        <w:jc w:val="both"/>
      </w:pPr>
      <w:r>
        <w:rPr>
          <w:rFonts w:ascii="Times New Roman" w:hAnsi="Times New Roman"/>
          <w:i w:val="0"/>
          <w:sz w:val="24"/>
        </w:rPr>
        <w:t>I would like to express my sincere gratitude to my supervisor, Dr Farhan S. Ujager, for his valuable support, guidance, and encouragement throughout this research.</w:t>
      </w:r>
    </w:p>
    <w:p>
      <w:pPr>
        <w:spacing w:before="6000" w:after="160"/>
        <w:jc w:val="left"/>
      </w:pPr>
      <w:r>
        <w:rPr>
          <w:rFonts w:ascii="Times New Roman" w:hAnsi="Times New Roman"/>
          <w:sz w:val="24"/>
        </w:rPr>
        <w:t>Student signature: ______________________________</w:t>
      </w:r>
    </w:p>
    <w:p>
      <w:pPr>
        <w:spacing w:after="0"/>
        <w:jc w:val="left"/>
      </w:pPr>
      <w:r>
        <w:rPr>
          <w:rFonts w:ascii="Times New Roman" w:hAnsi="Times New Roman"/>
          <w:b/>
          <w:sz w:val="24"/>
        </w:rPr>
        <w:t>Student name: Hongwei Lin</w:t>
      </w:r>
    </w:p>
    <w:p>
      <w:r>
        <w:br w:type="page"/>
      </w:r>
    </w:p>
    <w:p>
      <w:pPr>
        <w:keepNext/>
        <w:spacing w:after="360"/>
        <w:jc w:val="center"/>
      </w:pPr>
      <w:r>
        <w:rPr>
          <w:rFonts w:ascii="Times New Roman" w:hAnsi="Times New Roman"/>
          <w:b/>
          <w:sz w:val="28"/>
        </w:rPr>
        <w:t>LIST OF FIGURES</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7992"/>
        <w:gridCol w:w="936"/>
      </w:tblGrid>
      <w:tr>
        <w:tc>
          <w:tcPr>
            <w:tcW w:type="dxa" w:w="4514"/>
            <w:shd w:fill="9E1B45"/>
          </w:tcPr>
          <w:p>
            <w:pPr>
              <w:jc w:val="center"/>
            </w:pPr>
            <w:r>
              <w:rPr>
                <w:rFonts w:ascii="Times New Roman" w:hAnsi="Times New Roman"/>
                <w:b/>
                <w:color w:val="FFFFFF"/>
                <w:sz w:val="20"/>
              </w:rPr>
              <w:t>Title</w:t>
            </w:r>
          </w:p>
        </w:tc>
        <w:tc>
          <w:tcPr>
            <w:tcW w:type="dxa" w:w="4514"/>
            <w:shd w:fill="9E1B45"/>
          </w:tcPr>
          <w:p>
            <w:pPr>
              <w:jc w:val="center"/>
            </w:pPr>
            <w:r>
              <w:rPr>
                <w:rFonts w:ascii="Times New Roman" w:hAnsi="Times New Roman"/>
                <w:b/>
                <w:color w:val="FFFFFF"/>
                <w:sz w:val="20"/>
              </w:rPr>
              <w:t>Page</w:t>
            </w:r>
          </w:p>
        </w:tc>
      </w:tr>
      <w:tr>
        <w:trPr>
          <w:cantSplit/>
        </w:trPr>
        <w:tc>
          <w:tcPr>
            <w:tcW w:type="dxa" w:w="7992"/>
            <w:tcMar>
              <w:top w:w="45" w:type="dxa"/>
              <w:start w:w="70" w:type="dxa"/>
              <w:bottom w:w="45" w:type="dxa"/>
              <w:end w:w="70" w:type="dxa"/>
            </w:tcMar>
          </w:tcPr>
          <w:p>
            <w:pPr>
              <w:ind w:left="0"/>
            </w:pPr>
            <w:r>
              <w:rPr>
                <w:rFonts w:ascii="Times New Roman" w:hAnsi="Times New Roman"/>
                <w:sz w:val="20"/>
              </w:rPr>
              <w:t>Figure 3.1: Telemetry degradation data flow</w:t>
            </w:r>
          </w:p>
        </w:tc>
        <w:tc>
          <w:tcPr>
            <w:tcW w:type="dxa" w:w="936"/>
            <w:tcMar>
              <w:top w:w="45" w:type="dxa"/>
              <w:start w:w="70" w:type="dxa"/>
              <w:bottom w:w="45" w:type="dxa"/>
              <w:end w:w="70" w:type="dxa"/>
            </w:tcMar>
          </w:tcPr>
          <w:p>
            <w:pPr>
              <w:jc w:val="center"/>
            </w:pPr>
            <w:r>
              <w:rPr>
                <w:rFonts w:ascii="Times New Roman" w:hAnsi="Times New Roman"/>
                <w:sz w:val="20"/>
              </w:rPr>
              <w:t>5</w:t>
            </w:r>
          </w:p>
        </w:tc>
      </w:tr>
      <w:tr>
        <w:trPr>
          <w:cantSplit/>
        </w:trPr>
        <w:tc>
          <w:tcPr>
            <w:tcW w:type="dxa" w:w="7992"/>
            <w:tcMar>
              <w:top w:w="45" w:type="dxa"/>
              <w:start w:w="70" w:type="dxa"/>
              <w:bottom w:w="45" w:type="dxa"/>
              <w:end w:w="70" w:type="dxa"/>
            </w:tcMar>
          </w:tcPr>
          <w:p>
            <w:pPr>
              <w:ind w:left="0"/>
            </w:pPr>
            <w:r>
              <w:rPr>
                <w:rFonts w:ascii="Times New Roman" w:hAnsi="Times New Roman"/>
                <w:sz w:val="20"/>
              </w:rPr>
              <w:t>Figure 3.2: Decision-level explanation faithfulness occlusion protocol</w:t>
            </w:r>
          </w:p>
        </w:tc>
        <w:tc>
          <w:tcPr>
            <w:tcW w:type="dxa" w:w="936"/>
            <w:tcMar>
              <w:top w:w="45" w:type="dxa"/>
              <w:start w:w="70" w:type="dxa"/>
              <w:bottom w:w="45" w:type="dxa"/>
              <w:end w:w="70" w:type="dxa"/>
            </w:tcMar>
          </w:tcPr>
          <w:p>
            <w:pPr>
              <w:jc w:val="center"/>
            </w:pPr>
            <w:r>
              <w:rPr>
                <w:rFonts w:ascii="Times New Roman" w:hAnsi="Times New Roman"/>
                <w:sz w:val="20"/>
              </w:rPr>
              <w:t>7</w:t>
            </w:r>
          </w:p>
        </w:tc>
      </w:tr>
      <w:tr>
        <w:trPr>
          <w:cantSplit/>
        </w:trPr>
        <w:tc>
          <w:tcPr>
            <w:tcW w:type="dxa" w:w="7992"/>
            <w:tcMar>
              <w:top w:w="45" w:type="dxa"/>
              <w:start w:w="70" w:type="dxa"/>
              <w:bottom w:w="45" w:type="dxa"/>
              <w:end w:w="70" w:type="dxa"/>
            </w:tcMar>
          </w:tcPr>
          <w:p>
            <w:pPr>
              <w:ind w:left="0"/>
            </w:pPr>
            <w:r>
              <w:rPr>
                <w:rFonts w:ascii="Times New Roman" w:hAnsi="Times New Roman"/>
                <w:sz w:val="20"/>
              </w:rPr>
              <w:t>Figure 4.1: Model conditions and training process</w:t>
            </w:r>
          </w:p>
        </w:tc>
        <w:tc>
          <w:tcPr>
            <w:tcW w:type="dxa" w:w="936"/>
            <w:tcMar>
              <w:top w:w="45" w:type="dxa"/>
              <w:start w:w="70" w:type="dxa"/>
              <w:bottom w:w="45" w:type="dxa"/>
              <w:end w:w="70" w:type="dxa"/>
            </w:tcMar>
          </w:tcPr>
          <w:p>
            <w:pPr>
              <w:jc w:val="center"/>
            </w:pPr>
            <w:r>
              <w:rPr>
                <w:rFonts w:ascii="Times New Roman" w:hAnsi="Times New Roman"/>
                <w:sz w:val="20"/>
              </w:rPr>
              <w:t>9</w:t>
            </w:r>
          </w:p>
        </w:tc>
      </w:tr>
      <w:tr>
        <w:trPr>
          <w:cantSplit/>
        </w:trPr>
        <w:tc>
          <w:tcPr>
            <w:tcW w:type="dxa" w:w="7992"/>
            <w:tcMar>
              <w:top w:w="45" w:type="dxa"/>
              <w:start w:w="70" w:type="dxa"/>
              <w:bottom w:w="45" w:type="dxa"/>
              <w:end w:w="70" w:type="dxa"/>
            </w:tcMar>
          </w:tcPr>
          <w:p>
            <w:pPr>
              <w:ind w:left="0"/>
            </w:pPr>
            <w:r>
              <w:rPr>
                <w:rFonts w:ascii="Times New Roman" w:hAnsi="Times New Roman"/>
                <w:sz w:val="20"/>
              </w:rPr>
              <w:t>Figure 4.2: Observation graph for one dispatch decision</w:t>
            </w:r>
          </w:p>
        </w:tc>
        <w:tc>
          <w:tcPr>
            <w:tcW w:type="dxa" w:w="936"/>
            <w:tcMar>
              <w:top w:w="45" w:type="dxa"/>
              <w:start w:w="70" w:type="dxa"/>
              <w:bottom w:w="45" w:type="dxa"/>
              <w:end w:w="70" w:type="dxa"/>
            </w:tcMar>
          </w:tcPr>
          <w:p>
            <w:pPr>
              <w:jc w:val="center"/>
            </w:pPr>
            <w:r>
              <w:rPr>
                <w:rFonts w:ascii="Times New Roman" w:hAnsi="Times New Roman"/>
                <w:sz w:val="20"/>
              </w:rPr>
              <w:t>10</w:t>
            </w:r>
          </w:p>
        </w:tc>
      </w:tr>
      <w:tr>
        <w:trPr>
          <w:cantSplit/>
        </w:trPr>
        <w:tc>
          <w:tcPr>
            <w:tcW w:type="dxa" w:w="7992"/>
            <w:tcMar>
              <w:top w:w="45" w:type="dxa"/>
              <w:start w:w="70" w:type="dxa"/>
              <w:bottom w:w="45" w:type="dxa"/>
              <w:end w:w="70" w:type="dxa"/>
            </w:tcMar>
          </w:tcPr>
          <w:p>
            <w:pPr>
              <w:ind w:left="0"/>
            </w:pPr>
            <w:r>
              <w:rPr>
                <w:rFonts w:ascii="Times New Roman" w:hAnsi="Times New Roman"/>
                <w:sz w:val="20"/>
              </w:rPr>
              <w:t>Figure 4.3: Simplified graph-attention design</w:t>
            </w:r>
          </w:p>
        </w:tc>
        <w:tc>
          <w:tcPr>
            <w:tcW w:type="dxa" w:w="936"/>
            <w:tcMar>
              <w:top w:w="45" w:type="dxa"/>
              <w:start w:w="70" w:type="dxa"/>
              <w:bottom w:w="45" w:type="dxa"/>
              <w:end w:w="70" w:type="dxa"/>
            </w:tcMar>
          </w:tcPr>
          <w:p>
            <w:pPr>
              <w:jc w:val="center"/>
            </w:pPr>
            <w:r>
              <w:rPr>
                <w:rFonts w:ascii="Times New Roman" w:hAnsi="Times New Roman"/>
                <w:sz w:val="20"/>
              </w:rPr>
              <w:t>10</w:t>
            </w:r>
          </w:p>
        </w:tc>
      </w:tr>
      <w:tr>
        <w:trPr>
          <w:cantSplit/>
        </w:trPr>
        <w:tc>
          <w:tcPr>
            <w:tcW w:type="dxa" w:w="7992"/>
            <w:tcMar>
              <w:top w:w="45" w:type="dxa"/>
              <w:start w:w="70" w:type="dxa"/>
              <w:bottom w:w="45" w:type="dxa"/>
              <w:end w:w="70" w:type="dxa"/>
            </w:tcMar>
          </w:tcPr>
          <w:p>
            <w:pPr>
              <w:ind w:left="0"/>
            </w:pPr>
            <w:r>
              <w:rPr>
                <w:rFonts w:ascii="Times New Roman" w:hAnsi="Times New Roman"/>
                <w:sz w:val="20"/>
              </w:rPr>
              <w:t>Figure 5.1: Clean-telemetry faithfulness audit</w:t>
            </w:r>
          </w:p>
        </w:tc>
        <w:tc>
          <w:tcPr>
            <w:tcW w:type="dxa" w:w="936"/>
            <w:tcMar>
              <w:top w:w="45" w:type="dxa"/>
              <w:start w:w="70" w:type="dxa"/>
              <w:bottom w:w="45" w:type="dxa"/>
              <w:end w:w="70" w:type="dxa"/>
            </w:tcMar>
          </w:tcPr>
          <w:p>
            <w:pPr>
              <w:jc w:val="center"/>
            </w:pPr>
            <w:r>
              <w:rPr>
                <w:rFonts w:ascii="Times New Roman" w:hAnsi="Times New Roman"/>
                <w:sz w:val="20"/>
              </w:rPr>
              <w:t>13</w:t>
            </w:r>
          </w:p>
        </w:tc>
      </w:tr>
      <w:tr>
        <w:trPr>
          <w:cantSplit/>
        </w:trPr>
        <w:tc>
          <w:tcPr>
            <w:tcW w:type="dxa" w:w="7992"/>
            <w:tcMar>
              <w:top w:w="45" w:type="dxa"/>
              <w:start w:w="70" w:type="dxa"/>
              <w:bottom w:w="45" w:type="dxa"/>
              <w:end w:w="70" w:type="dxa"/>
            </w:tcMar>
          </w:tcPr>
          <w:p>
            <w:pPr>
              <w:ind w:left="0"/>
            </w:pPr>
            <w:r>
              <w:rPr>
                <w:rFonts w:ascii="Times New Roman" w:hAnsi="Times New Roman"/>
                <w:sz w:val="20"/>
              </w:rPr>
              <w:t>Figure 5.2: Capability spectrum under uniform and type-matched baselines</w:t>
            </w:r>
          </w:p>
        </w:tc>
        <w:tc>
          <w:tcPr>
            <w:tcW w:type="dxa" w:w="936"/>
            <w:tcMar>
              <w:top w:w="45" w:type="dxa"/>
              <w:start w:w="70" w:type="dxa"/>
              <w:bottom w:w="45" w:type="dxa"/>
              <w:end w:w="70" w:type="dxa"/>
            </w:tcMar>
          </w:tcPr>
          <w:p>
            <w:pPr>
              <w:jc w:val="center"/>
            </w:pPr>
            <w:r>
              <w:rPr>
                <w:rFonts w:ascii="Times New Roman" w:hAnsi="Times New Roman"/>
                <w:sz w:val="20"/>
              </w:rPr>
              <w:t>14</w:t>
            </w:r>
          </w:p>
        </w:tc>
      </w:tr>
      <w:tr>
        <w:trPr>
          <w:cantSplit/>
        </w:trPr>
        <w:tc>
          <w:tcPr>
            <w:tcW w:type="dxa" w:w="7992"/>
            <w:tcMar>
              <w:top w:w="45" w:type="dxa"/>
              <w:start w:w="70" w:type="dxa"/>
              <w:bottom w:w="45" w:type="dxa"/>
              <w:end w:w="70" w:type="dxa"/>
            </w:tcMar>
          </w:tcPr>
          <w:p>
            <w:pPr>
              <w:ind w:left="0"/>
            </w:pPr>
            <w:r>
              <w:rPr>
                <w:rFonts w:ascii="Times New Roman" w:hAnsi="Times New Roman"/>
                <w:sz w:val="20"/>
              </w:rPr>
              <w:t>Figure 5.3: Manipulation check for the nominal AoI ladder</w:t>
            </w:r>
          </w:p>
        </w:tc>
        <w:tc>
          <w:tcPr>
            <w:tcW w:type="dxa" w:w="936"/>
            <w:tcMar>
              <w:top w:w="45" w:type="dxa"/>
              <w:start w:w="70" w:type="dxa"/>
              <w:bottom w:w="45" w:type="dxa"/>
              <w:end w:w="70" w:type="dxa"/>
            </w:tcMar>
          </w:tcPr>
          <w:p>
            <w:pPr>
              <w:jc w:val="center"/>
            </w:pPr>
            <w:r>
              <w:rPr>
                <w:rFonts w:ascii="Times New Roman" w:hAnsi="Times New Roman"/>
                <w:sz w:val="20"/>
              </w:rPr>
              <w:t>15</w:t>
            </w:r>
          </w:p>
        </w:tc>
      </w:tr>
      <w:tr>
        <w:trPr>
          <w:cantSplit/>
        </w:trPr>
        <w:tc>
          <w:tcPr>
            <w:tcW w:type="dxa" w:w="7992"/>
            <w:tcMar>
              <w:top w:w="45" w:type="dxa"/>
              <w:start w:w="70" w:type="dxa"/>
              <w:bottom w:w="45" w:type="dxa"/>
              <w:end w:w="70" w:type="dxa"/>
            </w:tcMar>
          </w:tcPr>
          <w:p>
            <w:pPr>
              <w:ind w:left="0"/>
            </w:pPr>
            <w:r>
              <w:rPr>
                <w:rFonts w:ascii="Times New Roman" w:hAnsi="Times New Roman"/>
                <w:sz w:val="20"/>
              </w:rPr>
              <w:t>Figure 5.4: Stale-attention drift under telemetry degradation</w:t>
            </w:r>
          </w:p>
        </w:tc>
        <w:tc>
          <w:tcPr>
            <w:tcW w:type="dxa" w:w="936"/>
            <w:tcMar>
              <w:top w:w="45" w:type="dxa"/>
              <w:start w:w="70" w:type="dxa"/>
              <w:bottom w:w="45" w:type="dxa"/>
              <w:end w:w="70" w:type="dxa"/>
            </w:tcMar>
          </w:tcPr>
          <w:p>
            <w:pPr>
              <w:jc w:val="center"/>
            </w:pPr>
            <w:r>
              <w:rPr>
                <w:rFonts w:ascii="Times New Roman" w:hAnsi="Times New Roman"/>
                <w:sz w:val="20"/>
              </w:rPr>
              <w:t>17</w:t>
            </w:r>
          </w:p>
        </w:tc>
      </w:tr>
      <w:tr>
        <w:trPr>
          <w:cantSplit/>
        </w:trPr>
        <w:tc>
          <w:tcPr>
            <w:tcW w:type="dxa" w:w="7992"/>
            <w:tcMar>
              <w:top w:w="45" w:type="dxa"/>
              <w:start w:w="70" w:type="dxa"/>
              <w:bottom w:w="45" w:type="dxa"/>
              <w:end w:w="70" w:type="dxa"/>
            </w:tcMar>
          </w:tcPr>
          <w:p>
            <w:pPr>
              <w:ind w:left="0"/>
            </w:pPr>
            <w:r>
              <w:rPr>
                <w:rFonts w:ascii="Times New Roman" w:hAnsi="Times New Roman"/>
                <w:sz w:val="20"/>
              </w:rPr>
              <w:t>Figure 5.5: Coupled and decoupled explanation channels</w:t>
            </w:r>
          </w:p>
        </w:tc>
        <w:tc>
          <w:tcPr>
            <w:tcW w:type="dxa" w:w="936"/>
            <w:tcMar>
              <w:top w:w="45" w:type="dxa"/>
              <w:start w:w="70" w:type="dxa"/>
              <w:bottom w:w="45" w:type="dxa"/>
              <w:end w:w="70" w:type="dxa"/>
            </w:tcMar>
          </w:tcPr>
          <w:p>
            <w:pPr>
              <w:jc w:val="center"/>
            </w:pPr>
            <w:r>
              <w:rPr>
                <w:rFonts w:ascii="Times New Roman" w:hAnsi="Times New Roman"/>
                <w:sz w:val="20"/>
              </w:rPr>
              <w:t>19</w:t>
            </w:r>
          </w:p>
        </w:tc>
      </w:tr>
    </w:tbl>
    <w:p>
      <w:r>
        <w:br w:type="page"/>
      </w:r>
    </w:p>
    <w:p>
      <w:pPr>
        <w:keepNext/>
        <w:spacing w:after="360"/>
        <w:jc w:val="center"/>
      </w:pPr>
      <w:r>
        <w:rPr>
          <w:rFonts w:ascii="Times New Roman" w:hAnsi="Times New Roman"/>
          <w:b/>
          <w:sz w:val="28"/>
        </w:rPr>
        <w:t>LIST OF TABLES</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7992"/>
        <w:gridCol w:w="936"/>
      </w:tblGrid>
      <w:tr>
        <w:tc>
          <w:tcPr>
            <w:tcW w:type="dxa" w:w="4514"/>
            <w:shd w:fill="9E1B45"/>
          </w:tcPr>
          <w:p>
            <w:pPr>
              <w:jc w:val="center"/>
            </w:pPr>
            <w:r>
              <w:rPr>
                <w:rFonts w:ascii="Times New Roman" w:hAnsi="Times New Roman"/>
                <w:b/>
                <w:color w:val="FFFFFF"/>
                <w:sz w:val="20"/>
              </w:rPr>
              <w:t>Title</w:t>
            </w:r>
          </w:p>
        </w:tc>
        <w:tc>
          <w:tcPr>
            <w:tcW w:type="dxa" w:w="4514"/>
            <w:shd w:fill="9E1B45"/>
          </w:tcPr>
          <w:p>
            <w:pPr>
              <w:jc w:val="center"/>
            </w:pPr>
            <w:r>
              <w:rPr>
                <w:rFonts w:ascii="Times New Roman" w:hAnsi="Times New Roman"/>
                <w:b/>
                <w:color w:val="FFFFFF"/>
                <w:sz w:val="20"/>
              </w:rPr>
              <w:t>Page</w:t>
            </w:r>
          </w:p>
        </w:tc>
      </w:tr>
      <w:tr>
        <w:trPr>
          <w:cantSplit/>
        </w:trPr>
        <w:tc>
          <w:tcPr>
            <w:tcW w:type="dxa" w:w="7992"/>
            <w:tcMar>
              <w:top w:w="45" w:type="dxa"/>
              <w:start w:w="70" w:type="dxa"/>
              <w:bottom w:w="45" w:type="dxa"/>
              <w:end w:w="70" w:type="dxa"/>
            </w:tcMar>
          </w:tcPr>
          <w:p>
            <w:pPr>
              <w:ind w:left="0"/>
            </w:pPr>
            <w:r>
              <w:rPr>
                <w:rFonts w:ascii="Times New Roman" w:hAnsi="Times New Roman"/>
                <w:sz w:val="20"/>
              </w:rPr>
              <w:t>Table 4.1: Model conditions</w:t>
            </w:r>
          </w:p>
        </w:tc>
        <w:tc>
          <w:tcPr>
            <w:tcW w:type="dxa" w:w="936"/>
            <w:tcMar>
              <w:top w:w="45" w:type="dxa"/>
              <w:start w:w="70" w:type="dxa"/>
              <w:bottom w:w="45" w:type="dxa"/>
              <w:end w:w="70" w:type="dxa"/>
            </w:tcMar>
          </w:tcPr>
          <w:p>
            <w:pPr>
              <w:jc w:val="center"/>
            </w:pPr>
            <w:r>
              <w:rPr>
                <w:rFonts w:ascii="Times New Roman" w:hAnsi="Times New Roman"/>
                <w:sz w:val="20"/>
              </w:rPr>
              <w:t>9</w:t>
            </w:r>
          </w:p>
        </w:tc>
      </w:tr>
      <w:tr>
        <w:trPr>
          <w:cantSplit/>
        </w:trPr>
        <w:tc>
          <w:tcPr>
            <w:tcW w:type="dxa" w:w="7992"/>
            <w:tcMar>
              <w:top w:w="45" w:type="dxa"/>
              <w:start w:w="70" w:type="dxa"/>
              <w:bottom w:w="45" w:type="dxa"/>
              <w:end w:w="70" w:type="dxa"/>
            </w:tcMar>
          </w:tcPr>
          <w:p>
            <w:pPr>
              <w:ind w:left="0"/>
            </w:pPr>
            <w:r>
              <w:rPr>
                <w:rFonts w:ascii="Times New Roman" w:hAnsi="Times New Roman"/>
                <w:sz w:val="20"/>
              </w:rPr>
              <w:t>Table 4.2: Observation graph node types</w:t>
            </w:r>
          </w:p>
        </w:tc>
        <w:tc>
          <w:tcPr>
            <w:tcW w:type="dxa" w:w="936"/>
            <w:tcMar>
              <w:top w:w="45" w:type="dxa"/>
              <w:start w:w="70" w:type="dxa"/>
              <w:bottom w:w="45" w:type="dxa"/>
              <w:end w:w="70" w:type="dxa"/>
            </w:tcMar>
          </w:tcPr>
          <w:p>
            <w:pPr>
              <w:jc w:val="center"/>
            </w:pPr>
            <w:r>
              <w:rPr>
                <w:rFonts w:ascii="Times New Roman" w:hAnsi="Times New Roman"/>
                <w:sz w:val="20"/>
              </w:rPr>
              <w:t>11</w:t>
            </w:r>
          </w:p>
        </w:tc>
      </w:tr>
      <w:tr>
        <w:trPr>
          <w:cantSplit/>
        </w:trPr>
        <w:tc>
          <w:tcPr>
            <w:tcW w:type="dxa" w:w="7992"/>
            <w:tcMar>
              <w:top w:w="45" w:type="dxa"/>
              <w:start w:w="70" w:type="dxa"/>
              <w:bottom w:w="45" w:type="dxa"/>
              <w:end w:w="70" w:type="dxa"/>
            </w:tcMar>
          </w:tcPr>
          <w:p>
            <w:pPr>
              <w:ind w:left="0"/>
            </w:pPr>
            <w:r>
              <w:rPr>
                <w:rFonts w:ascii="Times New Roman" w:hAnsi="Times New Roman"/>
                <w:sz w:val="20"/>
              </w:rPr>
              <w:t>Table 5.1: Performance context</w:t>
            </w:r>
          </w:p>
        </w:tc>
        <w:tc>
          <w:tcPr>
            <w:tcW w:type="dxa" w:w="936"/>
            <w:tcMar>
              <w:top w:w="45" w:type="dxa"/>
              <w:start w:w="70" w:type="dxa"/>
              <w:bottom w:w="45" w:type="dxa"/>
              <w:end w:w="70" w:type="dxa"/>
            </w:tcMar>
          </w:tcPr>
          <w:p>
            <w:pPr>
              <w:jc w:val="center"/>
            </w:pPr>
            <w:r>
              <w:rPr>
                <w:rFonts w:ascii="Times New Roman" w:hAnsi="Times New Roman"/>
                <w:sz w:val="20"/>
              </w:rPr>
              <w:t>12</w:t>
            </w:r>
          </w:p>
        </w:tc>
      </w:tr>
      <w:tr>
        <w:trPr>
          <w:cantSplit/>
        </w:trPr>
        <w:tc>
          <w:tcPr>
            <w:tcW w:type="dxa" w:w="7992"/>
            <w:tcMar>
              <w:top w:w="45" w:type="dxa"/>
              <w:start w:w="70" w:type="dxa"/>
              <w:bottom w:w="45" w:type="dxa"/>
              <w:end w:w="70" w:type="dxa"/>
            </w:tcMar>
          </w:tcPr>
          <w:p>
            <w:pPr>
              <w:ind w:left="0"/>
            </w:pPr>
            <w:r>
              <w:rPr>
                <w:rFonts w:ascii="Times New Roman" w:hAnsi="Times New Roman"/>
                <w:sz w:val="20"/>
              </w:rPr>
              <w:t>Table 5.2: Construct-validity audit</w:t>
            </w:r>
          </w:p>
        </w:tc>
        <w:tc>
          <w:tcPr>
            <w:tcW w:type="dxa" w:w="936"/>
            <w:tcMar>
              <w:top w:w="45" w:type="dxa"/>
              <w:start w:w="70" w:type="dxa"/>
              <w:bottom w:w="45" w:type="dxa"/>
              <w:end w:w="70" w:type="dxa"/>
            </w:tcMar>
          </w:tcPr>
          <w:p>
            <w:pPr>
              <w:jc w:val="center"/>
            </w:pPr>
            <w:r>
              <w:rPr>
                <w:rFonts w:ascii="Times New Roman" w:hAnsi="Times New Roman"/>
                <w:sz w:val="20"/>
              </w:rPr>
              <w:t>13</w:t>
            </w:r>
          </w:p>
        </w:tc>
      </w:tr>
      <w:tr>
        <w:trPr>
          <w:cantSplit/>
        </w:trPr>
        <w:tc>
          <w:tcPr>
            <w:tcW w:type="dxa" w:w="7992"/>
            <w:tcMar>
              <w:top w:w="45" w:type="dxa"/>
              <w:start w:w="70" w:type="dxa"/>
              <w:bottom w:w="45" w:type="dxa"/>
              <w:end w:w="70" w:type="dxa"/>
            </w:tcMar>
          </w:tcPr>
          <w:p>
            <w:pPr>
              <w:ind w:left="0"/>
            </w:pPr>
            <w:r>
              <w:rPr>
                <w:rFonts w:ascii="Times New Roman" w:hAnsi="Times New Roman"/>
                <w:sz w:val="20"/>
              </w:rPr>
              <w:t>Table 5.3: Capability spectrum under both baselines</w:t>
            </w:r>
          </w:p>
        </w:tc>
        <w:tc>
          <w:tcPr>
            <w:tcW w:type="dxa" w:w="936"/>
            <w:tcMar>
              <w:top w:w="45" w:type="dxa"/>
              <w:start w:w="70" w:type="dxa"/>
              <w:bottom w:w="45" w:type="dxa"/>
              <w:end w:w="70" w:type="dxa"/>
            </w:tcMar>
          </w:tcPr>
          <w:p>
            <w:pPr>
              <w:jc w:val="center"/>
            </w:pPr>
            <w:r>
              <w:rPr>
                <w:rFonts w:ascii="Times New Roman" w:hAnsi="Times New Roman"/>
                <w:sz w:val="20"/>
              </w:rPr>
              <w:t>14</w:t>
            </w:r>
          </w:p>
        </w:tc>
      </w:tr>
      <w:tr>
        <w:trPr>
          <w:cantSplit/>
        </w:trPr>
        <w:tc>
          <w:tcPr>
            <w:tcW w:type="dxa" w:w="7992"/>
            <w:tcMar>
              <w:top w:w="45" w:type="dxa"/>
              <w:start w:w="70" w:type="dxa"/>
              <w:bottom w:w="45" w:type="dxa"/>
              <w:end w:w="70" w:type="dxa"/>
            </w:tcMar>
          </w:tcPr>
          <w:p>
            <w:pPr>
              <w:ind w:left="0"/>
            </w:pPr>
            <w:r>
              <w:rPr>
                <w:rFonts w:ascii="Times New Roman" w:hAnsi="Times New Roman"/>
                <w:sz w:val="20"/>
              </w:rPr>
              <w:t>Table 5.4: Manipulation check: realised AoI by nominal level</w:t>
            </w:r>
          </w:p>
        </w:tc>
        <w:tc>
          <w:tcPr>
            <w:tcW w:type="dxa" w:w="936"/>
            <w:tcMar>
              <w:top w:w="45" w:type="dxa"/>
              <w:start w:w="70" w:type="dxa"/>
              <w:bottom w:w="45" w:type="dxa"/>
              <w:end w:w="70" w:type="dxa"/>
            </w:tcMar>
          </w:tcPr>
          <w:p>
            <w:pPr>
              <w:jc w:val="center"/>
            </w:pPr>
            <w:r>
              <w:rPr>
                <w:rFonts w:ascii="Times New Roman" w:hAnsi="Times New Roman"/>
                <w:sz w:val="20"/>
              </w:rPr>
              <w:t>15</w:t>
            </w:r>
          </w:p>
        </w:tc>
      </w:tr>
      <w:tr>
        <w:trPr>
          <w:cantSplit/>
        </w:trPr>
        <w:tc>
          <w:tcPr>
            <w:tcW w:type="dxa" w:w="7992"/>
            <w:tcMar>
              <w:top w:w="45" w:type="dxa"/>
              <w:start w:w="70" w:type="dxa"/>
              <w:bottom w:w="45" w:type="dxa"/>
              <w:end w:w="70" w:type="dxa"/>
            </w:tcMar>
          </w:tcPr>
          <w:p>
            <w:pPr>
              <w:ind w:left="0"/>
            </w:pPr>
            <w:r>
              <w:rPr>
                <w:rFonts w:ascii="Times New Roman" w:hAnsi="Times New Roman"/>
                <w:sz w:val="20"/>
              </w:rPr>
              <w:t>Table 5.5: Degradation exposure and performance</w:t>
            </w:r>
          </w:p>
        </w:tc>
        <w:tc>
          <w:tcPr>
            <w:tcW w:type="dxa" w:w="936"/>
            <w:tcMar>
              <w:top w:w="45" w:type="dxa"/>
              <w:start w:w="70" w:type="dxa"/>
              <w:bottom w:w="45" w:type="dxa"/>
              <w:end w:w="70" w:type="dxa"/>
            </w:tcMar>
          </w:tcPr>
          <w:p>
            <w:pPr>
              <w:jc w:val="center"/>
            </w:pPr>
            <w:r>
              <w:rPr>
                <w:rFonts w:ascii="Times New Roman" w:hAnsi="Times New Roman"/>
                <w:sz w:val="20"/>
              </w:rPr>
              <w:t>17</w:t>
            </w:r>
          </w:p>
        </w:tc>
      </w:tr>
      <w:tr>
        <w:trPr>
          <w:cantSplit/>
        </w:trPr>
        <w:tc>
          <w:tcPr>
            <w:tcW w:type="dxa" w:w="7992"/>
            <w:tcMar>
              <w:top w:w="45" w:type="dxa"/>
              <w:start w:w="70" w:type="dxa"/>
              <w:bottom w:w="45" w:type="dxa"/>
              <w:end w:w="70" w:type="dxa"/>
            </w:tcMar>
          </w:tcPr>
          <w:p>
            <w:pPr>
              <w:ind w:left="0"/>
            </w:pPr>
            <w:r>
              <w:rPr>
                <w:rFonts w:ascii="Times New Roman" w:hAnsi="Times New Roman"/>
                <w:sz w:val="20"/>
              </w:rPr>
              <w:t>Table 5.6: Hypothesis outcomes</w:t>
            </w:r>
          </w:p>
        </w:tc>
        <w:tc>
          <w:tcPr>
            <w:tcW w:type="dxa" w:w="936"/>
            <w:tcMar>
              <w:top w:w="45" w:type="dxa"/>
              <w:start w:w="70" w:type="dxa"/>
              <w:bottom w:w="45" w:type="dxa"/>
              <w:end w:w="70" w:type="dxa"/>
            </w:tcMar>
          </w:tcPr>
          <w:p>
            <w:pPr>
              <w:jc w:val="center"/>
            </w:pPr>
            <w:r>
              <w:rPr>
                <w:rFonts w:ascii="Times New Roman" w:hAnsi="Times New Roman"/>
                <w:sz w:val="20"/>
              </w:rPr>
              <w:t>18</w:t>
            </w:r>
          </w:p>
        </w:tc>
      </w:tr>
      <w:tr>
        <w:trPr>
          <w:cantSplit/>
        </w:trPr>
        <w:tc>
          <w:tcPr>
            <w:tcW w:type="dxa" w:w="7992"/>
            <w:tcMar>
              <w:top w:w="45" w:type="dxa"/>
              <w:start w:w="70" w:type="dxa"/>
              <w:bottom w:w="45" w:type="dxa"/>
              <w:end w:w="70" w:type="dxa"/>
            </w:tcMar>
          </w:tcPr>
          <w:p>
            <w:pPr>
              <w:ind w:left="0"/>
            </w:pPr>
            <w:r>
              <w:rPr>
                <w:rFonts w:ascii="Times New Roman" w:hAnsi="Times New Roman"/>
                <w:sz w:val="20"/>
              </w:rPr>
              <w:t>Table 5.7: Mitigation results using the type-matched baseline</w:t>
            </w:r>
          </w:p>
        </w:tc>
        <w:tc>
          <w:tcPr>
            <w:tcW w:type="dxa" w:w="936"/>
            <w:tcMar>
              <w:top w:w="45" w:type="dxa"/>
              <w:start w:w="70" w:type="dxa"/>
              <w:bottom w:w="45" w:type="dxa"/>
              <w:end w:w="70" w:type="dxa"/>
            </w:tcMar>
          </w:tcPr>
          <w:p>
            <w:pPr>
              <w:jc w:val="center"/>
            </w:pPr>
            <w:r>
              <w:rPr>
                <w:rFonts w:ascii="Times New Roman" w:hAnsi="Times New Roman"/>
                <w:sz w:val="20"/>
              </w:rPr>
              <w:t>19</w:t>
            </w:r>
          </w:p>
        </w:tc>
      </w:tr>
      <w:tr>
        <w:trPr>
          <w:cantSplit/>
        </w:trPr>
        <w:tc>
          <w:tcPr>
            <w:tcW w:type="dxa" w:w="7992"/>
            <w:tcMar>
              <w:top w:w="45" w:type="dxa"/>
              <w:start w:w="70" w:type="dxa"/>
              <w:bottom w:w="45" w:type="dxa"/>
              <w:end w:w="70" w:type="dxa"/>
            </w:tcMar>
          </w:tcPr>
          <w:p>
            <w:pPr>
              <w:ind w:left="0"/>
            </w:pPr>
            <w:r>
              <w:rPr>
                <w:rFonts w:ascii="Times New Roman" w:hAnsi="Times New Roman"/>
                <w:sz w:val="20"/>
              </w:rPr>
              <w:t>Table 6.1: Limitations and impact</w:t>
            </w:r>
          </w:p>
        </w:tc>
        <w:tc>
          <w:tcPr>
            <w:tcW w:type="dxa" w:w="936"/>
            <w:tcMar>
              <w:top w:w="45" w:type="dxa"/>
              <w:start w:w="70" w:type="dxa"/>
              <w:bottom w:w="45" w:type="dxa"/>
              <w:end w:w="70" w:type="dxa"/>
            </w:tcMar>
          </w:tcPr>
          <w:p>
            <w:pPr>
              <w:jc w:val="center"/>
            </w:pPr>
            <w:r>
              <w:rPr>
                <w:rFonts w:ascii="Times New Roman" w:hAnsi="Times New Roman"/>
                <w:sz w:val="20"/>
              </w:rPr>
              <w:t>22</w:t>
            </w:r>
          </w:p>
        </w:tc>
      </w:tr>
    </w:tbl>
    <w:p>
      <w:r>
        <w:br w:type="page"/>
      </w:r>
    </w:p>
    <w:p>
      <w:pPr>
        <w:keepNext/>
        <w:spacing w:after="360"/>
        <w:jc w:val="center"/>
      </w:pPr>
      <w:r>
        <w:rPr>
          <w:rFonts w:ascii="Times New Roman" w:hAnsi="Times New Roman"/>
          <w:b/>
          <w:sz w:val="28"/>
        </w:rPr>
        <w:t>LIST OF ABBREVIATIONS</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514"/>
        <w:gridCol w:w="4514"/>
      </w:tblGrid>
      <w:tr>
        <w:trPr>
          <w:cantSplit/>
          <w:tblHeader w:val="true"/>
        </w:trPr>
        <w:tc>
          <w:tcPr>
            <w:tcW w:type="dxa" w:w="2067"/>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Abbreviation</w:t>
            </w:r>
          </w:p>
        </w:tc>
        <w:tc>
          <w:tcPr>
            <w:tcW w:type="dxa" w:w="6890"/>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Full form</w:t>
            </w:r>
          </w:p>
        </w:tc>
      </w:tr>
      <w:tr>
        <w:trPr>
          <w:cantSplit/>
        </w:trPr>
        <w:tc>
          <w:tcPr>
            <w:tcW w:type="dxa" w:w="2067"/>
            <w:vAlign w:val="center"/>
            <w:tcMar>
              <w:top w:w="70" w:type="dxa"/>
              <w:start w:w="90" w:type="dxa"/>
              <w:bottom w:w="70" w:type="dxa"/>
              <w:end w:w="90" w:type="dxa"/>
            </w:tcMar>
          </w:tcPr>
          <w:p>
            <w:pPr>
              <w:spacing w:after="0" w:line="240" w:lineRule="auto"/>
              <w:jc w:val="left"/>
            </w:pPr>
            <w:r>
              <w:rPr>
                <w:rFonts w:ascii="Times New Roman" w:hAnsi="Times New Roman"/>
                <w:sz w:val="18"/>
              </w:rPr>
              <w:t>AoI</w:t>
            </w:r>
          </w:p>
        </w:tc>
        <w:tc>
          <w:tcPr>
            <w:tcW w:type="dxa" w:w="6890"/>
            <w:vAlign w:val="center"/>
            <w:tcMar>
              <w:top w:w="70" w:type="dxa"/>
              <w:start w:w="90" w:type="dxa"/>
              <w:bottom w:w="70" w:type="dxa"/>
              <w:end w:w="90" w:type="dxa"/>
            </w:tcMar>
          </w:tcPr>
          <w:p>
            <w:pPr>
              <w:spacing w:after="0" w:line="240" w:lineRule="auto"/>
              <w:jc w:val="left"/>
            </w:pPr>
            <w:r>
              <w:rPr>
                <w:rFonts w:ascii="Times New Roman" w:hAnsi="Times New Roman"/>
                <w:sz w:val="18"/>
              </w:rPr>
              <w:t>Age of Information</w:t>
            </w:r>
          </w:p>
        </w:tc>
      </w:tr>
      <w:tr>
        <w:trPr>
          <w:cantSplit/>
        </w:trPr>
        <w:tc>
          <w:tcPr>
            <w:tcW w:type="dxa" w:w="2067"/>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DEF</w:t>
            </w:r>
          </w:p>
        </w:tc>
        <w:tc>
          <w:tcPr>
            <w:tcW w:type="dxa" w:w="689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Decision-level Explanation Faithfulness</w:t>
            </w:r>
          </w:p>
        </w:tc>
      </w:tr>
      <w:tr>
        <w:trPr>
          <w:cantSplit/>
        </w:trPr>
        <w:tc>
          <w:tcPr>
            <w:tcW w:type="dxa" w:w="2067"/>
            <w:vAlign w:val="center"/>
            <w:tcMar>
              <w:top w:w="70" w:type="dxa"/>
              <w:start w:w="90" w:type="dxa"/>
              <w:bottom w:w="70" w:type="dxa"/>
              <w:end w:w="90" w:type="dxa"/>
            </w:tcMar>
          </w:tcPr>
          <w:p>
            <w:pPr>
              <w:spacing w:after="0" w:line="240" w:lineRule="auto"/>
              <w:jc w:val="left"/>
            </w:pPr>
            <w:r>
              <w:rPr>
                <w:rFonts w:ascii="Times New Roman" w:hAnsi="Times New Roman"/>
                <w:sz w:val="18"/>
              </w:rPr>
              <w:t>GAT</w:t>
            </w:r>
          </w:p>
        </w:tc>
        <w:tc>
          <w:tcPr>
            <w:tcW w:type="dxa" w:w="6890"/>
            <w:vAlign w:val="center"/>
            <w:tcMar>
              <w:top w:w="70" w:type="dxa"/>
              <w:start w:w="90" w:type="dxa"/>
              <w:bottom w:w="70" w:type="dxa"/>
              <w:end w:w="90" w:type="dxa"/>
            </w:tcMar>
          </w:tcPr>
          <w:p>
            <w:pPr>
              <w:spacing w:after="0" w:line="240" w:lineRule="auto"/>
              <w:jc w:val="left"/>
            </w:pPr>
            <w:r>
              <w:rPr>
                <w:rFonts w:ascii="Times New Roman" w:hAnsi="Times New Roman"/>
                <w:sz w:val="18"/>
              </w:rPr>
              <w:t>Graph Attention Network</w:t>
            </w:r>
          </w:p>
        </w:tc>
      </w:tr>
      <w:tr>
        <w:trPr>
          <w:cantSplit/>
        </w:trPr>
        <w:tc>
          <w:tcPr>
            <w:tcW w:type="dxa" w:w="2067"/>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GAE</w:t>
            </w:r>
          </w:p>
        </w:tc>
        <w:tc>
          <w:tcPr>
            <w:tcW w:type="dxa" w:w="689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Generalised Advantage Estimation</w:t>
            </w:r>
          </w:p>
        </w:tc>
      </w:tr>
      <w:tr>
        <w:trPr>
          <w:cantSplit/>
        </w:trPr>
        <w:tc>
          <w:tcPr>
            <w:tcW w:type="dxa" w:w="2067"/>
            <w:vAlign w:val="center"/>
            <w:tcMar>
              <w:top w:w="70" w:type="dxa"/>
              <w:start w:w="90" w:type="dxa"/>
              <w:bottom w:w="70" w:type="dxa"/>
              <w:end w:w="90" w:type="dxa"/>
            </w:tcMar>
          </w:tcPr>
          <w:p>
            <w:pPr>
              <w:spacing w:after="0" w:line="240" w:lineRule="auto"/>
              <w:jc w:val="left"/>
            </w:pPr>
            <w:r>
              <w:rPr>
                <w:rFonts w:ascii="Times New Roman" w:hAnsi="Times New Roman"/>
                <w:sz w:val="18"/>
              </w:rPr>
              <w:t>MAPPO</w:t>
            </w:r>
          </w:p>
        </w:tc>
        <w:tc>
          <w:tcPr>
            <w:tcW w:type="dxa" w:w="6890"/>
            <w:vAlign w:val="center"/>
            <w:tcMar>
              <w:top w:w="70" w:type="dxa"/>
              <w:start w:w="90" w:type="dxa"/>
              <w:bottom w:w="70" w:type="dxa"/>
              <w:end w:w="90" w:type="dxa"/>
            </w:tcMar>
          </w:tcPr>
          <w:p>
            <w:pPr>
              <w:spacing w:after="0" w:line="240" w:lineRule="auto"/>
              <w:jc w:val="left"/>
            </w:pPr>
            <w:r>
              <w:rPr>
                <w:rFonts w:ascii="Times New Roman" w:hAnsi="Times New Roman"/>
                <w:sz w:val="18"/>
              </w:rPr>
              <w:t>Multi-Agent Proximal Policy Optimisation</w:t>
            </w:r>
          </w:p>
        </w:tc>
      </w:tr>
      <w:tr>
        <w:trPr>
          <w:cantSplit/>
        </w:trPr>
        <w:tc>
          <w:tcPr>
            <w:tcW w:type="dxa" w:w="2067"/>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MARL</w:t>
            </w:r>
          </w:p>
        </w:tc>
        <w:tc>
          <w:tcPr>
            <w:tcW w:type="dxa" w:w="689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Multi-Agent Reinforcement Learning</w:t>
            </w:r>
          </w:p>
        </w:tc>
      </w:tr>
      <w:tr>
        <w:trPr>
          <w:cantSplit/>
        </w:trPr>
        <w:tc>
          <w:tcPr>
            <w:tcW w:type="dxa" w:w="2067"/>
            <w:vAlign w:val="center"/>
            <w:tcMar>
              <w:top w:w="70" w:type="dxa"/>
              <w:start w:w="90" w:type="dxa"/>
              <w:bottom w:w="70" w:type="dxa"/>
              <w:end w:w="90" w:type="dxa"/>
            </w:tcMar>
          </w:tcPr>
          <w:p>
            <w:pPr>
              <w:spacing w:after="0" w:line="240" w:lineRule="auto"/>
              <w:jc w:val="left"/>
            </w:pPr>
            <w:r>
              <w:rPr>
                <w:rFonts w:ascii="Times New Roman" w:hAnsi="Times New Roman"/>
                <w:sz w:val="18"/>
              </w:rPr>
              <w:t>MLP</w:t>
            </w:r>
          </w:p>
        </w:tc>
        <w:tc>
          <w:tcPr>
            <w:tcW w:type="dxa" w:w="6890"/>
            <w:vAlign w:val="center"/>
            <w:tcMar>
              <w:top w:w="70" w:type="dxa"/>
              <w:start w:w="90" w:type="dxa"/>
              <w:bottom w:w="70" w:type="dxa"/>
              <w:end w:w="90" w:type="dxa"/>
            </w:tcMar>
          </w:tcPr>
          <w:p>
            <w:pPr>
              <w:spacing w:after="0" w:line="240" w:lineRule="auto"/>
              <w:jc w:val="left"/>
            </w:pPr>
            <w:r>
              <w:rPr>
                <w:rFonts w:ascii="Times New Roman" w:hAnsi="Times New Roman"/>
                <w:sz w:val="18"/>
              </w:rPr>
              <w:t>Multilayer Perceptron</w:t>
            </w:r>
          </w:p>
        </w:tc>
      </w:tr>
      <w:tr>
        <w:trPr>
          <w:cantSplit/>
        </w:trPr>
        <w:tc>
          <w:tcPr>
            <w:tcW w:type="dxa" w:w="2067"/>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PPO</w:t>
            </w:r>
          </w:p>
        </w:tc>
        <w:tc>
          <w:tcPr>
            <w:tcW w:type="dxa" w:w="689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Proximal Policy Optimisation</w:t>
            </w:r>
          </w:p>
        </w:tc>
      </w:tr>
      <w:tr>
        <w:trPr>
          <w:cantSplit/>
        </w:trPr>
        <w:tc>
          <w:tcPr>
            <w:tcW w:type="dxa" w:w="2067"/>
            <w:vAlign w:val="center"/>
            <w:tcMar>
              <w:top w:w="70" w:type="dxa"/>
              <w:start w:w="90" w:type="dxa"/>
              <w:bottom w:w="70" w:type="dxa"/>
              <w:end w:w="90" w:type="dxa"/>
            </w:tcMar>
          </w:tcPr>
          <w:p>
            <w:pPr>
              <w:spacing w:after="0" w:line="240" w:lineRule="auto"/>
              <w:jc w:val="left"/>
            </w:pPr>
            <w:r>
              <w:rPr>
                <w:rFonts w:ascii="Times New Roman" w:hAnsi="Times New Roman"/>
                <w:sz w:val="18"/>
              </w:rPr>
              <w:t>RQ</w:t>
            </w:r>
          </w:p>
        </w:tc>
        <w:tc>
          <w:tcPr>
            <w:tcW w:type="dxa" w:w="6890"/>
            <w:vAlign w:val="center"/>
            <w:tcMar>
              <w:top w:w="70" w:type="dxa"/>
              <w:start w:w="90" w:type="dxa"/>
              <w:bottom w:w="70" w:type="dxa"/>
              <w:end w:w="90" w:type="dxa"/>
            </w:tcMar>
          </w:tcPr>
          <w:p>
            <w:pPr>
              <w:spacing w:after="0" w:line="240" w:lineRule="auto"/>
              <w:jc w:val="left"/>
            </w:pPr>
            <w:r>
              <w:rPr>
                <w:rFonts w:ascii="Times New Roman" w:hAnsi="Times New Roman"/>
                <w:sz w:val="18"/>
              </w:rPr>
              <w:t>Research Question</w:t>
            </w:r>
          </w:p>
        </w:tc>
      </w:tr>
      <w:tr>
        <w:trPr>
          <w:cantSplit/>
        </w:trPr>
        <w:tc>
          <w:tcPr>
            <w:tcW w:type="dxa" w:w="2067"/>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SUMO</w:t>
            </w:r>
          </w:p>
        </w:tc>
        <w:tc>
          <w:tcPr>
            <w:tcW w:type="dxa" w:w="689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Simulation of Urban MObility</w:t>
            </w:r>
          </w:p>
        </w:tc>
      </w:tr>
      <w:tr>
        <w:trPr>
          <w:cantSplit/>
        </w:trPr>
        <w:tc>
          <w:tcPr>
            <w:tcW w:type="dxa" w:w="2067"/>
            <w:vAlign w:val="center"/>
            <w:tcMar>
              <w:top w:w="70" w:type="dxa"/>
              <w:start w:w="90" w:type="dxa"/>
              <w:bottom w:w="70" w:type="dxa"/>
              <w:end w:w="90" w:type="dxa"/>
            </w:tcMar>
          </w:tcPr>
          <w:p>
            <w:pPr>
              <w:spacing w:after="0" w:line="240" w:lineRule="auto"/>
              <w:jc w:val="left"/>
            </w:pPr>
            <w:r>
              <w:rPr>
                <w:rFonts w:ascii="Times New Roman" w:hAnsi="Times New Roman"/>
                <w:sz w:val="18"/>
              </w:rPr>
              <w:t>WAMSN</w:t>
            </w:r>
          </w:p>
        </w:tc>
        <w:tc>
          <w:tcPr>
            <w:tcW w:type="dxa" w:w="6890"/>
            <w:vAlign w:val="center"/>
            <w:tcMar>
              <w:top w:w="70" w:type="dxa"/>
              <w:start w:w="90" w:type="dxa"/>
              <w:bottom w:w="70" w:type="dxa"/>
              <w:end w:w="90" w:type="dxa"/>
            </w:tcMar>
          </w:tcPr>
          <w:p>
            <w:pPr>
              <w:spacing w:after="0" w:line="240" w:lineRule="auto"/>
              <w:jc w:val="left"/>
            </w:pPr>
            <w:r>
              <w:rPr>
                <w:rFonts w:ascii="Times New Roman" w:hAnsi="Times New Roman"/>
                <w:sz w:val="18"/>
              </w:rPr>
              <w:t>Weighted Attention Mass on Stale Nodes</w:t>
            </w:r>
          </w:p>
        </w:tc>
      </w:tr>
    </w:tbl>
    <w:p>
      <w:pPr>
        <w:spacing w:after="0"/>
      </w:pPr>
    </w:p>
    <w:p>
      <w:r>
        <w:br w:type="page"/>
      </w:r>
    </w:p>
    <w:p>
      <w:pPr>
        <w:keepNext/>
        <w:spacing w:after="360"/>
        <w:jc w:val="center"/>
      </w:pPr>
      <w:r>
        <w:rPr>
          <w:rFonts w:ascii="Times New Roman" w:hAnsi="Times New Roman"/>
          <w:b/>
          <w:sz w:val="28"/>
        </w:rPr>
        <w:t>ABSTRACT</w:t>
      </w:r>
    </w:p>
    <w:p>
      <w:pPr>
        <w:spacing w:line="276" w:lineRule="auto" w:after="120"/>
        <w:jc w:val="both"/>
      </w:pPr>
      <w:r>
        <w:rPr>
          <w:rFonts w:ascii="Times New Roman" w:hAnsi="Times New Roman"/>
          <w:sz w:val="24"/>
        </w:rPr>
        <w:t>Graph-attention policies expose weights that are easy to display as explanations, but those explanations may remain plausible after the telemetry beneath them becomes stale. This dissertation studies that risk in multi-agent fleet dispatch. In a SUMO benchmark, tunnel entry triggers signal loss: vehicles continue to move, while the policy receives their last valid state and their Age of Information (AoI) increases. Decision-level explanation faithfulness (DEF) measures explanation quality, and weighted attention mass on stale nodes (WAMSN) measures attention to outdated vehicle information.</w:t>
      </w:r>
    </w:p>
    <w:p>
      <w:pPr>
        <w:spacing w:line="276" w:lineRule="auto" w:after="120"/>
        <w:jc w:val="both"/>
      </w:pPr>
      <w:r>
        <w:rPr>
          <w:rFonts w:ascii="Times New Roman" w:hAnsi="Times New Roman"/>
          <w:sz w:val="24"/>
        </w:rPr>
        <w:t>On clean telemetry, a standard random occlusion baseline gives margin-DEF of -0.541. This comparison is unfair because removing a passenger-request node also removes its dispatch action. Matching the random baseline to the same mixture of vehicle and request nodes changes the score to -0.009 [-0.016, -0.001]. Built-in attention is therefore approximately uninformative, not actively worse than random.</w:t>
      </w:r>
    </w:p>
    <w:p>
      <w:pPr>
        <w:spacing w:line="276" w:lineRule="auto" w:after="120"/>
        <w:jc w:val="both"/>
      </w:pPr>
      <w:r>
        <w:rPr>
          <w:rFonts w:ascii="Times New Roman" w:hAnsi="Times New Roman"/>
          <w:sz w:val="24"/>
        </w:rPr>
        <w:t>Under degradation, pooled WAMSN rises from 0 to 0.014. When a stale vehicle node is visible, it receives 13.4-14.8 % of vehicle-node attention. Pickups and aggregate faithfulness remain broadly flat, while decisions with more stale-node attention are less faithful within episodes (margin-DEF rho = -0.045; probability-DEF rho = -0.149). This is the observed faithfulness decoupling: explanation content shifts toward stale information without a warning from performance or aggregate faithfulness. Because the intended severity ladder did not produce distinct realised staleness levels, the evidence supports a clean-versus-degraded comparison rather than an AoI dose-response claim.</w:t>
      </w:r>
    </w:p>
    <w:p>
      <w:pPr>
        <w:spacing w:line="276" w:lineRule="auto" w:after="120"/>
        <w:jc w:val="both"/>
      </w:pPr>
      <w:r>
        <w:rPr>
          <w:rFonts w:ascii="Times New Roman" w:hAnsi="Times New Roman"/>
          <w:sz w:val="24"/>
        </w:rPr>
        <w:t>Degradation-aware training has no detectable effect. A separate explanation head improves clean margin-DEF by +0.023, but not detectably under degradation. The study shows how attention explanations can outlive their data and why the faithfulness test must itself be validated.</w:t>
      </w:r>
    </w:p>
    <w:p>
      <w:r>
        <w:rPr>
          <w:rFonts w:ascii="Times New Roman" w:hAnsi="Times New Roman"/>
          <w:b/>
          <w:sz w:val="24"/>
        </w:rPr>
        <w:t xml:space="preserve">Keywords: </w:t>
      </w:r>
      <w:r>
        <w:rPr>
          <w:rFonts w:ascii="Times New Roman" w:hAnsi="Times New Roman"/>
          <w:sz w:val="24"/>
        </w:rPr>
        <w:t>explainable reinforcement learning, faithfulness evaluation, construct validity, graph attention, multi-agent reinforcement learning, fleet dispatch, Age of Information, SUMO</w:t>
      </w:r>
    </w:p>
    <w:p>
      <w:r>
        <w:br w:type="page"/>
      </w:r>
    </w:p>
    <w:p>
      <w:pPr>
        <w:keepNext/>
        <w:spacing w:after="360"/>
        <w:jc w:val="center"/>
      </w:pPr>
      <w:r>
        <w:rPr>
          <w:rFonts w:ascii="Times New Roman" w:hAnsi="Times New Roman"/>
          <w:b/>
          <w:sz w:val="28"/>
        </w:rPr>
        <w:t>TABLE OF CONTENTS</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7992"/>
        <w:gridCol w:w="936"/>
      </w:tblGrid>
      <w:tr>
        <w:tc>
          <w:tcPr>
            <w:tcW w:type="dxa" w:w="4514"/>
            <w:shd w:fill="9E1B45"/>
          </w:tcPr>
          <w:p>
            <w:pPr>
              <w:jc w:val="center"/>
            </w:pPr>
            <w:r>
              <w:rPr>
                <w:rFonts w:ascii="Times New Roman" w:hAnsi="Times New Roman"/>
                <w:b/>
                <w:color w:val="FFFFFF"/>
                <w:sz w:val="20"/>
              </w:rPr>
              <w:t>Title</w:t>
            </w:r>
          </w:p>
        </w:tc>
        <w:tc>
          <w:tcPr>
            <w:tcW w:type="dxa" w:w="4514"/>
            <w:shd w:fill="9E1B45"/>
          </w:tcPr>
          <w:p>
            <w:pPr>
              <w:jc w:val="center"/>
            </w:pPr>
            <w:r>
              <w:rPr>
                <w:rFonts w:ascii="Times New Roman" w:hAnsi="Times New Roman"/>
                <w:b/>
                <w:color w:val="FFFFFF"/>
                <w:sz w:val="20"/>
              </w:rPr>
              <w:t>Page</w:t>
            </w:r>
          </w:p>
        </w:tc>
      </w:tr>
      <w:tr>
        <w:trPr>
          <w:cantSplit/>
        </w:trPr>
        <w:tc>
          <w:tcPr>
            <w:tcW w:type="dxa" w:w="7992"/>
            <w:tcMar>
              <w:top w:w="45" w:type="dxa"/>
              <w:start w:w="70" w:type="dxa"/>
              <w:bottom w:w="45" w:type="dxa"/>
              <w:end w:w="70" w:type="dxa"/>
            </w:tcMar>
          </w:tcPr>
          <w:p>
            <w:pPr>
              <w:ind w:left="0"/>
            </w:pPr>
            <w:r>
              <w:rPr>
                <w:rFonts w:ascii="Times New Roman" w:hAnsi="Times New Roman"/>
                <w:sz w:val="20"/>
              </w:rPr>
              <w:t>Declaration</w:t>
            </w:r>
          </w:p>
        </w:tc>
        <w:tc>
          <w:tcPr>
            <w:tcW w:type="dxa" w:w="936"/>
            <w:tcMar>
              <w:top w:w="45" w:type="dxa"/>
              <w:start w:w="70" w:type="dxa"/>
              <w:bottom w:w="45" w:type="dxa"/>
              <w:end w:w="70" w:type="dxa"/>
            </w:tcMar>
          </w:tcPr>
          <w:p>
            <w:pPr>
              <w:jc w:val="center"/>
            </w:pPr>
            <w:r>
              <w:rPr>
                <w:rFonts w:ascii="Times New Roman" w:hAnsi="Times New Roman"/>
                <w:sz w:val="20"/>
              </w:rPr>
              <w:t>ii</w:t>
            </w:r>
          </w:p>
        </w:tc>
      </w:tr>
      <w:tr>
        <w:trPr>
          <w:cantSplit/>
        </w:trPr>
        <w:tc>
          <w:tcPr>
            <w:tcW w:type="dxa" w:w="7992"/>
            <w:tcMar>
              <w:top w:w="45" w:type="dxa"/>
              <w:start w:w="70" w:type="dxa"/>
              <w:bottom w:w="45" w:type="dxa"/>
              <w:end w:w="70" w:type="dxa"/>
            </w:tcMar>
          </w:tcPr>
          <w:p>
            <w:pPr>
              <w:ind w:left="0"/>
            </w:pPr>
            <w:r>
              <w:rPr>
                <w:rFonts w:ascii="Times New Roman" w:hAnsi="Times New Roman"/>
                <w:sz w:val="20"/>
              </w:rPr>
              <w:t>Acknowledgement</w:t>
            </w:r>
          </w:p>
        </w:tc>
        <w:tc>
          <w:tcPr>
            <w:tcW w:type="dxa" w:w="936"/>
            <w:tcMar>
              <w:top w:w="45" w:type="dxa"/>
              <w:start w:w="70" w:type="dxa"/>
              <w:bottom w:w="45" w:type="dxa"/>
              <w:end w:w="70" w:type="dxa"/>
            </w:tcMar>
          </w:tcPr>
          <w:p>
            <w:pPr>
              <w:jc w:val="center"/>
            </w:pPr>
            <w:r>
              <w:rPr>
                <w:rFonts w:ascii="Times New Roman" w:hAnsi="Times New Roman"/>
                <w:sz w:val="20"/>
              </w:rPr>
              <w:t>iii</w:t>
            </w:r>
          </w:p>
        </w:tc>
      </w:tr>
      <w:tr>
        <w:trPr>
          <w:cantSplit/>
        </w:trPr>
        <w:tc>
          <w:tcPr>
            <w:tcW w:type="dxa" w:w="7992"/>
            <w:tcMar>
              <w:top w:w="45" w:type="dxa"/>
              <w:start w:w="70" w:type="dxa"/>
              <w:bottom w:w="45" w:type="dxa"/>
              <w:end w:w="70" w:type="dxa"/>
            </w:tcMar>
          </w:tcPr>
          <w:p>
            <w:pPr>
              <w:ind w:left="0"/>
            </w:pPr>
            <w:r>
              <w:rPr>
                <w:rFonts w:ascii="Times New Roman" w:hAnsi="Times New Roman"/>
                <w:sz w:val="20"/>
              </w:rPr>
              <w:t>List of Figures</w:t>
            </w:r>
          </w:p>
        </w:tc>
        <w:tc>
          <w:tcPr>
            <w:tcW w:type="dxa" w:w="936"/>
            <w:tcMar>
              <w:top w:w="45" w:type="dxa"/>
              <w:start w:w="70" w:type="dxa"/>
              <w:bottom w:w="45" w:type="dxa"/>
              <w:end w:w="70" w:type="dxa"/>
            </w:tcMar>
          </w:tcPr>
          <w:p>
            <w:pPr>
              <w:jc w:val="center"/>
            </w:pPr>
            <w:r>
              <w:rPr>
                <w:rFonts w:ascii="Times New Roman" w:hAnsi="Times New Roman"/>
                <w:sz w:val="20"/>
              </w:rPr>
              <w:t>iv</w:t>
            </w:r>
          </w:p>
        </w:tc>
      </w:tr>
      <w:tr>
        <w:trPr>
          <w:cantSplit/>
        </w:trPr>
        <w:tc>
          <w:tcPr>
            <w:tcW w:type="dxa" w:w="7992"/>
            <w:tcMar>
              <w:top w:w="45" w:type="dxa"/>
              <w:start w:w="70" w:type="dxa"/>
              <w:bottom w:w="45" w:type="dxa"/>
              <w:end w:w="70" w:type="dxa"/>
            </w:tcMar>
          </w:tcPr>
          <w:p>
            <w:pPr>
              <w:ind w:left="0"/>
            </w:pPr>
            <w:r>
              <w:rPr>
                <w:rFonts w:ascii="Times New Roman" w:hAnsi="Times New Roman"/>
                <w:sz w:val="20"/>
              </w:rPr>
              <w:t>List of Tables</w:t>
            </w:r>
          </w:p>
        </w:tc>
        <w:tc>
          <w:tcPr>
            <w:tcW w:type="dxa" w:w="936"/>
            <w:tcMar>
              <w:top w:w="45" w:type="dxa"/>
              <w:start w:w="70" w:type="dxa"/>
              <w:bottom w:w="45" w:type="dxa"/>
              <w:end w:w="70" w:type="dxa"/>
            </w:tcMar>
          </w:tcPr>
          <w:p>
            <w:pPr>
              <w:jc w:val="center"/>
            </w:pPr>
            <w:r>
              <w:rPr>
                <w:rFonts w:ascii="Times New Roman" w:hAnsi="Times New Roman"/>
                <w:sz w:val="20"/>
              </w:rPr>
              <w:t>v</w:t>
            </w:r>
          </w:p>
        </w:tc>
      </w:tr>
      <w:tr>
        <w:trPr>
          <w:cantSplit/>
        </w:trPr>
        <w:tc>
          <w:tcPr>
            <w:tcW w:type="dxa" w:w="7992"/>
            <w:tcMar>
              <w:top w:w="45" w:type="dxa"/>
              <w:start w:w="70" w:type="dxa"/>
              <w:bottom w:w="45" w:type="dxa"/>
              <w:end w:w="70" w:type="dxa"/>
            </w:tcMar>
          </w:tcPr>
          <w:p>
            <w:pPr>
              <w:ind w:left="0"/>
            </w:pPr>
            <w:r>
              <w:rPr>
                <w:rFonts w:ascii="Times New Roman" w:hAnsi="Times New Roman"/>
                <w:sz w:val="20"/>
              </w:rPr>
              <w:t>List of Abbreviations</w:t>
            </w:r>
          </w:p>
        </w:tc>
        <w:tc>
          <w:tcPr>
            <w:tcW w:type="dxa" w:w="936"/>
            <w:tcMar>
              <w:top w:w="45" w:type="dxa"/>
              <w:start w:w="70" w:type="dxa"/>
              <w:bottom w:w="45" w:type="dxa"/>
              <w:end w:w="70" w:type="dxa"/>
            </w:tcMar>
          </w:tcPr>
          <w:p>
            <w:pPr>
              <w:jc w:val="center"/>
            </w:pPr>
            <w:r>
              <w:rPr>
                <w:rFonts w:ascii="Times New Roman" w:hAnsi="Times New Roman"/>
                <w:sz w:val="20"/>
              </w:rPr>
              <w:t>vi</w:t>
            </w:r>
          </w:p>
        </w:tc>
      </w:tr>
      <w:tr>
        <w:trPr>
          <w:cantSplit/>
        </w:trPr>
        <w:tc>
          <w:tcPr>
            <w:tcW w:type="dxa" w:w="7992"/>
            <w:tcMar>
              <w:top w:w="45" w:type="dxa"/>
              <w:start w:w="70" w:type="dxa"/>
              <w:bottom w:w="45" w:type="dxa"/>
              <w:end w:w="70" w:type="dxa"/>
            </w:tcMar>
          </w:tcPr>
          <w:p>
            <w:pPr>
              <w:ind w:left="0"/>
            </w:pPr>
            <w:r>
              <w:rPr>
                <w:rFonts w:ascii="Times New Roman" w:hAnsi="Times New Roman"/>
                <w:sz w:val="20"/>
              </w:rPr>
              <w:t>Abstract</w:t>
            </w:r>
          </w:p>
        </w:tc>
        <w:tc>
          <w:tcPr>
            <w:tcW w:type="dxa" w:w="936"/>
            <w:tcMar>
              <w:top w:w="45" w:type="dxa"/>
              <w:start w:w="70" w:type="dxa"/>
              <w:bottom w:w="45" w:type="dxa"/>
              <w:end w:w="70" w:type="dxa"/>
            </w:tcMar>
          </w:tcPr>
          <w:p>
            <w:pPr>
              <w:jc w:val="center"/>
            </w:pPr>
            <w:r>
              <w:rPr>
                <w:rFonts w:ascii="Times New Roman" w:hAnsi="Times New Roman"/>
                <w:sz w:val="20"/>
              </w:rPr>
              <w:t>vii</w:t>
            </w:r>
          </w:p>
        </w:tc>
      </w:tr>
      <w:tr>
        <w:trPr>
          <w:cantSplit/>
        </w:trPr>
        <w:tc>
          <w:tcPr>
            <w:tcW w:type="dxa" w:w="7992"/>
            <w:tcMar>
              <w:top w:w="45" w:type="dxa"/>
              <w:start w:w="70" w:type="dxa"/>
              <w:bottom w:w="45" w:type="dxa"/>
              <w:end w:w="70" w:type="dxa"/>
            </w:tcMar>
          </w:tcPr>
          <w:p>
            <w:pPr>
              <w:ind w:left="0"/>
            </w:pPr>
            <w:r>
              <w:rPr>
                <w:rFonts w:ascii="Times New Roman" w:hAnsi="Times New Roman"/>
                <w:sz w:val="20"/>
              </w:rPr>
              <w:t>Chapter 1: Introduction</w:t>
            </w:r>
          </w:p>
        </w:tc>
        <w:tc>
          <w:tcPr>
            <w:tcW w:type="dxa" w:w="936"/>
            <w:tcMar>
              <w:top w:w="45" w:type="dxa"/>
              <w:start w:w="70" w:type="dxa"/>
              <w:bottom w:w="45" w:type="dxa"/>
              <w:end w:w="70" w:type="dxa"/>
            </w:tcMar>
          </w:tcPr>
          <w:p>
            <w:pPr>
              <w:jc w:val="center"/>
            </w:pPr>
            <w:r>
              <w:rPr>
                <w:rFonts w:ascii="Times New Roman" w:hAnsi="Times New Roman"/>
                <w:sz w:val="20"/>
              </w:rPr>
              <w:t>1</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1.1 Background and Motivation</w:t>
            </w:r>
          </w:p>
        </w:tc>
        <w:tc>
          <w:tcPr>
            <w:tcW w:type="dxa" w:w="936"/>
            <w:tcMar>
              <w:top w:w="45" w:type="dxa"/>
              <w:start w:w="70" w:type="dxa"/>
              <w:bottom w:w="45" w:type="dxa"/>
              <w:end w:w="70" w:type="dxa"/>
            </w:tcMar>
          </w:tcPr>
          <w:p>
            <w:pPr>
              <w:jc w:val="center"/>
            </w:pPr>
            <w:r>
              <w:rPr>
                <w:rFonts w:ascii="Times New Roman" w:hAnsi="Times New Roman"/>
                <w:sz w:val="20"/>
              </w:rPr>
              <w:t>1</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1.2 Problem Statement</w:t>
            </w:r>
          </w:p>
        </w:tc>
        <w:tc>
          <w:tcPr>
            <w:tcW w:type="dxa" w:w="936"/>
            <w:tcMar>
              <w:top w:w="45" w:type="dxa"/>
              <w:start w:w="70" w:type="dxa"/>
              <w:bottom w:w="45" w:type="dxa"/>
              <w:end w:w="70" w:type="dxa"/>
            </w:tcMar>
          </w:tcPr>
          <w:p>
            <w:pPr>
              <w:jc w:val="center"/>
            </w:pPr>
            <w:r>
              <w:rPr>
                <w:rFonts w:ascii="Times New Roman" w:hAnsi="Times New Roman"/>
                <w:sz w:val="20"/>
              </w:rPr>
              <w:t>1</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1.3 Research Questions and Objectives</w:t>
            </w:r>
          </w:p>
        </w:tc>
        <w:tc>
          <w:tcPr>
            <w:tcW w:type="dxa" w:w="936"/>
            <w:tcMar>
              <w:top w:w="45" w:type="dxa"/>
              <w:start w:w="70" w:type="dxa"/>
              <w:bottom w:w="45" w:type="dxa"/>
              <w:end w:w="70" w:type="dxa"/>
            </w:tcMar>
          </w:tcPr>
          <w:p>
            <w:pPr>
              <w:jc w:val="center"/>
            </w:pPr>
            <w:r>
              <w:rPr>
                <w:rFonts w:ascii="Times New Roman" w:hAnsi="Times New Roman"/>
                <w:sz w:val="20"/>
              </w:rPr>
              <w:t>1</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1.4 Scope, Significance and Contributions</w:t>
            </w:r>
          </w:p>
        </w:tc>
        <w:tc>
          <w:tcPr>
            <w:tcW w:type="dxa" w:w="936"/>
            <w:tcMar>
              <w:top w:w="45" w:type="dxa"/>
              <w:start w:w="70" w:type="dxa"/>
              <w:bottom w:w="45" w:type="dxa"/>
              <w:end w:w="70" w:type="dxa"/>
            </w:tcMar>
          </w:tcPr>
          <w:p>
            <w:pPr>
              <w:jc w:val="center"/>
            </w:pPr>
            <w:r>
              <w:rPr>
                <w:rFonts w:ascii="Times New Roman" w:hAnsi="Times New Roman"/>
                <w:sz w:val="20"/>
              </w:rPr>
              <w:t>1</w:t>
            </w:r>
          </w:p>
        </w:tc>
      </w:tr>
      <w:tr>
        <w:trPr>
          <w:cantSplit/>
        </w:trPr>
        <w:tc>
          <w:tcPr>
            <w:tcW w:type="dxa" w:w="7992"/>
            <w:tcMar>
              <w:top w:w="45" w:type="dxa"/>
              <w:start w:w="70" w:type="dxa"/>
              <w:bottom w:w="45" w:type="dxa"/>
              <w:end w:w="70" w:type="dxa"/>
            </w:tcMar>
          </w:tcPr>
          <w:p>
            <w:pPr>
              <w:ind w:left="0"/>
            </w:pPr>
            <w:r>
              <w:rPr>
                <w:rFonts w:ascii="Times New Roman" w:hAnsi="Times New Roman"/>
                <w:sz w:val="20"/>
              </w:rPr>
              <w:t>Chapter 2: Literature Review</w:t>
            </w:r>
          </w:p>
        </w:tc>
        <w:tc>
          <w:tcPr>
            <w:tcW w:type="dxa" w:w="936"/>
            <w:tcMar>
              <w:top w:w="45" w:type="dxa"/>
              <w:start w:w="70" w:type="dxa"/>
              <w:bottom w:w="45" w:type="dxa"/>
              <w:end w:w="70" w:type="dxa"/>
            </w:tcMar>
          </w:tcPr>
          <w:p>
            <w:pPr>
              <w:jc w:val="center"/>
            </w:pPr>
            <w:r>
              <w:rPr>
                <w:rFonts w:ascii="Times New Roman" w:hAnsi="Times New Roman"/>
                <w:sz w:val="20"/>
              </w:rPr>
              <w:t>3</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2.1 Reinforcement Learning for Fleet Dispatch</w:t>
            </w:r>
          </w:p>
        </w:tc>
        <w:tc>
          <w:tcPr>
            <w:tcW w:type="dxa" w:w="936"/>
            <w:tcMar>
              <w:top w:w="45" w:type="dxa"/>
              <w:start w:w="70" w:type="dxa"/>
              <w:bottom w:w="45" w:type="dxa"/>
              <w:end w:w="70" w:type="dxa"/>
            </w:tcMar>
          </w:tcPr>
          <w:p>
            <w:pPr>
              <w:jc w:val="center"/>
            </w:pPr>
            <w:r>
              <w:rPr>
                <w:rFonts w:ascii="Times New Roman" w:hAnsi="Times New Roman"/>
                <w:sz w:val="20"/>
              </w:rPr>
              <w:t>3</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2.2 Attention as Explanation</w:t>
            </w:r>
          </w:p>
        </w:tc>
        <w:tc>
          <w:tcPr>
            <w:tcW w:type="dxa" w:w="936"/>
            <w:tcMar>
              <w:top w:w="45" w:type="dxa"/>
              <w:start w:w="70" w:type="dxa"/>
              <w:bottom w:w="45" w:type="dxa"/>
              <w:end w:w="70" w:type="dxa"/>
            </w:tcMar>
          </w:tcPr>
          <w:p>
            <w:pPr>
              <w:jc w:val="center"/>
            </w:pPr>
            <w:r>
              <w:rPr>
                <w:rFonts w:ascii="Times New Roman" w:hAnsi="Times New Roman"/>
                <w:sz w:val="20"/>
              </w:rPr>
              <w:t>3</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2.3 Perturbation-Based Faithfulness</w:t>
            </w:r>
          </w:p>
        </w:tc>
        <w:tc>
          <w:tcPr>
            <w:tcW w:type="dxa" w:w="936"/>
            <w:tcMar>
              <w:top w:w="45" w:type="dxa"/>
              <w:start w:w="70" w:type="dxa"/>
              <w:bottom w:w="45" w:type="dxa"/>
              <w:end w:w="70" w:type="dxa"/>
            </w:tcMar>
          </w:tcPr>
          <w:p>
            <w:pPr>
              <w:jc w:val="center"/>
            </w:pPr>
            <w:r>
              <w:rPr>
                <w:rFonts w:ascii="Times New Roman" w:hAnsi="Times New Roman"/>
                <w:sz w:val="20"/>
              </w:rPr>
              <w:t>3</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2.4 Age of Information</w:t>
            </w:r>
          </w:p>
        </w:tc>
        <w:tc>
          <w:tcPr>
            <w:tcW w:type="dxa" w:w="936"/>
            <w:tcMar>
              <w:top w:w="45" w:type="dxa"/>
              <w:start w:w="70" w:type="dxa"/>
              <w:bottom w:w="45" w:type="dxa"/>
              <w:end w:w="70" w:type="dxa"/>
            </w:tcMar>
          </w:tcPr>
          <w:p>
            <w:pPr>
              <w:jc w:val="center"/>
            </w:pPr>
            <w:r>
              <w:rPr>
                <w:rFonts w:ascii="Times New Roman" w:hAnsi="Times New Roman"/>
                <w:sz w:val="20"/>
              </w:rPr>
              <w:t>4</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2.5 Research Gap</w:t>
            </w:r>
          </w:p>
        </w:tc>
        <w:tc>
          <w:tcPr>
            <w:tcW w:type="dxa" w:w="936"/>
            <w:tcMar>
              <w:top w:w="45" w:type="dxa"/>
              <w:start w:w="70" w:type="dxa"/>
              <w:bottom w:w="45" w:type="dxa"/>
              <w:end w:w="70" w:type="dxa"/>
            </w:tcMar>
          </w:tcPr>
          <w:p>
            <w:pPr>
              <w:jc w:val="center"/>
            </w:pPr>
            <w:r>
              <w:rPr>
                <w:rFonts w:ascii="Times New Roman" w:hAnsi="Times New Roman"/>
                <w:sz w:val="20"/>
              </w:rPr>
              <w:t>4</w:t>
            </w:r>
          </w:p>
        </w:tc>
      </w:tr>
      <w:tr>
        <w:trPr>
          <w:cantSplit/>
        </w:trPr>
        <w:tc>
          <w:tcPr>
            <w:tcW w:type="dxa" w:w="7992"/>
            <w:tcMar>
              <w:top w:w="45" w:type="dxa"/>
              <w:start w:w="70" w:type="dxa"/>
              <w:bottom w:w="45" w:type="dxa"/>
              <w:end w:w="70" w:type="dxa"/>
            </w:tcMar>
          </w:tcPr>
          <w:p>
            <w:pPr>
              <w:ind w:left="0"/>
            </w:pPr>
            <w:r>
              <w:rPr>
                <w:rFonts w:ascii="Times New Roman" w:hAnsi="Times New Roman"/>
                <w:sz w:val="20"/>
              </w:rPr>
              <w:t>Chapter 3: Methodology</w:t>
            </w:r>
          </w:p>
        </w:tc>
        <w:tc>
          <w:tcPr>
            <w:tcW w:type="dxa" w:w="936"/>
            <w:tcMar>
              <w:top w:w="45" w:type="dxa"/>
              <w:start w:w="70" w:type="dxa"/>
              <w:bottom w:w="45" w:type="dxa"/>
              <w:end w:w="70" w:type="dxa"/>
            </w:tcMar>
          </w:tcPr>
          <w:p>
            <w:pPr>
              <w:jc w:val="center"/>
            </w:pPr>
            <w:r>
              <w:rPr>
                <w:rFonts w:ascii="Times New Roman" w:hAnsi="Times New Roman"/>
                <w:sz w:val="20"/>
              </w:rPr>
              <w:t>5</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3.1 Research Design</w:t>
            </w:r>
          </w:p>
        </w:tc>
        <w:tc>
          <w:tcPr>
            <w:tcW w:type="dxa" w:w="936"/>
            <w:tcMar>
              <w:top w:w="45" w:type="dxa"/>
              <w:start w:w="70" w:type="dxa"/>
              <w:bottom w:w="45" w:type="dxa"/>
              <w:end w:w="70" w:type="dxa"/>
            </w:tcMar>
          </w:tcPr>
          <w:p>
            <w:pPr>
              <w:jc w:val="center"/>
            </w:pPr>
            <w:r>
              <w:rPr>
                <w:rFonts w:ascii="Times New Roman" w:hAnsi="Times New Roman"/>
                <w:sz w:val="20"/>
              </w:rPr>
              <w:t>5</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3.2 SUMO Dispatch Environment</w:t>
            </w:r>
          </w:p>
        </w:tc>
        <w:tc>
          <w:tcPr>
            <w:tcW w:type="dxa" w:w="936"/>
            <w:tcMar>
              <w:top w:w="45" w:type="dxa"/>
              <w:start w:w="70" w:type="dxa"/>
              <w:bottom w:w="45" w:type="dxa"/>
              <w:end w:w="70" w:type="dxa"/>
            </w:tcMar>
          </w:tcPr>
          <w:p>
            <w:pPr>
              <w:jc w:val="center"/>
            </w:pPr>
            <w:r>
              <w:rPr>
                <w:rFonts w:ascii="Times New Roman" w:hAnsi="Times New Roman"/>
                <w:sz w:val="20"/>
              </w:rPr>
              <w:t>5</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3.3 Telemetry Degradation</w:t>
            </w:r>
          </w:p>
        </w:tc>
        <w:tc>
          <w:tcPr>
            <w:tcW w:type="dxa" w:w="936"/>
            <w:tcMar>
              <w:top w:w="45" w:type="dxa"/>
              <w:start w:w="70" w:type="dxa"/>
              <w:bottom w:w="45" w:type="dxa"/>
              <w:end w:w="70" w:type="dxa"/>
            </w:tcMar>
          </w:tcPr>
          <w:p>
            <w:pPr>
              <w:jc w:val="center"/>
            </w:pPr>
            <w:r>
              <w:rPr>
                <w:rFonts w:ascii="Times New Roman" w:hAnsi="Times New Roman"/>
                <w:sz w:val="20"/>
              </w:rPr>
              <w:t>5</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3.4 Training Protocol</w:t>
            </w:r>
          </w:p>
        </w:tc>
        <w:tc>
          <w:tcPr>
            <w:tcW w:type="dxa" w:w="936"/>
            <w:tcMar>
              <w:top w:w="45" w:type="dxa"/>
              <w:start w:w="70" w:type="dxa"/>
              <w:bottom w:w="45" w:type="dxa"/>
              <w:end w:w="70" w:type="dxa"/>
            </w:tcMar>
          </w:tcPr>
          <w:p>
            <w:pPr>
              <w:jc w:val="center"/>
            </w:pPr>
            <w:r>
              <w:rPr>
                <w:rFonts w:ascii="Times New Roman" w:hAnsi="Times New Roman"/>
                <w:sz w:val="20"/>
              </w:rPr>
              <w:t>6</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3.5 Explanation Metrics and Validity Audit</w:t>
            </w:r>
          </w:p>
        </w:tc>
        <w:tc>
          <w:tcPr>
            <w:tcW w:type="dxa" w:w="936"/>
            <w:tcMar>
              <w:top w:w="45" w:type="dxa"/>
              <w:start w:w="70" w:type="dxa"/>
              <w:bottom w:w="45" w:type="dxa"/>
              <w:end w:w="70" w:type="dxa"/>
            </w:tcMar>
          </w:tcPr>
          <w:p>
            <w:pPr>
              <w:jc w:val="center"/>
            </w:pPr>
            <w:r>
              <w:rPr>
                <w:rFonts w:ascii="Times New Roman" w:hAnsi="Times New Roman"/>
                <w:sz w:val="20"/>
              </w:rPr>
              <w:t>6</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3.6 Statistical Testing</w:t>
            </w:r>
          </w:p>
        </w:tc>
        <w:tc>
          <w:tcPr>
            <w:tcW w:type="dxa" w:w="936"/>
            <w:tcMar>
              <w:top w:w="45" w:type="dxa"/>
              <w:start w:w="70" w:type="dxa"/>
              <w:bottom w:w="45" w:type="dxa"/>
              <w:end w:w="70" w:type="dxa"/>
            </w:tcMar>
          </w:tcPr>
          <w:p>
            <w:pPr>
              <w:jc w:val="center"/>
            </w:pPr>
            <w:r>
              <w:rPr>
                <w:rFonts w:ascii="Times New Roman" w:hAnsi="Times New Roman"/>
                <w:sz w:val="20"/>
              </w:rPr>
              <w:t>8</w:t>
            </w:r>
          </w:p>
        </w:tc>
      </w:tr>
      <w:tr>
        <w:trPr>
          <w:cantSplit/>
        </w:trPr>
        <w:tc>
          <w:tcPr>
            <w:tcW w:type="dxa" w:w="7992"/>
            <w:tcMar>
              <w:top w:w="45" w:type="dxa"/>
              <w:start w:w="70" w:type="dxa"/>
              <w:bottom w:w="45" w:type="dxa"/>
              <w:end w:w="70" w:type="dxa"/>
            </w:tcMar>
          </w:tcPr>
          <w:p>
            <w:pPr>
              <w:ind w:left="0"/>
            </w:pPr>
            <w:r>
              <w:rPr>
                <w:rFonts w:ascii="Times New Roman" w:hAnsi="Times New Roman"/>
                <w:sz w:val="20"/>
              </w:rPr>
              <w:t>Chapter 4: Model Design and Implementation</w:t>
            </w:r>
          </w:p>
        </w:tc>
        <w:tc>
          <w:tcPr>
            <w:tcW w:type="dxa" w:w="936"/>
            <w:tcMar>
              <w:top w:w="45" w:type="dxa"/>
              <w:start w:w="70" w:type="dxa"/>
              <w:bottom w:w="45" w:type="dxa"/>
              <w:end w:w="70" w:type="dxa"/>
            </w:tcMar>
          </w:tcPr>
          <w:p>
            <w:pPr>
              <w:jc w:val="center"/>
            </w:pPr>
            <w:r>
              <w:rPr>
                <w:rFonts w:ascii="Times New Roman" w:hAnsi="Times New Roman"/>
                <w:sz w:val="20"/>
              </w:rPr>
              <w:t>9</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4.1 Model Conditions</w:t>
            </w:r>
          </w:p>
        </w:tc>
        <w:tc>
          <w:tcPr>
            <w:tcW w:type="dxa" w:w="936"/>
            <w:tcMar>
              <w:top w:w="45" w:type="dxa"/>
              <w:start w:w="70" w:type="dxa"/>
              <w:bottom w:w="45" w:type="dxa"/>
              <w:end w:w="70" w:type="dxa"/>
            </w:tcMar>
          </w:tcPr>
          <w:p>
            <w:pPr>
              <w:jc w:val="center"/>
            </w:pPr>
            <w:r>
              <w:rPr>
                <w:rFonts w:ascii="Times New Roman" w:hAnsi="Times New Roman"/>
                <w:sz w:val="20"/>
              </w:rPr>
              <w:t>9</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4.2 Graph-Attention Policy</w:t>
            </w:r>
          </w:p>
        </w:tc>
        <w:tc>
          <w:tcPr>
            <w:tcW w:type="dxa" w:w="936"/>
            <w:tcMar>
              <w:top w:w="45" w:type="dxa"/>
              <w:start w:w="70" w:type="dxa"/>
              <w:bottom w:w="45" w:type="dxa"/>
              <w:end w:w="70" w:type="dxa"/>
            </w:tcMar>
          </w:tcPr>
          <w:p>
            <w:pPr>
              <w:jc w:val="center"/>
            </w:pPr>
            <w:r>
              <w:rPr>
                <w:rFonts w:ascii="Times New Roman" w:hAnsi="Times New Roman"/>
                <w:sz w:val="20"/>
              </w:rPr>
              <w:t>10</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4.3 Gap-Model Alignment</w:t>
            </w:r>
          </w:p>
        </w:tc>
        <w:tc>
          <w:tcPr>
            <w:tcW w:type="dxa" w:w="936"/>
            <w:tcMar>
              <w:top w:w="45" w:type="dxa"/>
              <w:start w:w="70" w:type="dxa"/>
              <w:bottom w:w="45" w:type="dxa"/>
              <w:end w:w="70" w:type="dxa"/>
            </w:tcMar>
          </w:tcPr>
          <w:p>
            <w:pPr>
              <w:jc w:val="center"/>
            </w:pPr>
            <w:r>
              <w:rPr>
                <w:rFonts w:ascii="Times New Roman" w:hAnsi="Times New Roman"/>
                <w:sz w:val="20"/>
              </w:rPr>
              <w:t>11</w:t>
            </w:r>
          </w:p>
        </w:tc>
      </w:tr>
      <w:tr>
        <w:trPr>
          <w:cantSplit/>
        </w:trPr>
        <w:tc>
          <w:tcPr>
            <w:tcW w:type="dxa" w:w="7992"/>
            <w:tcMar>
              <w:top w:w="45" w:type="dxa"/>
              <w:start w:w="70" w:type="dxa"/>
              <w:bottom w:w="45" w:type="dxa"/>
              <w:end w:w="70" w:type="dxa"/>
            </w:tcMar>
          </w:tcPr>
          <w:p>
            <w:pPr>
              <w:ind w:left="0"/>
            </w:pPr>
            <w:r>
              <w:rPr>
                <w:rFonts w:ascii="Times New Roman" w:hAnsi="Times New Roman"/>
                <w:sz w:val="20"/>
              </w:rPr>
              <w:t>Chapter 5: Results and Discussion</w:t>
            </w:r>
          </w:p>
        </w:tc>
        <w:tc>
          <w:tcPr>
            <w:tcW w:type="dxa" w:w="936"/>
            <w:tcMar>
              <w:top w:w="45" w:type="dxa"/>
              <w:start w:w="70" w:type="dxa"/>
              <w:bottom w:w="45" w:type="dxa"/>
              <w:end w:w="70" w:type="dxa"/>
            </w:tcMar>
          </w:tcPr>
          <w:p>
            <w:pPr>
              <w:jc w:val="center"/>
            </w:pPr>
            <w:r>
              <w:rPr>
                <w:rFonts w:ascii="Times New Roman" w:hAnsi="Times New Roman"/>
                <w:sz w:val="20"/>
              </w:rPr>
              <w:t>12</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5.1 Performance Context</w:t>
            </w:r>
          </w:p>
        </w:tc>
        <w:tc>
          <w:tcPr>
            <w:tcW w:type="dxa" w:w="936"/>
            <w:tcMar>
              <w:top w:w="45" w:type="dxa"/>
              <w:start w:w="70" w:type="dxa"/>
              <w:bottom w:w="45" w:type="dxa"/>
              <w:end w:w="70" w:type="dxa"/>
            </w:tcMar>
          </w:tcPr>
          <w:p>
            <w:pPr>
              <w:jc w:val="center"/>
            </w:pPr>
            <w:r>
              <w:rPr>
                <w:rFonts w:ascii="Times New Roman" w:hAnsi="Times New Roman"/>
                <w:sz w:val="20"/>
              </w:rPr>
              <w:t>12</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5.2 Clean-Telemetry Faithfulness and Metric Validation</w:t>
            </w:r>
          </w:p>
        </w:tc>
        <w:tc>
          <w:tcPr>
            <w:tcW w:type="dxa" w:w="936"/>
            <w:tcMar>
              <w:top w:w="45" w:type="dxa"/>
              <w:start w:w="70" w:type="dxa"/>
              <w:bottom w:w="45" w:type="dxa"/>
              <w:end w:w="70" w:type="dxa"/>
            </w:tcMar>
          </w:tcPr>
          <w:p>
            <w:pPr>
              <w:jc w:val="center"/>
            </w:pPr>
            <w:r>
              <w:rPr>
                <w:rFonts w:ascii="Times New Roman" w:hAnsi="Times New Roman"/>
                <w:sz w:val="20"/>
              </w:rPr>
              <w:t>12</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5.3 Stale Telemetry and Explanation Content</w:t>
            </w:r>
          </w:p>
        </w:tc>
        <w:tc>
          <w:tcPr>
            <w:tcW w:type="dxa" w:w="936"/>
            <w:tcMar>
              <w:top w:w="45" w:type="dxa"/>
              <w:start w:w="70" w:type="dxa"/>
              <w:bottom w:w="45" w:type="dxa"/>
              <w:end w:w="70" w:type="dxa"/>
            </w:tcMar>
          </w:tcPr>
          <w:p>
            <w:pPr>
              <w:jc w:val="center"/>
            </w:pPr>
            <w:r>
              <w:rPr>
                <w:rFonts w:ascii="Times New Roman" w:hAnsi="Times New Roman"/>
                <w:sz w:val="20"/>
              </w:rPr>
              <w:t>15</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5.4 Mitigation Results</w:t>
            </w:r>
          </w:p>
        </w:tc>
        <w:tc>
          <w:tcPr>
            <w:tcW w:type="dxa" w:w="936"/>
            <w:tcMar>
              <w:top w:w="45" w:type="dxa"/>
              <w:start w:w="70" w:type="dxa"/>
              <w:bottom w:w="45" w:type="dxa"/>
              <w:end w:w="70" w:type="dxa"/>
            </w:tcMar>
          </w:tcPr>
          <w:p>
            <w:pPr>
              <w:jc w:val="center"/>
            </w:pPr>
            <w:r>
              <w:rPr>
                <w:rFonts w:ascii="Times New Roman" w:hAnsi="Times New Roman"/>
                <w:sz w:val="20"/>
              </w:rPr>
              <w:t>18</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5.5 Discussion</w:t>
            </w:r>
          </w:p>
        </w:tc>
        <w:tc>
          <w:tcPr>
            <w:tcW w:type="dxa" w:w="936"/>
            <w:tcMar>
              <w:top w:w="45" w:type="dxa"/>
              <w:start w:w="70" w:type="dxa"/>
              <w:bottom w:w="45" w:type="dxa"/>
              <w:end w:w="70" w:type="dxa"/>
            </w:tcMar>
          </w:tcPr>
          <w:p>
            <w:pPr>
              <w:jc w:val="center"/>
            </w:pPr>
            <w:r>
              <w:rPr>
                <w:rFonts w:ascii="Times New Roman" w:hAnsi="Times New Roman"/>
                <w:sz w:val="20"/>
              </w:rPr>
              <w:t>19</w:t>
            </w:r>
          </w:p>
        </w:tc>
      </w:tr>
      <w:tr>
        <w:trPr>
          <w:cantSplit/>
        </w:trPr>
        <w:tc>
          <w:tcPr>
            <w:tcW w:type="dxa" w:w="7992"/>
            <w:tcMar>
              <w:top w:w="45" w:type="dxa"/>
              <w:start w:w="70" w:type="dxa"/>
              <w:bottom w:w="45" w:type="dxa"/>
              <w:end w:w="70" w:type="dxa"/>
            </w:tcMar>
          </w:tcPr>
          <w:p>
            <w:pPr>
              <w:ind w:left="0"/>
            </w:pPr>
            <w:r>
              <w:rPr>
                <w:rFonts w:ascii="Times New Roman" w:hAnsi="Times New Roman"/>
                <w:sz w:val="20"/>
              </w:rPr>
              <w:t>Chapter 6: Conclusion</w:t>
            </w:r>
          </w:p>
        </w:tc>
        <w:tc>
          <w:tcPr>
            <w:tcW w:type="dxa" w:w="936"/>
            <w:tcMar>
              <w:top w:w="45" w:type="dxa"/>
              <w:start w:w="70" w:type="dxa"/>
              <w:bottom w:w="45" w:type="dxa"/>
              <w:end w:w="70" w:type="dxa"/>
            </w:tcMar>
          </w:tcPr>
          <w:p>
            <w:pPr>
              <w:jc w:val="center"/>
            </w:pPr>
            <w:r>
              <w:rPr>
                <w:rFonts w:ascii="Times New Roman" w:hAnsi="Times New Roman"/>
                <w:sz w:val="20"/>
              </w:rPr>
              <w:t>21</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6.1 Summary of Findings and Contributions</w:t>
            </w:r>
          </w:p>
        </w:tc>
        <w:tc>
          <w:tcPr>
            <w:tcW w:type="dxa" w:w="936"/>
            <w:tcMar>
              <w:top w:w="45" w:type="dxa"/>
              <w:start w:w="70" w:type="dxa"/>
              <w:bottom w:w="45" w:type="dxa"/>
              <w:end w:w="70" w:type="dxa"/>
            </w:tcMar>
          </w:tcPr>
          <w:p>
            <w:pPr>
              <w:jc w:val="center"/>
            </w:pPr>
            <w:r>
              <w:rPr>
                <w:rFonts w:ascii="Times New Roman" w:hAnsi="Times New Roman"/>
                <w:sz w:val="20"/>
              </w:rPr>
              <w:t>21</w:t>
            </w:r>
          </w:p>
        </w:tc>
      </w:tr>
      <w:tr>
        <w:trPr>
          <w:cantSplit/>
        </w:trPr>
        <w:tc>
          <w:tcPr>
            <w:tcW w:type="dxa" w:w="7992"/>
            <w:tcMar>
              <w:top w:w="45" w:type="dxa"/>
              <w:start w:w="70" w:type="dxa"/>
              <w:bottom w:w="45" w:type="dxa"/>
              <w:end w:w="70" w:type="dxa"/>
            </w:tcMar>
          </w:tcPr>
          <w:p>
            <w:pPr>
              <w:ind w:left="288"/>
            </w:pPr>
            <w:r>
              <w:rPr>
                <w:rFonts w:ascii="Times New Roman" w:hAnsi="Times New Roman"/>
                <w:sz w:val="20"/>
              </w:rPr>
              <w:t>6.2 Limitations</w:t>
            </w:r>
          </w:p>
        </w:tc>
        <w:tc>
          <w:tcPr>
            <w:tcW w:type="dxa" w:w="936"/>
            <w:tcMar>
              <w:top w:w="45" w:type="dxa"/>
              <w:start w:w="70" w:type="dxa"/>
              <w:bottom w:w="45" w:type="dxa"/>
              <w:end w:w="70" w:type="dxa"/>
            </w:tcMar>
          </w:tcPr>
          <w:p>
            <w:pPr>
              <w:jc w:val="center"/>
            </w:pPr>
            <w:r>
              <w:rPr>
                <w:rFonts w:ascii="Times New Roman" w:hAnsi="Times New Roman"/>
                <w:sz w:val="20"/>
              </w:rPr>
              <w:t>21</w:t>
            </w:r>
          </w:p>
        </w:tc>
      </w:tr>
      <w:tr>
        <w:trPr>
          <w:cantSplit/>
        </w:trPr>
        <w:tc>
          <w:tcPr>
            <w:tcW w:type="dxa" w:w="7992"/>
            <w:tcMar>
              <w:top w:w="45" w:type="dxa"/>
              <w:start w:w="70" w:type="dxa"/>
              <w:bottom w:w="45" w:type="dxa"/>
              <w:end w:w="70" w:type="dxa"/>
            </w:tcMar>
          </w:tcPr>
          <w:p>
            <w:pPr>
              <w:ind w:left="0"/>
            </w:pPr>
            <w:r>
              <w:rPr>
                <w:rFonts w:ascii="Times New Roman" w:hAnsi="Times New Roman"/>
                <w:sz w:val="20"/>
              </w:rPr>
              <w:t>Chapter 7: Future Work</w:t>
            </w:r>
          </w:p>
        </w:tc>
        <w:tc>
          <w:tcPr>
            <w:tcW w:type="dxa" w:w="936"/>
            <w:tcMar>
              <w:top w:w="45" w:type="dxa"/>
              <w:start w:w="70" w:type="dxa"/>
              <w:bottom w:w="45" w:type="dxa"/>
              <w:end w:w="70" w:type="dxa"/>
            </w:tcMar>
          </w:tcPr>
          <w:p>
            <w:pPr>
              <w:jc w:val="center"/>
            </w:pPr>
            <w:r>
              <w:rPr>
                <w:rFonts w:ascii="Times New Roman" w:hAnsi="Times New Roman"/>
                <w:sz w:val="20"/>
              </w:rPr>
              <w:t>23</w:t>
            </w:r>
          </w:p>
        </w:tc>
      </w:tr>
      <w:tr>
        <w:trPr>
          <w:cantSplit/>
        </w:trPr>
        <w:tc>
          <w:tcPr>
            <w:tcW w:type="dxa" w:w="7992"/>
            <w:tcMar>
              <w:top w:w="45" w:type="dxa"/>
              <w:start w:w="70" w:type="dxa"/>
              <w:bottom w:w="45" w:type="dxa"/>
              <w:end w:w="70" w:type="dxa"/>
            </w:tcMar>
          </w:tcPr>
          <w:p>
            <w:pPr>
              <w:ind w:left="0"/>
            </w:pPr>
            <w:r>
              <w:rPr>
                <w:rFonts w:ascii="Times New Roman" w:hAnsi="Times New Roman"/>
                <w:sz w:val="20"/>
              </w:rPr>
              <w:t>List of Publications</w:t>
            </w:r>
          </w:p>
        </w:tc>
        <w:tc>
          <w:tcPr>
            <w:tcW w:type="dxa" w:w="936"/>
            <w:tcMar>
              <w:top w:w="45" w:type="dxa"/>
              <w:start w:w="70" w:type="dxa"/>
              <w:bottom w:w="45" w:type="dxa"/>
              <w:end w:w="70" w:type="dxa"/>
            </w:tcMar>
          </w:tcPr>
          <w:p>
            <w:pPr>
              <w:jc w:val="center"/>
            </w:pPr>
            <w:r>
              <w:rPr>
                <w:rFonts w:ascii="Times New Roman" w:hAnsi="Times New Roman"/>
                <w:sz w:val="20"/>
              </w:rPr>
              <w:t>24</w:t>
            </w:r>
          </w:p>
        </w:tc>
      </w:tr>
      <w:tr>
        <w:trPr>
          <w:cantSplit/>
        </w:trPr>
        <w:tc>
          <w:tcPr>
            <w:tcW w:type="dxa" w:w="7992"/>
            <w:tcMar>
              <w:top w:w="45" w:type="dxa"/>
              <w:start w:w="70" w:type="dxa"/>
              <w:bottom w:w="45" w:type="dxa"/>
              <w:end w:w="70" w:type="dxa"/>
            </w:tcMar>
          </w:tcPr>
          <w:p>
            <w:pPr>
              <w:ind w:left="0"/>
            </w:pPr>
            <w:r>
              <w:rPr>
                <w:rFonts w:ascii="Times New Roman" w:hAnsi="Times New Roman"/>
                <w:sz w:val="20"/>
              </w:rPr>
              <w:t>References</w:t>
            </w:r>
          </w:p>
        </w:tc>
        <w:tc>
          <w:tcPr>
            <w:tcW w:type="dxa" w:w="936"/>
            <w:tcMar>
              <w:top w:w="45" w:type="dxa"/>
              <w:start w:w="70" w:type="dxa"/>
              <w:bottom w:w="45" w:type="dxa"/>
              <w:end w:w="70" w:type="dxa"/>
            </w:tcMar>
          </w:tcPr>
          <w:p>
            <w:pPr>
              <w:jc w:val="center"/>
            </w:pPr>
            <w:r>
              <w:rPr>
                <w:rFonts w:ascii="Times New Roman" w:hAnsi="Times New Roman"/>
                <w:sz w:val="20"/>
              </w:rPr>
              <w:t>25</w:t>
            </w:r>
          </w:p>
        </w:tc>
      </w:tr>
      <w:tr>
        <w:trPr>
          <w:cantSplit/>
        </w:trPr>
        <w:tc>
          <w:tcPr>
            <w:tcW w:type="dxa" w:w="7992"/>
            <w:tcMar>
              <w:top w:w="45" w:type="dxa"/>
              <w:start w:w="70" w:type="dxa"/>
              <w:bottom w:w="45" w:type="dxa"/>
              <w:end w:w="70" w:type="dxa"/>
            </w:tcMar>
          </w:tcPr>
          <w:p>
            <w:pPr>
              <w:ind w:left="0"/>
            </w:pPr>
            <w:r>
              <w:rPr>
                <w:rFonts w:ascii="Times New Roman" w:hAnsi="Times New Roman"/>
                <w:sz w:val="20"/>
              </w:rPr>
              <w:t>Appendices</w:t>
            </w:r>
          </w:p>
        </w:tc>
        <w:tc>
          <w:tcPr>
            <w:tcW w:type="dxa" w:w="936"/>
            <w:tcMar>
              <w:top w:w="45" w:type="dxa"/>
              <w:start w:w="70" w:type="dxa"/>
              <w:bottom w:w="45" w:type="dxa"/>
              <w:end w:w="70" w:type="dxa"/>
            </w:tcMar>
          </w:tcPr>
          <w:p>
            <w:pPr>
              <w:jc w:val="center"/>
            </w:pPr>
            <w:r>
              <w:rPr>
                <w:rFonts w:ascii="Times New Roman" w:hAnsi="Times New Roman"/>
                <w:sz w:val="20"/>
              </w:rPr>
              <w:t>27</w:t>
            </w:r>
          </w:p>
        </w:tc>
      </w:tr>
    </w:tbl>
    <w:p>
      <w:pPr>
        <w:sectPr>
          <w:footerReference w:type="default" r:id="rId18"/>
          <w:pgSz w:w="11909" w:h="16834"/>
          <w:pgMar w:top="850" w:right="1440" w:bottom="1483" w:left="1440" w:header="720" w:footer="720" w:gutter="0"/>
          <w:pgNumType w:start="2" w:fmt="lowerRoman"/>
          <w:cols w:space="720"/>
        </w:sectPr>
      </w:pPr>
    </w:p>
    <w:p>
      <w:pPr>
        <w:pStyle w:val="Heading1"/>
      </w:pPr>
      <w:r>
        <w:rPr>
          <w:rFonts w:ascii="Times New Roman" w:hAnsi="Times New Roman"/>
          <w:sz w:val="28"/>
        </w:rPr>
        <w:t>Chapter 1: Introduction</w:t>
      </w:r>
    </w:p>
    <w:p>
      <w:pPr>
        <w:pStyle w:val="Heading2"/>
      </w:pPr>
      <w:r>
        <w:rPr>
          <w:rFonts w:ascii="Times New Roman" w:hAnsi="Times New Roman"/>
          <w:sz w:val="24"/>
        </w:rPr>
        <w:t>1.1 Background and Motivation</w:t>
      </w:r>
    </w:p>
    <w:p>
      <w:pPr>
        <w:spacing w:line="276" w:lineRule="auto" w:after="120"/>
        <w:jc w:val="both"/>
      </w:pPr>
      <w:r>
        <w:rPr>
          <w:rFonts w:ascii="Times New Roman" w:hAnsi="Times New Roman"/>
          <w:sz w:val="24"/>
        </w:rPr>
        <w:t>Fleet dispatch systems depend on timely vehicle locations, speeds and availability. In practice, those updates can be delayed by tunnels, signal loss and dense urban infrastructure. A dispatcher may continue to produce a decision from the last available state, but an explanation of that decision can then refer to information that is no longer current. Stable task performance alone does not show that the explanation remains trustworthy.</w:t>
      </w:r>
    </w:p>
    <w:p>
      <w:pPr>
        <w:spacing w:line="276" w:lineRule="auto" w:after="120"/>
        <w:jc w:val="both"/>
      </w:pPr>
      <w:r>
        <w:rPr>
          <w:rFonts w:ascii="Times New Roman" w:hAnsi="Times New Roman"/>
          <w:sz w:val="24"/>
        </w:rPr>
        <w:t>This dissertation studies that problem in a graph-attention multi-agent reinforcement learning (MARL) dispatcher. Fleet dispatch is relational: a taxi chooses among passenger requests while considering nearby vehicles and competing demand. Graph attention networks (Velickovic et al., 2018) provide a compact way to model those relationships and expose per-node attention weights. Because the weights are easy to visualise, they are tempting to present as explanations. Previous work has shown, however, that attention is not automatically faithful to a model's decision (Jain and Wallace, 2019; Wiegreffe and Pinter, 2019; Serrano and Smith, 2019; Liu et al., 2022).</w:t>
      </w:r>
    </w:p>
    <w:p>
      <w:pPr>
        <w:pStyle w:val="Heading2"/>
      </w:pPr>
      <w:r>
        <w:rPr>
          <w:rFonts w:ascii="Times New Roman" w:hAnsi="Times New Roman"/>
          <w:sz w:val="24"/>
        </w:rPr>
        <w:t>1.2 Problem Statement</w:t>
      </w:r>
    </w:p>
    <w:p>
      <w:pPr>
        <w:spacing w:line="276" w:lineRule="auto" w:after="120"/>
        <w:jc w:val="both"/>
      </w:pPr>
      <w:r>
        <w:rPr>
          <w:rFonts w:ascii="Times New Roman" w:hAnsi="Times New Roman"/>
          <w:sz w:val="24"/>
        </w:rPr>
        <w:t xml:space="preserve">The central concern is </w:t>
      </w:r>
      <w:r>
        <w:rPr>
          <w:rFonts w:ascii="Times New Roman" w:hAnsi="Times New Roman"/>
          <w:b/>
          <w:sz w:val="24"/>
        </w:rPr>
        <w:t>faithfulness decoupling</w:t>
      </w:r>
      <w:r>
        <w:rPr>
          <w:rFonts w:ascii="Times New Roman" w:hAnsi="Times New Roman"/>
          <w:sz w:val="24"/>
        </w:rPr>
        <w:t>. In this study the term has a specific meaning: the content of the explanation shifts toward stale data, while task performance and aggregate faithfulness provide no corresponding warning. This is narrower than claiming that increasing AoI directly causes a monotonic loss of faithfulness. The experiments do not support that stronger dose-response claim.</w:t>
      </w:r>
    </w:p>
    <w:p>
      <w:pPr>
        <w:pStyle w:val="Heading2"/>
      </w:pPr>
      <w:r>
        <w:rPr>
          <w:rFonts w:ascii="Times New Roman" w:hAnsi="Times New Roman"/>
          <w:sz w:val="24"/>
        </w:rPr>
        <w:t>1.3 Research Questions and Objectives</w:t>
      </w:r>
    </w:p>
    <w:p>
      <w:pPr>
        <w:spacing w:line="276" w:lineRule="auto" w:after="120"/>
        <w:jc w:val="both"/>
      </w:pPr>
      <w:r>
        <w:rPr>
          <w:rFonts w:ascii="Times New Roman" w:hAnsi="Times New Roman"/>
          <w:sz w:val="24"/>
        </w:rPr>
        <w:t>Three research questions organise the study:</w:t>
      </w:r>
    </w:p>
    <w:p>
      <w:pPr>
        <w:spacing w:after="80"/>
        <w:ind w:left="403" w:hanging="317"/>
        <w:jc w:val="both"/>
      </w:pPr>
      <w:r>
        <w:rPr>
          <w:rFonts w:ascii="Times New Roman" w:hAnsi="Times New Roman"/>
          <w:b/>
          <w:sz w:val="24"/>
        </w:rPr>
        <w:t xml:space="preserve">1. </w:t>
      </w:r>
      <w:r>
        <w:rPr>
          <w:rFonts w:ascii="Times New Roman" w:hAnsi="Times New Roman"/>
          <w:b/>
          <w:sz w:val="24"/>
        </w:rPr>
        <w:t>RQ1:</w:t>
      </w:r>
      <w:r>
        <w:rPr>
          <w:rFonts w:ascii="Times New Roman" w:hAnsi="Times New Roman"/>
          <w:sz w:val="24"/>
        </w:rPr>
        <w:t xml:space="preserve"> Is the GAT attention channel a faithful explanation of dispatch decisions under clean telemetry?</w:t>
      </w:r>
    </w:p>
    <w:p>
      <w:pPr>
        <w:spacing w:after="80"/>
        <w:ind w:left="403" w:hanging="317"/>
        <w:jc w:val="both"/>
      </w:pPr>
      <w:r>
        <w:rPr>
          <w:rFonts w:ascii="Times New Roman" w:hAnsi="Times New Roman"/>
          <w:b/>
          <w:sz w:val="24"/>
        </w:rPr>
        <w:t xml:space="preserve">2. </w:t>
      </w:r>
      <w:r>
        <w:rPr>
          <w:rFonts w:ascii="Times New Roman" w:hAnsi="Times New Roman"/>
          <w:b/>
          <w:sz w:val="24"/>
        </w:rPr>
        <w:t>RQ2:</w:t>
      </w:r>
      <w:r>
        <w:rPr>
          <w:rFonts w:ascii="Times New Roman" w:hAnsi="Times New Roman"/>
          <w:sz w:val="24"/>
        </w:rPr>
        <w:t xml:space="preserve"> How does stale telemetry affect explanation content and its relationship with task performance?</w:t>
      </w:r>
    </w:p>
    <w:p>
      <w:pPr>
        <w:spacing w:after="80"/>
        <w:ind w:left="403" w:hanging="317"/>
        <w:jc w:val="both"/>
      </w:pPr>
      <w:r>
        <w:rPr>
          <w:rFonts w:ascii="Times New Roman" w:hAnsi="Times New Roman"/>
          <w:b/>
          <w:sz w:val="24"/>
        </w:rPr>
        <w:t xml:space="preserve">3. </w:t>
      </w:r>
      <w:r>
        <w:rPr>
          <w:rFonts w:ascii="Times New Roman" w:hAnsi="Times New Roman"/>
          <w:b/>
          <w:sz w:val="24"/>
        </w:rPr>
        <w:t>RQ3:</w:t>
      </w:r>
      <w:r>
        <w:rPr>
          <w:rFonts w:ascii="Times New Roman" w:hAnsi="Times New Roman"/>
          <w:sz w:val="24"/>
        </w:rPr>
        <w:t xml:space="preserve"> Can degradation-aware training or a separate explanation head reduce the problem?</w:t>
      </w:r>
    </w:p>
    <w:p>
      <w:pPr>
        <w:pStyle w:val="Heading2"/>
      </w:pPr>
      <w:r>
        <w:rPr>
          <w:rFonts w:ascii="Times New Roman" w:hAnsi="Times New Roman"/>
          <w:sz w:val="24"/>
        </w:rPr>
        <w:t>1.4 Scope, Significance and Contributions</w:t>
      </w:r>
    </w:p>
    <w:p>
      <w:pPr>
        <w:spacing w:line="276" w:lineRule="auto" w:after="120"/>
        <w:jc w:val="both"/>
      </w:pPr>
      <w:r>
        <w:rPr>
          <w:rFonts w:ascii="Times New Roman" w:hAnsi="Times New Roman"/>
          <w:sz w:val="24"/>
        </w:rPr>
        <w:t>Answering RQ1 requires validating the faithfulness test itself. Perturbation tests normally remove the inputs selected by an explanation and compare the effect with removing random inputs (DeYoung et al., 2020). In this dispatcher, however, a passenger-request node is also a dispatch action. Removing a nearby-taxi node only hides context; removing a request node also deletes an available action. A random baseline that removes more requests than the attention explanation therefore creates an unfair comparison. The study audits this effect and uses a type-matched baseline that removes the same mixture of vehicle and request nodes on both sides.</w:t>
      </w:r>
    </w:p>
    <w:p>
      <w:pPr>
        <w:spacing w:line="276" w:lineRule="auto" w:after="120"/>
        <w:jc w:val="both"/>
      </w:pPr>
      <w:r>
        <w:rPr>
          <w:rFonts w:ascii="Times New Roman" w:hAnsi="Times New Roman"/>
          <w:sz w:val="24"/>
        </w:rPr>
        <w:t>The experiment is conducted in SUMO (Lopez et al., 2018) on a tunnel-rich road network in Chongqing. Tunnel entry triggers simulated signal loss, but SUMO continues to move the vehicle using the true state. Only the observation supplied to the policy is degraded: its last valid position and speed are retained while Age of Information (AoI) (Kaul, Yates and Gruteser, 2012) grows. This separation keeps the physical traffic world intact and isolates the effect of stale information on the policy and its explanation.</w:t>
      </w:r>
    </w:p>
    <w:p>
      <w:pPr>
        <w:spacing w:line="276" w:lineRule="auto" w:after="120"/>
        <w:jc w:val="both"/>
      </w:pPr>
      <w:r>
        <w:rPr>
          <w:rFonts w:ascii="Times New Roman" w:hAnsi="Times New Roman"/>
          <w:sz w:val="24"/>
        </w:rPr>
        <w:t>The corrected clean-telemetry result is that built-in attention is approximately uninformative: type-matched margin-DEF is -0.009. Under degraded telemetry, attention moves onto stale vehicle nodes while pickups and aggregate faithfulness remain broadly flat. Decisions with more stale-node attention are also less faithful within episodes. Degradation-aware training does not change this result, and a decoupled explanation head provides only a small improvement on clean telemetry.</w:t>
      </w:r>
    </w:p>
    <w:p>
      <w:pPr>
        <w:spacing w:line="276" w:lineRule="auto" w:after="120"/>
        <w:jc w:val="both"/>
      </w:pPr>
      <w:r>
        <w:rPr>
          <w:rFonts w:ascii="Times New Roman" w:hAnsi="Times New Roman"/>
          <w:sz w:val="24"/>
        </w:rPr>
        <w:t xml:space="preserve">The intended </w:t>
      </w:r>
      <w:r>
        <w:rPr>
          <w:rFonts w:ascii="Courier New" w:hAnsi="Courier New"/>
          <w:sz w:val="22"/>
        </w:rPr>
        <w:t>{5, 15, 30, 60}</w:t>
      </w:r>
      <w:r>
        <w:rPr>
          <w:rFonts w:ascii="Times New Roman" w:hAnsi="Times New Roman"/>
          <w:sz w:val="24"/>
        </w:rPr>
        <w:t xml:space="preserve"> s AoI ladder did not create distinct realised staleness levels because tunnel transit time dominated the lower settings and the observation encoded AoI with a 60 s cap. The degradation evidence is therefore reported as a clean-versus-degraded comparison. The learned policy also performs well below SUMO's greedy matcher, so the degradation findings are scoped to the experimental policy rather than a production-ready dispatcher.</w:t>
      </w:r>
    </w:p>
    <w:p>
      <w:pPr>
        <w:spacing w:line="276" w:lineRule="auto" w:after="120"/>
        <w:jc w:val="both"/>
      </w:pPr>
      <w:r>
        <w:rPr>
          <w:rFonts w:ascii="Times New Roman" w:hAnsi="Times New Roman"/>
          <w:sz w:val="24"/>
        </w:rPr>
        <w:t>The contributions are:</w:t>
      </w:r>
    </w:p>
    <w:p>
      <w:pPr>
        <w:spacing w:after="80"/>
        <w:ind w:left="403" w:hanging="317"/>
        <w:jc w:val="both"/>
      </w:pPr>
      <w:r>
        <w:rPr>
          <w:rFonts w:ascii="Times New Roman" w:hAnsi="Times New Roman"/>
          <w:b/>
          <w:sz w:val="24"/>
        </w:rPr>
        <w:t xml:space="preserve">1. </w:t>
      </w:r>
      <w:r>
        <w:rPr>
          <w:rFonts w:ascii="Times New Roman" w:hAnsi="Times New Roman"/>
          <w:sz w:val="24"/>
        </w:rPr>
        <w:t>A controlled SUMO study showing that stale telemetry shifts graph attention toward stale vehicle nodes without a corresponding change in pickups or aggregate faithfulness.</w:t>
      </w:r>
    </w:p>
    <w:p>
      <w:pPr>
        <w:spacing w:after="80"/>
        <w:ind w:left="403" w:hanging="317"/>
        <w:jc w:val="both"/>
      </w:pPr>
      <w:r>
        <w:rPr>
          <w:rFonts w:ascii="Times New Roman" w:hAnsi="Times New Roman"/>
          <w:b/>
          <w:sz w:val="24"/>
        </w:rPr>
        <w:t xml:space="preserve">2. </w:t>
      </w:r>
      <w:r>
        <w:rPr>
          <w:rFonts w:ascii="Times New Roman" w:hAnsi="Times New Roman"/>
          <w:sz w:val="24"/>
        </w:rPr>
        <w:t>Evidence that greater stale-node attention is associated with lower decision-level faithfulness within episodes.</w:t>
      </w:r>
    </w:p>
    <w:p>
      <w:pPr>
        <w:spacing w:after="80"/>
        <w:ind w:left="403" w:hanging="317"/>
        <w:jc w:val="both"/>
      </w:pPr>
      <w:r>
        <w:rPr>
          <w:rFonts w:ascii="Times New Roman" w:hAnsi="Times New Roman"/>
          <w:b/>
          <w:sz w:val="24"/>
        </w:rPr>
        <w:t xml:space="preserve">3. </w:t>
      </w:r>
      <w:r>
        <w:rPr>
          <w:rFonts w:ascii="Times New Roman" w:hAnsi="Times New Roman"/>
          <w:sz w:val="24"/>
        </w:rPr>
        <w:t>A construct-validity audit showing why standard random occlusion is unfair when explanation units are also candidate actions, together with a type-matched correction.</w:t>
      </w:r>
    </w:p>
    <w:p>
      <w:pPr>
        <w:spacing w:after="80"/>
        <w:ind w:left="403" w:hanging="317"/>
        <w:jc w:val="both"/>
      </w:pPr>
      <w:r>
        <w:rPr>
          <w:rFonts w:ascii="Times New Roman" w:hAnsi="Times New Roman"/>
          <w:b/>
          <w:sz w:val="24"/>
        </w:rPr>
        <w:t xml:space="preserve">4. </w:t>
      </w:r>
      <w:r>
        <w:rPr>
          <w:rFonts w:ascii="Times New Roman" w:hAnsi="Times New Roman"/>
          <w:sz w:val="24"/>
        </w:rPr>
        <w:t>An evaluation of training-side and explanation-side mitigations, neither of which restores meaningful faithfulness under degraded telemetry.</w:t>
      </w:r>
    </w:p>
    <w:p>
      <w:pPr>
        <w:spacing w:after="80"/>
        <w:ind w:left="403" w:hanging="317"/>
        <w:jc w:val="both"/>
      </w:pPr>
      <w:r>
        <w:rPr>
          <w:rFonts w:ascii="Times New Roman" w:hAnsi="Times New Roman"/>
          <w:b/>
          <w:sz w:val="24"/>
        </w:rPr>
        <w:t xml:space="preserve">5. </w:t>
      </w:r>
      <w:r>
        <w:rPr>
          <w:rFonts w:ascii="Times New Roman" w:hAnsi="Times New Roman"/>
          <w:sz w:val="24"/>
        </w:rPr>
        <w:t>A reproducible experimental design that separates SUMO ground truth from the degraded observation and reports the failed severity manipulation explicitly.</w:t>
      </w:r>
    </w:p>
    <w:p>
      <w:pPr>
        <w:pStyle w:val="Heading1"/>
        <w:pageBreakBefore/>
      </w:pPr>
      <w:r>
        <w:rPr>
          <w:rFonts w:ascii="Times New Roman" w:hAnsi="Times New Roman"/>
          <w:sz w:val="28"/>
        </w:rPr>
        <w:t>Chapter 2: Literature Review</w:t>
      </w:r>
    </w:p>
    <w:p>
      <w:pPr>
        <w:pStyle w:val="Heading2"/>
      </w:pPr>
      <w:r>
        <w:rPr>
          <w:rFonts w:ascii="Times New Roman" w:hAnsi="Times New Roman"/>
          <w:sz w:val="24"/>
        </w:rPr>
        <w:t>2.1 Reinforcement Learning for Fleet Dispatch</w:t>
      </w:r>
    </w:p>
    <w:p>
      <w:pPr>
        <w:spacing w:line="276" w:lineRule="auto" w:after="120"/>
        <w:jc w:val="both"/>
      </w:pPr>
      <w:r>
        <w:rPr>
          <w:rFonts w:ascii="Times New Roman" w:hAnsi="Times New Roman"/>
          <w:sz w:val="24"/>
        </w:rPr>
        <w:t>Reinforcement learning is widely used in ride-hailing and fleet management (Lin et al., 2018; Qin, Zhu and Ye, 2022). Multi-agent methods fit this problem because many vehicles act in the same city at the same time (Lowe et al., 2017; Rashid et al., 2020; Yu et al., 2022). This study uses MAPPO (Yu et al., 2022) with one shared policy for all taxis. It does not propose a new dispatch algorithm. The dispatcher provides a controlled setting in which each explanation can be tested. As Section 5.1 shows, it performs well below a greedy matcher.</w:t>
      </w:r>
    </w:p>
    <w:p>
      <w:pPr>
        <w:spacing w:line="276" w:lineRule="auto" w:after="120"/>
        <w:jc w:val="both"/>
      </w:pPr>
      <w:r>
        <w:rPr>
          <w:rFonts w:ascii="Times New Roman" w:hAnsi="Times New Roman"/>
          <w:sz w:val="24"/>
        </w:rPr>
        <w:t>Graph neural networks encode relationships between vehicles and requests (Scarselli et al., 2009). Graph attention adds a weight for each related entity (Velickovic et al., 2018) and has also been used in multi-agent critics (Iqbal and Sha, 2019). In this study, the important point is that these weights are visible and could be shown to an operator as an explanation.</w:t>
      </w:r>
    </w:p>
    <w:p>
      <w:pPr>
        <w:spacing w:line="276" w:lineRule="auto" w:after="120"/>
        <w:jc w:val="both"/>
      </w:pPr>
      <w:r>
        <w:rPr>
          <w:rFonts w:ascii="Times New Roman" w:hAnsi="Times New Roman"/>
          <w:sz w:val="24"/>
        </w:rPr>
        <w:t>Recent dispatch research shows how strongly the field is moving toward graph-based MARL at city scale. BMG-Q combines graph attention with bipartite vehicle-order matching (Hu, Feng and Li, 2025), CoopRide learns cooperation between city grids (Wang et al., 2025), and DualG-MARL jointly models vehicle-state and passenger-task graphs (Sha et al., 2026). These studies evaluate dispatch quality, scalability and coordination. The present work asks a complementary question: whether the attention exposed by such models can be trusted as an explanation when vehicle telemetry is stale. It is therefore positioned as an explanation-reliability study, not as a performance comparison with these larger dispatch systems.</w:t>
      </w:r>
    </w:p>
    <w:p>
      <w:pPr>
        <w:pStyle w:val="Heading2"/>
      </w:pPr>
      <w:r>
        <w:rPr>
          <w:rFonts w:ascii="Times New Roman" w:hAnsi="Times New Roman"/>
          <w:sz w:val="24"/>
        </w:rPr>
        <w:t>2.2 Attention as Explanation</w:t>
      </w:r>
    </w:p>
    <w:p>
      <w:pPr>
        <w:spacing w:line="276" w:lineRule="auto" w:after="120"/>
        <w:jc w:val="both"/>
      </w:pPr>
      <w:r>
        <w:rPr>
          <w:rFonts w:ascii="Times New Roman" w:hAnsi="Times New Roman"/>
          <w:sz w:val="24"/>
        </w:rPr>
        <w:t xml:space="preserve">Whether attention explains a decision has been debated for several years. Jain and Wallace argued that attention can be weakly related to feature importance (Jain and Wallace, 2019); Wiegreffe and Pinter replied that this depends on what one asks of an explanation (Wiegreffe and Pinter, 2019); Serrano and Smith found attention only partially identifies the representations that matter (Serrano and Smith, 2019). Liu et al. formalised the pattern as a faithfulness violation test and found violations widespread across attention-based explainers (Liu et al., 2022). Jacovi and Goldberg's framing is adopted here: faithfulness is a property to be tested, not asserted, and it is distinct from plausibility (Jacovi and Goldberg, 2020). Attention is therefore treated throughout as a </w:t>
      </w:r>
      <w:r>
        <w:rPr>
          <w:rFonts w:ascii="Times New Roman" w:hAnsi="Times New Roman"/>
          <w:i/>
          <w:sz w:val="24"/>
        </w:rPr>
        <w:t>candidate</w:t>
      </w:r>
      <w:r>
        <w:rPr>
          <w:rFonts w:ascii="Times New Roman" w:hAnsi="Times New Roman"/>
          <w:sz w:val="24"/>
        </w:rPr>
        <w:t xml:space="preserve"> explanation.</w:t>
      </w:r>
    </w:p>
    <w:p>
      <w:pPr>
        <w:spacing w:line="276" w:lineRule="auto" w:after="120"/>
        <w:jc w:val="both"/>
      </w:pPr>
      <w:r>
        <w:rPr>
          <w:rFonts w:ascii="Times New Roman" w:hAnsi="Times New Roman"/>
          <w:sz w:val="24"/>
        </w:rPr>
        <w:t>This debate has been conducted mostly on text classifiers. For graph models the analogous literature is a family of dedicated explainers — GNNExplainer (Ying et al., 2019), PGExplainer (Luo et al., 2020), and subsequent work surveyed by Yuan et al. (Yuan et al., 2023) — which exist partly because raw attention was found inadequate. Those methods are evaluated with the same perturbation logic audited here, and inherit the same vulnerability whenever the graph entities they rank are also action candidates. The audit is therefore not specific to attention as an explanation channel; it applies to the evaluation protocol.</w:t>
      </w:r>
    </w:p>
    <w:p>
      <w:pPr>
        <w:pStyle w:val="Heading2"/>
      </w:pPr>
      <w:r>
        <w:rPr>
          <w:rFonts w:ascii="Times New Roman" w:hAnsi="Times New Roman"/>
          <w:sz w:val="24"/>
        </w:rPr>
        <w:t>2.3 Perturbation-Based Faithfulness</w:t>
      </w:r>
    </w:p>
    <w:p>
      <w:pPr>
        <w:spacing w:line="276" w:lineRule="auto" w:after="120"/>
        <w:jc w:val="both"/>
      </w:pPr>
      <w:r>
        <w:rPr>
          <w:rFonts w:ascii="Times New Roman" w:hAnsi="Times New Roman"/>
          <w:sz w:val="24"/>
        </w:rPr>
        <w:t>Comprehensiveness and sufficiency (DeYoung et al., 2020) are the standard perturbation tests: remove the explanation-selected inputs, or keep only those, and measure the change in model output. Because absolute effect sizes are not comparable across models, the result is normalised against the same operation on randomly selected inputs. Related concerns about perturbation-based attribution include sensitivity to the removal operator (Ribeiro, Singh and Guestrin, 2016) and instability under small input changes (Alvarez-Melis and Jaakkola, 2018); Lipton's broader critique of interpretability as an underspecified goal (Lipton, 2018) applies directly to the practice of reporting a single faithfulness scalar without validating the metric.</w:t>
      </w:r>
    </w:p>
    <w:p>
      <w:pPr>
        <w:spacing w:line="276" w:lineRule="auto" w:after="120"/>
        <w:jc w:val="both"/>
      </w:pPr>
      <w:r>
        <w:rPr>
          <w:rFonts w:ascii="Times New Roman" w:hAnsi="Times New Roman"/>
          <w:sz w:val="24"/>
        </w:rPr>
        <w:t xml:space="preserve">Less attention has been paid to </w:t>
      </w:r>
      <w:r>
        <w:rPr>
          <w:rFonts w:ascii="Times New Roman" w:hAnsi="Times New Roman"/>
          <w:i/>
          <w:sz w:val="24"/>
        </w:rPr>
        <w:t>what kinds of nodes</w:t>
      </w:r>
      <w:r>
        <w:rPr>
          <w:rFonts w:ascii="Times New Roman" w:hAnsi="Times New Roman"/>
          <w:sz w:val="24"/>
        </w:rPr>
        <w:t xml:space="preserve"> the random control removes. Most earlier critiques compare masking with resampling or ask whether the perturbed input remains realistic. The problem here is different. Some graph nodes are also actions, while others only provide context. A random control can therefore change the action set more often than the explanation does. Existing explainable-RL surveys (Heuillet, Couthouis and Diaz-Rodriguez, 2021), causal approaches (Madumal et al., 2020), and local surrogate methods such as LIME (Ribeiro, Singh and Guestrin, 2016) do not directly address this case.</w:t>
      </w:r>
    </w:p>
    <w:p>
      <w:pPr>
        <w:pStyle w:val="Heading2"/>
      </w:pPr>
      <w:r>
        <w:rPr>
          <w:rFonts w:ascii="Times New Roman" w:hAnsi="Times New Roman"/>
          <w:sz w:val="24"/>
        </w:rPr>
        <w:t>2.4 Age of Information</w:t>
      </w:r>
    </w:p>
    <w:p>
      <w:pPr>
        <w:spacing w:line="276" w:lineRule="auto" w:after="120"/>
        <w:jc w:val="both"/>
      </w:pPr>
      <w:r>
        <w:rPr>
          <w:rFonts w:ascii="Times New Roman" w:hAnsi="Times New Roman"/>
          <w:sz w:val="24"/>
        </w:rPr>
        <w:t>Age of Information measures how old a received state update is (Kaul, Yates and Gruteser, 2012). It is a natural description of stale telemetry and is used here in two ways: as the severity variable for simulated signal loss, and as the node-level freshness weight inside WAMSN. Section 5.3 reports a consequence of the second use that is easy to overlook — because AoI enters the observation normalised and clipped, the metric cannot distinguish degrees of staleness beyond the normalisation constant.</w:t>
      </w:r>
    </w:p>
    <w:p>
      <w:pPr>
        <w:pStyle w:val="Heading2"/>
      </w:pPr>
      <w:r>
        <w:rPr>
          <w:rFonts w:ascii="Times New Roman" w:hAnsi="Times New Roman"/>
          <w:sz w:val="24"/>
        </w:rPr>
        <w:t>2.5 Research Gap</w:t>
      </w:r>
    </w:p>
    <w:p>
      <w:pPr>
        <w:spacing w:line="276" w:lineRule="auto" w:after="120"/>
        <w:jc w:val="both"/>
      </w:pPr>
      <w:r>
        <w:rPr>
          <w:rFonts w:ascii="Times New Roman" w:hAnsi="Times New Roman"/>
          <w:sz w:val="24"/>
        </w:rPr>
        <w:t>Recent graph-based MARL dispatch studies focus mainly on service quality, coordination and scale. Attention-faithfulness studies, in contrast, mostly use clean and static data. The literature does not show whether an attention explanation remains trustworthy when vehicle telemetry becomes stale while the physical system continues to operate. It also gives limited guidance for perturbation tests when an input node is simultaneously a candidate action. This dissertation addresses both gaps.</w:t>
      </w:r>
    </w:p>
    <w:p>
      <w:pPr>
        <w:pStyle w:val="Heading1"/>
        <w:pageBreakBefore/>
      </w:pPr>
      <w:r>
        <w:rPr>
          <w:rFonts w:ascii="Times New Roman" w:hAnsi="Times New Roman"/>
          <w:sz w:val="28"/>
        </w:rPr>
        <w:t>Chapter 3: Methodology</w:t>
      </w:r>
    </w:p>
    <w:p>
      <w:pPr>
        <w:pStyle w:val="Heading2"/>
      </w:pPr>
      <w:r>
        <w:rPr>
          <w:rFonts w:ascii="Times New Roman" w:hAnsi="Times New Roman"/>
          <w:sz w:val="24"/>
        </w:rPr>
        <w:t>3.1 Research Design</w:t>
      </w:r>
    </w:p>
    <w:p>
      <w:pPr>
        <w:spacing w:line="276" w:lineRule="auto" w:after="120"/>
        <w:jc w:val="both"/>
      </w:pPr>
      <w:r>
        <w:rPr>
          <w:rFonts w:ascii="Times New Roman" w:hAnsi="Times New Roman"/>
          <w:sz w:val="24"/>
        </w:rPr>
        <w:t>The experiment has three moving parts: the simulator, the graph-attention policy, and the degradation layer.</w:t>
      </w:r>
    </w:p>
    <w:p>
      <w:pPr>
        <w:keepNext/>
        <w:spacing w:before="120" w:after="40"/>
        <w:jc w:val="center"/>
      </w:pPr>
      <w:r>
        <w:drawing>
          <wp:inline xmlns:a="http://schemas.openxmlformats.org/drawingml/2006/main" xmlns:pic="http://schemas.openxmlformats.org/drawingml/2006/picture">
            <wp:extent cx="5623560" cy="3085816"/>
            <wp:docPr id="2" name="Picture 2"/>
            <wp:cNvGraphicFramePr>
              <a:graphicFrameLocks noChangeAspect="1"/>
            </wp:cNvGraphicFramePr>
            <a:graphic>
              <a:graphicData uri="http://schemas.openxmlformats.org/drawingml/2006/picture">
                <pic:pic>
                  <pic:nvPicPr>
                    <pic:cNvPr id="0" name="telemetry_degradation_data_flow.png"/>
                    <pic:cNvPicPr/>
                  </pic:nvPicPr>
                  <pic:blipFill>
                    <a:blip r:embed="rId20"/>
                    <a:stretch>
                      <a:fillRect/>
                    </a:stretch>
                  </pic:blipFill>
                  <pic:spPr>
                    <a:xfrm>
                      <a:off x="0" y="0"/>
                      <a:ext cx="5623560" cy="3085816"/>
                    </a:xfrm>
                    <a:prstGeom prst="rect"/>
                  </pic:spPr>
                </pic:pic>
              </a:graphicData>
            </a:graphic>
          </wp:inline>
        </w:drawing>
      </w:r>
    </w:p>
    <w:p>
      <w:pPr>
        <w:pStyle w:val="DMUCaption"/>
        <w:keepLines/>
      </w:pPr>
      <w:r>
        <w:rPr>
          <w:rFonts w:ascii="Times New Roman" w:hAnsi="Times New Roman"/>
          <w:sz w:val="20"/>
        </w:rPr>
        <w:t>Figure 3.1: Telemetry degradation data flow. SUMO remains the ground-truth</w:t>
      </w:r>
    </w:p>
    <w:p>
      <w:pPr>
        <w:spacing w:line="276" w:lineRule="auto" w:after="120"/>
        <w:jc w:val="both"/>
      </w:pPr>
      <w:r>
        <w:rPr>
          <w:rFonts w:ascii="Times New Roman" w:hAnsi="Times New Roman"/>
          <w:sz w:val="24"/>
        </w:rPr>
        <w:t>world. Tunnel edges only trigger signal loss; the degradation itself is implemented when observations are built for the policy.</w:t>
      </w:r>
    </w:p>
    <w:p>
      <w:pPr>
        <w:spacing w:line="276" w:lineRule="auto" w:after="120"/>
        <w:jc w:val="both"/>
      </w:pPr>
      <w:r>
        <w:rPr>
          <w:rFonts w:ascii="Times New Roman" w:hAnsi="Times New Roman"/>
          <w:sz w:val="24"/>
        </w:rPr>
        <w:t>The study uses a controlled quantitative simulation. The independent condition is whether the policy observation contains clean or tunnel-triggered stale telemetry. The analysis measures dispatch pickups, decision-level explanation faithfulness and attention assigned to stale vehicle nodes. A construct-validity audit supports the primary research problem by checking that the faithfulness comparison is fair.</w:t>
      </w:r>
    </w:p>
    <w:p>
      <w:pPr>
        <w:pStyle w:val="Heading2"/>
      </w:pPr>
      <w:r>
        <w:rPr>
          <w:rFonts w:ascii="Times New Roman" w:hAnsi="Times New Roman"/>
          <w:sz w:val="24"/>
        </w:rPr>
        <w:t>3.2 SUMO Dispatch Environment</w:t>
      </w:r>
    </w:p>
    <w:p>
      <w:pPr>
        <w:spacing w:line="276" w:lineRule="auto" w:after="120"/>
        <w:jc w:val="both"/>
      </w:pPr>
      <w:r>
        <w:rPr>
          <w:rFonts w:ascii="Times New Roman" w:hAnsi="Times New Roman"/>
          <w:sz w:val="24"/>
        </w:rPr>
        <w:t>The benchmark uses SUMO (Lopez et al., 2018) on a real OpenStreetMap extract of Central Park in Chongqing's Yubei district. The area contains real tunnel edges, which are used as physically grounded signal-loss zones. Each episode has 20 taxis, 50 ride requests, and 1,200 simulated seconds. Demand is generated from fixed seeds and split into train, validation, and held-out test variants.</w:t>
      </w:r>
    </w:p>
    <w:p>
      <w:pPr>
        <w:spacing w:line="276" w:lineRule="auto" w:after="120"/>
        <w:jc w:val="both"/>
      </w:pPr>
      <w:r>
        <w:rPr>
          <w:rFonts w:ascii="Times New Roman" w:hAnsi="Times New Roman"/>
          <w:sz w:val="24"/>
        </w:rPr>
        <w:t>Each idle taxi is an agent. At each decision step, the taxi can either do nothing or accept one of its five nearest pending reservations:</w:t>
      </w:r>
    </w:p>
    <w:p>
      <w:pPr>
        <w:jc w:val="center"/>
      </w:pPr>
      <w:r>
        <w:rPr>
          <w:rFonts w:ascii="Courier New" w:hAnsi="Courier New"/>
          <w:sz w:val="20"/>
        </w:rPr>
        <w:t>action 0     = no-op</w:t>
        <w:br/>
        <w:t>actions 1-5 = accept one candidate reservation</w:t>
      </w:r>
    </w:p>
    <w:p>
      <w:pPr>
        <w:pStyle w:val="Heading2"/>
      </w:pPr>
      <w:r>
        <w:rPr>
          <w:rFonts w:ascii="Times New Roman" w:hAnsi="Times New Roman"/>
          <w:sz w:val="24"/>
        </w:rPr>
        <w:t>3.3 Telemetry Degradation</w:t>
      </w:r>
    </w:p>
    <w:p>
      <w:pPr>
        <w:spacing w:line="276" w:lineRule="auto" w:after="120"/>
        <w:jc w:val="both"/>
      </w:pPr>
      <w:r>
        <w:rPr>
          <w:rFonts w:ascii="Times New Roman" w:hAnsi="Times New Roman"/>
          <w:sz w:val="24"/>
        </w:rPr>
        <w:t>Tunnel degradation is implemented as freeze semantics. If a taxi is on a tunnel edge, the degradation layer keeps returning its last valid position and speed. AoI grows as:</w:t>
      </w:r>
    </w:p>
    <w:p>
      <w:pPr>
        <w:jc w:val="center"/>
      </w:pPr>
      <w:r>
        <w:rPr>
          <w:rFonts w:ascii="Courier New" w:hAnsi="Courier New"/>
          <w:sz w:val="20"/>
        </w:rPr>
        <w:t>AoI = current time - last valid update time</w:t>
      </w:r>
    </w:p>
    <w:p>
      <w:pPr>
        <w:spacing w:line="276" w:lineRule="auto" w:after="120"/>
        <w:jc w:val="both"/>
      </w:pPr>
      <w:r>
        <w:rPr>
          <w:rFonts w:ascii="Times New Roman" w:hAnsi="Times New Roman"/>
          <w:sz w:val="24"/>
        </w:rPr>
        <w:t>The SUMO state is not changed. The taxi keeps moving in the simulator, and dispatch actions still apply to the real SUMO state. Only the policy's observation is stale.</w:t>
      </w:r>
    </w:p>
    <w:p>
      <w:pPr>
        <w:spacing w:line="276" w:lineRule="auto" w:after="120"/>
        <w:jc w:val="both"/>
      </w:pPr>
      <w:r>
        <w:rPr>
          <w:rFonts w:ascii="Times New Roman" w:hAnsi="Times New Roman"/>
          <w:sz w:val="24"/>
        </w:rPr>
        <w:t>The intended severity ladder is:</w:t>
      </w:r>
    </w:p>
    <w:p>
      <w:pPr>
        <w:jc w:val="center"/>
      </w:pPr>
      <w:r>
        <w:rPr>
          <w:rFonts w:ascii="Courier New" w:hAnsi="Courier New"/>
          <w:sz w:val="20"/>
        </w:rPr>
        <w:t>clean, 5 s, 15 s, 30 s, 60 s</w:t>
      </w:r>
    </w:p>
    <w:p>
      <w:pPr>
        <w:spacing w:line="276" w:lineRule="auto" w:after="120"/>
        <w:jc w:val="both"/>
      </w:pPr>
      <w:r>
        <w:rPr>
          <w:rFonts w:ascii="Times New Roman" w:hAnsi="Times New Roman"/>
          <w:sz w:val="24"/>
        </w:rPr>
        <w:t xml:space="preserve">Each degraded level holds the outage until the taxi's AoI reaches that level. Two facts about this design turn out to matter, and both are established empirically in Section 5.3 rather than assumed here. First, a taxi still inside a tunnel when its outage expires immediately re-triggers, so tunnel transit time places a floor under realised AoI that is independent of the nominal level. Second, AoI reaches the policy only through the normalised observation feature </w:t>
      </w:r>
      <w:r>
        <w:rPr>
          <w:rFonts w:ascii="Courier New" w:hAnsi="Courier New"/>
          <w:sz w:val="22"/>
        </w:rPr>
        <w:t>clip(AoI / AOI_MAX_S, 0, 1)</w:t>
      </w:r>
      <w:r>
        <w:rPr>
          <w:rFonts w:ascii="Times New Roman" w:hAnsi="Times New Roman"/>
          <w:sz w:val="24"/>
        </w:rPr>
        <w:t xml:space="preserve"> with </w:t>
      </w:r>
      <w:r>
        <w:rPr>
          <w:rFonts w:ascii="Courier New" w:hAnsi="Courier New"/>
          <w:sz w:val="22"/>
        </w:rPr>
        <w:t>AOI_MAX_S = 60 s</w:t>
      </w:r>
      <w:r>
        <w:rPr>
          <w:rFonts w:ascii="Times New Roman" w:hAnsi="Times New Roman"/>
          <w:sz w:val="24"/>
        </w:rPr>
        <w:t>, and WAMSN reuses that same clipped quantity as its staleness weight. Staleness beyond 60 s is therefore not representable, either to the policy or to the metric. The manipulation check in Section 5.3 shows these two facts combine to flatten the ladder into a single degraded condition.</w:t>
      </w:r>
    </w:p>
    <w:p>
      <w:pPr>
        <w:pStyle w:val="Heading2"/>
      </w:pPr>
      <w:r>
        <w:rPr>
          <w:rFonts w:ascii="Times New Roman" w:hAnsi="Times New Roman"/>
          <w:sz w:val="24"/>
        </w:rPr>
        <w:t>3.4 Training Protocol</w:t>
      </w:r>
    </w:p>
    <w:p>
      <w:pPr>
        <w:spacing w:line="276" w:lineRule="auto" w:after="120"/>
        <w:jc w:val="both"/>
      </w:pPr>
      <w:r>
        <w:rPr>
          <w:rFonts w:ascii="Times New Roman" w:hAnsi="Times New Roman"/>
          <w:sz w:val="24"/>
        </w:rPr>
        <w:t>All learned models use the same MAPPO training structure. Each epoch runs one complete SUMO episode, stores every acting taxi's observation, sampled action, log probability, value estimate, and team reward, then updates the shared policy with PPO.</w:t>
      </w:r>
    </w:p>
    <w:p>
      <w:pPr>
        <w:spacing w:line="276" w:lineRule="auto" w:after="120"/>
        <w:jc w:val="both"/>
      </w:pPr>
      <w:r>
        <w:rPr>
          <w:rFonts w:ascii="Times New Roman" w:hAnsi="Times New Roman"/>
          <w:sz w:val="24"/>
        </w:rPr>
        <w:t>The team reward is:</w:t>
      </w:r>
    </w:p>
    <w:tbl>
      <w:tblPr>
        <w:tblW w:type="auto" w:w="0"/>
        <w:jc w:val="center"/>
        <w:tblLayout w:type="fixed"/>
        <w:tblLook w:firstColumn="1" w:firstRow="1" w:lastColumn="0" w:lastRow="0" w:noHBand="0" w:noVBand="1" w:val="04A0"/>
        <w:tblBorders/>
      </w:tblPr>
      <w:tblGrid>
        <w:gridCol w:w="8136"/>
        <w:gridCol w:w="792"/>
      </w:tblGrid>
      <w:tr>
        <w:tc>
          <w:tcPr>
            <w:tcW w:type="dxa" w:w="8136"/>
          </w:tcPr>
          <w:p>
            <w:pPr>
              <w:spacing w:after="60"/>
              <w:jc w:val="center"/>
            </w:pPr>
            <w:r>
              <w:rPr>
                <w:rFonts w:ascii="Cambria Math" w:hAnsi="Cambria Math"/>
                <w:i/>
                <w:sz w:val="22"/>
              </w:rPr>
              <w:t>R = 10(pickups) + 0.5(successful dispatches) - 0.001(mean pending wait)</w:t>
            </w:r>
          </w:p>
        </w:tc>
        <w:tc>
          <w:tcPr>
            <w:tcW w:type="dxa" w:w="792"/>
          </w:tcPr>
          <w:p>
            <w:pPr>
              <w:jc w:val="right"/>
            </w:pPr>
            <w:r>
              <w:rPr>
                <w:rFonts w:ascii="Times New Roman" w:hAnsi="Times New Roman"/>
                <w:sz w:val="20"/>
              </w:rPr>
              <w:t>(3.1)</w:t>
            </w:r>
          </w:p>
        </w:tc>
      </w:tr>
    </w:tbl>
    <w:p>
      <w:pPr>
        <w:spacing w:line="276" w:lineRule="auto" w:after="120"/>
        <w:jc w:val="both"/>
      </w:pPr>
      <w:r>
        <w:rPr>
          <w:rFonts w:ascii="Times New Roman" w:hAnsi="Times New Roman"/>
          <w:sz w:val="24"/>
        </w:rPr>
        <w:t>Generalised Advantage Estimation uses gamma = 0.99 and lambda = 0.95. PPO uses a clip ratio of 0.2, four PPO epochs, minibatches of 256, and entropy regularisation. The best checkpoint is selected by rolling mean training pickups, because the policies often suffer entropy collapse and the final epoch is not always the best one.</w:t>
      </w:r>
    </w:p>
    <w:p>
      <w:pPr>
        <w:pStyle w:val="Heading2"/>
      </w:pPr>
      <w:r>
        <w:rPr>
          <w:rFonts w:ascii="Times New Roman" w:hAnsi="Times New Roman"/>
          <w:sz w:val="24"/>
        </w:rPr>
        <w:t>3.5 Explanation Metrics and Validity Audit</w:t>
      </w:r>
    </w:p>
    <w:p>
      <w:pPr>
        <w:spacing w:line="276" w:lineRule="auto" w:after="120"/>
        <w:jc w:val="both"/>
      </w:pPr>
      <w:r>
        <w:rPr>
          <w:rFonts w:ascii="Times New Roman" w:hAnsi="Times New Roman"/>
          <w:sz w:val="24"/>
        </w:rPr>
        <w:t xml:space="preserve">For a decision with selected action </w:t>
      </w:r>
      <w:r>
        <w:rPr>
          <w:rFonts w:ascii="Courier New" w:hAnsi="Courier New"/>
          <w:sz w:val="22"/>
        </w:rPr>
        <w:t>a*</w:t>
      </w:r>
      <w:r>
        <w:rPr>
          <w:rFonts w:ascii="Times New Roman" w:hAnsi="Times New Roman"/>
          <w:sz w:val="24"/>
        </w:rPr>
        <w:t>, DEF asks whether the top-k nodes chosen by the explanation actually matter to the decision.</w:t>
      </w:r>
    </w:p>
    <w:p>
      <w:pPr>
        <w:spacing w:line="276" w:lineRule="auto" w:after="120"/>
        <w:jc w:val="both"/>
      </w:pPr>
      <w:r>
        <w:rPr>
          <w:rFonts w:ascii="Times New Roman" w:hAnsi="Times New Roman"/>
          <w:sz w:val="24"/>
        </w:rPr>
        <w:t>One distinction is essential before the equations. Removing a nearby-taxi node hides contextual information, but the set of dispatch actions remains the same. Removing a passenger-request node also removes that request from the available actions. A fair random baseline must therefore remove the same mix of vehicle and request nodes as the explanation; matching only the number of removed nodes is not enough.</w:t>
      </w:r>
    </w:p>
    <w:p>
      <w:pPr>
        <w:keepNext/>
        <w:spacing w:before="120" w:after="40"/>
        <w:jc w:val="center"/>
      </w:pPr>
      <w:r>
        <w:drawing>
          <wp:inline xmlns:a="http://schemas.openxmlformats.org/drawingml/2006/main" xmlns:pic="http://schemas.openxmlformats.org/drawingml/2006/picture">
            <wp:extent cx="5623560" cy="2069046"/>
            <wp:docPr id="3" name="Picture 3"/>
            <wp:cNvGraphicFramePr>
              <a:graphicFrameLocks noChangeAspect="1"/>
            </wp:cNvGraphicFramePr>
            <a:graphic>
              <a:graphicData uri="http://schemas.openxmlformats.org/drawingml/2006/picture">
                <pic:pic>
                  <pic:nvPicPr>
                    <pic:cNvPr id="0" name="fig4_def_protocol.png"/>
                    <pic:cNvPicPr/>
                  </pic:nvPicPr>
                  <pic:blipFill>
                    <a:blip r:embed="rId21"/>
                    <a:stretch>
                      <a:fillRect/>
                    </a:stretch>
                  </pic:blipFill>
                  <pic:spPr>
                    <a:xfrm>
                      <a:off x="0" y="0"/>
                      <a:ext cx="5623560" cy="2069046"/>
                    </a:xfrm>
                    <a:prstGeom prst="rect"/>
                  </pic:spPr>
                </pic:pic>
              </a:graphicData>
            </a:graphic>
          </wp:inline>
        </w:drawing>
      </w:r>
    </w:p>
    <w:p>
      <w:pPr>
        <w:pStyle w:val="DMUCaption"/>
        <w:keepLines/>
      </w:pPr>
      <w:r>
        <w:rPr>
          <w:rFonts w:ascii="Times New Roman" w:hAnsi="Times New Roman"/>
          <w:sz w:val="20"/>
        </w:rPr>
        <w:t>Figure 3.2: DEF occlusion protocol. The same decision is evaluated before and</w:t>
      </w:r>
    </w:p>
    <w:p>
      <w:pPr>
        <w:spacing w:line="276" w:lineRule="auto" w:after="120"/>
        <w:jc w:val="both"/>
      </w:pPr>
      <w:r>
        <w:rPr>
          <w:rFonts w:ascii="Times New Roman" w:hAnsi="Times New Roman"/>
          <w:sz w:val="24"/>
        </w:rPr>
        <w:t>after removing or keeping the explanation-selected nodes, then compared with a matched random baseline.</w:t>
      </w:r>
    </w:p>
    <w:p>
      <w:pPr>
        <w:spacing w:line="276" w:lineRule="auto" w:after="120"/>
        <w:jc w:val="both"/>
      </w:pPr>
      <w:r>
        <w:rPr>
          <w:rFonts w:ascii="Times New Roman" w:hAnsi="Times New Roman"/>
          <w:sz w:val="24"/>
        </w:rPr>
        <w:t>Comprehensiveness removes the explanation nodes:</w:t>
      </w:r>
    </w:p>
    <w:tbl>
      <w:tblPr>
        <w:tblW w:type="auto" w:w="0"/>
        <w:jc w:val="center"/>
        <w:tblLayout w:type="fixed"/>
        <w:tblLook w:firstColumn="1" w:firstRow="1" w:lastColumn="0" w:lastRow="0" w:noHBand="0" w:noVBand="1" w:val="04A0"/>
        <w:tblBorders/>
      </w:tblPr>
      <w:tblGrid>
        <w:gridCol w:w="8136"/>
        <w:gridCol w:w="792"/>
      </w:tblGrid>
      <w:tr>
        <w:tc>
          <w:tcPr>
            <w:tcW w:type="dxa" w:w="8136"/>
          </w:tcPr>
          <w:p>
            <w:pPr>
              <w:spacing w:after="60"/>
              <w:jc w:val="center"/>
            </w:pPr>
            <w:r>
              <w:rPr>
                <w:rFonts w:ascii="Cambria Math" w:hAnsi="Cambria Math"/>
                <w:i/>
                <w:sz w:val="22"/>
              </w:rPr>
              <w:t>Comp = f(a* | G) - f(a* | G - Rk)</w:t>
            </w:r>
          </w:p>
        </w:tc>
        <w:tc>
          <w:tcPr>
            <w:tcW w:type="dxa" w:w="792"/>
          </w:tcPr>
          <w:p>
            <w:pPr>
              <w:jc w:val="right"/>
            </w:pPr>
            <w:r>
              <w:rPr>
                <w:rFonts w:ascii="Times New Roman" w:hAnsi="Times New Roman"/>
                <w:sz w:val="20"/>
              </w:rPr>
              <w:t>(3.2)</w:t>
            </w:r>
          </w:p>
        </w:tc>
      </w:tr>
    </w:tbl>
    <w:p>
      <w:pPr>
        <w:spacing w:line="276" w:lineRule="auto" w:after="120"/>
        <w:jc w:val="both"/>
      </w:pPr>
      <w:r>
        <w:rPr>
          <w:rFonts w:ascii="Times New Roman" w:hAnsi="Times New Roman"/>
          <w:sz w:val="24"/>
        </w:rPr>
        <w:t>Sufficiency keeps only the explanation nodes:</w:t>
      </w:r>
    </w:p>
    <w:tbl>
      <w:tblPr>
        <w:tblW w:type="auto" w:w="0"/>
        <w:jc w:val="center"/>
        <w:tblLayout w:type="fixed"/>
        <w:tblLook w:firstColumn="1" w:firstRow="1" w:lastColumn="0" w:lastRow="0" w:noHBand="0" w:noVBand="1" w:val="04A0"/>
        <w:tblBorders/>
      </w:tblPr>
      <w:tblGrid>
        <w:gridCol w:w="8136"/>
        <w:gridCol w:w="792"/>
      </w:tblGrid>
      <w:tr>
        <w:tc>
          <w:tcPr>
            <w:tcW w:type="dxa" w:w="8136"/>
          </w:tcPr>
          <w:p>
            <w:pPr>
              <w:spacing w:after="60"/>
              <w:jc w:val="center"/>
            </w:pPr>
            <w:r>
              <w:rPr>
                <w:rFonts w:ascii="Cambria Math" w:hAnsi="Cambria Math"/>
                <w:i/>
                <w:sz w:val="22"/>
              </w:rPr>
              <w:t>Suff = f(a* | G) - f(a* | Rk)</w:t>
            </w:r>
          </w:p>
        </w:tc>
        <w:tc>
          <w:tcPr>
            <w:tcW w:type="dxa" w:w="792"/>
          </w:tcPr>
          <w:p>
            <w:pPr>
              <w:jc w:val="right"/>
            </w:pPr>
            <w:r>
              <w:rPr>
                <w:rFonts w:ascii="Times New Roman" w:hAnsi="Times New Roman"/>
                <w:sz w:val="20"/>
              </w:rPr>
              <w:t>(3.3)</w:t>
            </w:r>
          </w:p>
        </w:tc>
      </w:tr>
    </w:tbl>
    <w:p>
      <w:pPr>
        <w:spacing w:line="276" w:lineRule="auto" w:after="120"/>
        <w:jc w:val="both"/>
      </w:pPr>
      <w:r>
        <w:rPr>
          <w:rFonts w:ascii="Times New Roman" w:hAnsi="Times New Roman"/>
          <w:sz w:val="24"/>
        </w:rPr>
        <w:t>Both are compared with random subsets of the same size:</w:t>
      </w:r>
    </w:p>
    <w:tbl>
      <w:tblPr>
        <w:tblW w:type="auto" w:w="0"/>
        <w:jc w:val="center"/>
        <w:tblLayout w:type="fixed"/>
        <w:tblLook w:firstColumn="1" w:firstRow="1" w:lastColumn="0" w:lastRow="0" w:noHBand="0" w:noVBand="1" w:val="04A0"/>
        <w:tblBorders/>
      </w:tblPr>
      <w:tblGrid>
        <w:gridCol w:w="8136"/>
        <w:gridCol w:w="792"/>
      </w:tblGrid>
      <w:tr>
        <w:tc>
          <w:tcPr>
            <w:tcW w:type="dxa" w:w="8136"/>
          </w:tcPr>
          <w:p>
            <w:pPr>
              <w:spacing w:after="60"/>
              <w:jc w:val="center"/>
            </w:pPr>
            <w:r>
              <w:rPr>
                <w:rFonts w:ascii="Cambria Math" w:hAnsi="Cambria Math"/>
                <w:i/>
                <w:sz w:val="22"/>
              </w:rPr>
              <w:t>DEF = 1/2 [(Comp - Comprand) + (Suffrand - Suff)]</w:t>
            </w:r>
          </w:p>
        </w:tc>
        <w:tc>
          <w:tcPr>
            <w:tcW w:type="dxa" w:w="792"/>
          </w:tcPr>
          <w:p>
            <w:pPr>
              <w:jc w:val="right"/>
            </w:pPr>
            <w:r>
              <w:rPr>
                <w:rFonts w:ascii="Times New Roman" w:hAnsi="Times New Roman"/>
                <w:sz w:val="20"/>
              </w:rPr>
              <w:t>(3.4)</w:t>
            </w:r>
          </w:p>
        </w:tc>
      </w:tr>
    </w:tbl>
    <w:p>
      <w:pPr>
        <w:spacing w:line="276" w:lineRule="auto" w:after="120"/>
        <w:jc w:val="both"/>
      </w:pPr>
      <w:r>
        <w:rPr>
          <w:rFonts w:ascii="Times New Roman" w:hAnsi="Times New Roman"/>
          <w:sz w:val="24"/>
        </w:rPr>
        <w:t xml:space="preserve">Two DEF variants are computed from the same counterfactual forwards. Probability-DEF uses </w:t>
      </w:r>
      <w:r>
        <w:rPr>
          <w:rFonts w:ascii="Courier New" w:hAnsi="Courier New"/>
          <w:sz w:val="22"/>
        </w:rPr>
        <w:t>f = pi(a*)</w:t>
      </w:r>
      <w:r>
        <w:rPr>
          <w:rFonts w:ascii="Times New Roman" w:hAnsi="Times New Roman"/>
          <w:sz w:val="24"/>
        </w:rPr>
        <w:t>. Margin-DEF uses the logit gap between the chosen action and its closest competitor:</w:t>
      </w:r>
    </w:p>
    <w:tbl>
      <w:tblPr>
        <w:tblW w:type="auto" w:w="0"/>
        <w:jc w:val="center"/>
        <w:tblLayout w:type="fixed"/>
        <w:tblLook w:firstColumn="1" w:firstRow="1" w:lastColumn="0" w:lastRow="0" w:noHBand="0" w:noVBand="1" w:val="04A0"/>
        <w:tblBorders/>
      </w:tblPr>
      <w:tblGrid>
        <w:gridCol w:w="8136"/>
        <w:gridCol w:w="792"/>
      </w:tblGrid>
      <w:tr>
        <w:tc>
          <w:tcPr>
            <w:tcW w:type="dxa" w:w="8136"/>
          </w:tcPr>
          <w:p>
            <w:pPr>
              <w:spacing w:after="60"/>
              <w:jc w:val="center"/>
            </w:pPr>
            <w:r>
              <w:rPr>
                <w:rFonts w:ascii="Cambria Math" w:hAnsi="Cambria Math"/>
                <w:i/>
                <w:sz w:val="22"/>
              </w:rPr>
              <w:t>margin = logit(a*) - max a != a* logit(a)</w:t>
            </w:r>
          </w:p>
        </w:tc>
        <w:tc>
          <w:tcPr>
            <w:tcW w:type="dxa" w:w="792"/>
          </w:tcPr>
          <w:p>
            <w:pPr>
              <w:jc w:val="right"/>
            </w:pPr>
            <w:r>
              <w:rPr>
                <w:rFonts w:ascii="Times New Roman" w:hAnsi="Times New Roman"/>
                <w:sz w:val="20"/>
              </w:rPr>
              <w:t>(3.5)</w:t>
            </w:r>
          </w:p>
        </w:tc>
      </w:tr>
    </w:tbl>
    <w:p>
      <w:pPr>
        <w:spacing w:line="276" w:lineRule="auto" w:after="120"/>
        <w:jc w:val="both"/>
      </w:pPr>
      <w:r>
        <w:rPr>
          <w:rFonts w:ascii="Times New Roman" w:hAnsi="Times New Roman"/>
          <w:b/>
          <w:sz w:val="24"/>
        </w:rPr>
        <w:t>Margin-DEF is the primary metric.</w:t>
      </w:r>
      <w:r>
        <w:rPr>
          <w:rFonts w:ascii="Times New Roman" w:hAnsi="Times New Roman"/>
          <w:sz w:val="24"/>
        </w:rPr>
        <w:t xml:space="preserve"> The trained policies often assign a probability close to 1 to the chosen action, so probability-DEF changes very little after occlusion. Margin-DEF retains more signal. Probability-DEF is still reported when it gives a different result; Section 5.3 shows one such case. Margins are limited to +/-10 logits because removing the chosen action's node sends its logit to negative infinity. The clamp rate is reported because frequent clamping indicates that occlusion is deleting actions.</w:t>
      </w:r>
    </w:p>
    <w:p>
      <w:pPr>
        <w:spacing w:line="276" w:lineRule="auto" w:after="120"/>
        <w:jc w:val="both"/>
      </w:pPr>
      <w:r>
        <w:rPr>
          <w:rFonts w:ascii="Times New Roman" w:hAnsi="Times New Roman"/>
          <w:b/>
          <w:sz w:val="24"/>
        </w:rPr>
        <w:t>Random-baseline composition.</w:t>
      </w:r>
      <w:r>
        <w:rPr>
          <w:rFonts w:ascii="Times New Roman" w:hAnsi="Times New Roman"/>
          <w:sz w:val="24"/>
        </w:rPr>
        <w:t xml:space="preserve"> Two sampling schemes are used for the control subsets. </w:t>
      </w:r>
      <w:r>
        <w:rPr>
          <w:rFonts w:ascii="Times New Roman" w:hAnsi="Times New Roman"/>
          <w:i/>
          <w:sz w:val="24"/>
        </w:rPr>
        <w:t>Uniform</w:t>
      </w:r>
      <w:r>
        <w:rPr>
          <w:rFonts w:ascii="Times New Roman" w:hAnsi="Times New Roman"/>
          <w:sz w:val="24"/>
        </w:rPr>
        <w:t xml:space="preserve"> draws size-k subsets uniformly from all valid non-self nodes; this is the standard protocol and what the original analysis used. </w:t>
      </w:r>
      <w:r>
        <w:rPr>
          <w:rFonts w:ascii="Times New Roman" w:hAnsi="Times New Roman"/>
          <w:i/>
          <w:sz w:val="24"/>
        </w:rPr>
        <w:t>Type-matched</w:t>
      </w:r>
      <w:r>
        <w:rPr>
          <w:rFonts w:ascii="Times New Roman" w:hAnsi="Times New Roman"/>
          <w:sz w:val="24"/>
        </w:rPr>
        <w:t xml:space="preserve"> draws subsets with the same taxi/reservation composition as the attention top-k set, so the control withholds the same mixture of evidence and actions that the explanation does. The comparison between the two is the audit.</w:t>
      </w:r>
    </w:p>
    <w:p>
      <w:pPr>
        <w:spacing w:line="276" w:lineRule="auto" w:after="120"/>
        <w:jc w:val="both"/>
      </w:pPr>
      <w:r>
        <w:rPr>
          <w:rFonts w:ascii="Times New Roman" w:hAnsi="Times New Roman"/>
          <w:sz w:val="24"/>
        </w:rPr>
        <w:t>WAMSN measures how much vehicle-node attention is placed on stale telemetry:</w:t>
      </w:r>
    </w:p>
    <w:tbl>
      <w:tblPr>
        <w:tblW w:type="auto" w:w="0"/>
        <w:jc w:val="center"/>
        <w:tblLayout w:type="fixed"/>
        <w:tblLook w:firstColumn="1" w:firstRow="1" w:lastColumn="0" w:lastRow="0" w:noHBand="0" w:noVBand="1" w:val="04A0"/>
        <w:tblBorders/>
      </w:tblPr>
      <w:tblGrid>
        <w:gridCol w:w="8136"/>
        <w:gridCol w:w="792"/>
      </w:tblGrid>
      <w:tr>
        <w:tc>
          <w:tcPr>
            <w:tcW w:type="dxa" w:w="8136"/>
          </w:tcPr>
          <w:p>
            <w:pPr>
              <w:spacing w:after="60"/>
              <w:jc w:val="center"/>
            </w:pPr>
            <w:r>
              <w:rPr>
                <w:rFonts w:ascii="Cambria Math" w:hAnsi="Cambria Math"/>
                <w:i/>
                <w:sz w:val="22"/>
              </w:rPr>
              <w:t>WAMSN = sum_i [alpha_i x clip(AoI_i / AoImax, 0, 1)] / sum_i alpha_i</w:t>
            </w:r>
          </w:p>
        </w:tc>
        <w:tc>
          <w:tcPr>
            <w:tcW w:type="dxa" w:w="792"/>
          </w:tcPr>
          <w:p>
            <w:pPr>
              <w:jc w:val="right"/>
            </w:pPr>
            <w:r>
              <w:rPr>
                <w:rFonts w:ascii="Times New Roman" w:hAnsi="Times New Roman"/>
                <w:sz w:val="20"/>
              </w:rPr>
              <w:t>(3.6)</w:t>
            </w:r>
          </w:p>
        </w:tc>
      </w:tr>
    </w:tbl>
    <w:p>
      <w:pPr>
        <w:spacing w:line="276" w:lineRule="auto" w:after="120"/>
        <w:jc w:val="both"/>
      </w:pPr>
      <w:r>
        <w:rPr>
          <w:rFonts w:ascii="Times New Roman" w:hAnsi="Times New Roman"/>
          <w:sz w:val="24"/>
        </w:rPr>
        <w:t xml:space="preserve">Reservations carry no AoI, so WAMSN runs over the self and peer-taxi nodes only. The clip is the censoring discussed in Section 3.3: at </w:t>
      </w:r>
      <w:r>
        <w:rPr>
          <w:rFonts w:ascii="Courier New" w:hAnsi="Courier New"/>
          <w:sz w:val="22"/>
        </w:rPr>
        <w:t>AoI_max = 60 s</w:t>
      </w:r>
      <w:r>
        <w:rPr>
          <w:rFonts w:ascii="Times New Roman" w:hAnsi="Times New Roman"/>
          <w:sz w:val="24"/>
        </w:rPr>
        <w:t xml:space="preserve"> every node past one minute of staleness receives weight exactly 1.0, so WAMSN is a </w:t>
      </w:r>
      <w:r>
        <w:rPr>
          <w:rFonts w:ascii="Times New Roman" w:hAnsi="Times New Roman"/>
          <w:i/>
          <w:sz w:val="24"/>
        </w:rPr>
        <w:t>stale-attention share</w:t>
      </w:r>
      <w:r>
        <w:rPr>
          <w:rFonts w:ascii="Times New Roman" w:hAnsi="Times New Roman"/>
          <w:sz w:val="24"/>
        </w:rPr>
        <w:t xml:space="preserve"> rather than an AoI-weighted mean whenever outages are long.</w:t>
      </w:r>
    </w:p>
    <w:p>
      <w:pPr>
        <w:pStyle w:val="Heading2"/>
      </w:pPr>
      <w:r>
        <w:rPr>
          <w:rFonts w:ascii="Times New Roman" w:hAnsi="Times New Roman"/>
          <w:sz w:val="24"/>
        </w:rPr>
        <w:t>3.6 Statistical Testing</w:t>
      </w:r>
    </w:p>
    <w:p>
      <w:pPr>
        <w:spacing w:line="276" w:lineRule="auto" w:after="120"/>
        <w:jc w:val="both"/>
      </w:pPr>
      <w:r>
        <w:rPr>
          <w:rFonts w:ascii="Times New Roman" w:hAnsi="Times New Roman"/>
          <w:sz w:val="24"/>
        </w:rPr>
        <w:t>The main sweep evaluates B2 over clean telemetry and four max-AoI levels, with eight environment seeds and three held-out test episodes per cell. One in eight decisions is scored for faithfulness, giving 17,764 scored decisions (17,444 with at least one valid reservation).</w:t>
      </w:r>
    </w:p>
    <w:p>
      <w:pPr>
        <w:spacing w:line="276" w:lineRule="auto" w:after="120"/>
        <w:jc w:val="both"/>
      </w:pPr>
      <w:r>
        <w:rPr>
          <w:rFonts w:ascii="Times New Roman" w:hAnsi="Times New Roman"/>
          <w:sz w:val="24"/>
        </w:rPr>
        <w:t>Decisions are clustered inside episodes, which share demand, geography and policy state, so no test treats decisions as independent:</w:t>
      </w:r>
    </w:p>
    <w:p>
      <w:pPr>
        <w:spacing w:after="80"/>
        <w:ind w:left="403" w:hanging="317"/>
        <w:jc w:val="both"/>
      </w:pPr>
      <w:r>
        <w:rPr>
          <w:rFonts w:ascii="Times New Roman" w:hAnsi="Times New Roman"/>
          <w:b w:val="0"/>
          <w:sz w:val="24"/>
        </w:rPr>
        <w:t xml:space="preserve">• </w:t>
      </w:r>
      <w:r>
        <w:rPr>
          <w:rFonts w:ascii="Times New Roman" w:hAnsi="Times New Roman"/>
          <w:sz w:val="24"/>
        </w:rPr>
        <w:t>H1 and H3: episode-block permutation trend tests, where level labels are permuted between whole episodes and never within them.</w:t>
      </w:r>
    </w:p>
    <w:p>
      <w:pPr>
        <w:spacing w:after="80"/>
        <w:ind w:left="403" w:hanging="317"/>
        <w:jc w:val="both"/>
      </w:pPr>
      <w:r>
        <w:rPr>
          <w:rFonts w:ascii="Times New Roman" w:hAnsi="Times New Roman"/>
          <w:b w:val="0"/>
          <w:sz w:val="24"/>
        </w:rPr>
        <w:t xml:space="preserve">• </w:t>
      </w:r>
      <w:r>
        <w:rPr>
          <w:rFonts w:ascii="Times New Roman" w:hAnsi="Times New Roman"/>
          <w:sz w:val="24"/>
        </w:rPr>
        <w:t>H2: paired sign-flip test over severity cells.</w:t>
      </w:r>
    </w:p>
    <w:p>
      <w:pPr>
        <w:spacing w:after="80"/>
        <w:ind w:left="403" w:hanging="317"/>
        <w:jc w:val="both"/>
      </w:pPr>
      <w:r>
        <w:rPr>
          <w:rFonts w:ascii="Times New Roman" w:hAnsi="Times New Roman"/>
          <w:b w:val="0"/>
          <w:sz w:val="24"/>
        </w:rPr>
        <w:t xml:space="preserve">• </w:t>
      </w:r>
      <w:r>
        <w:rPr>
          <w:rFonts w:ascii="Times New Roman" w:hAnsi="Times New Roman"/>
          <w:sz w:val="24"/>
        </w:rPr>
        <w:t xml:space="preserve">H4: Spearman association computed </w:t>
      </w:r>
      <w:r>
        <w:rPr>
          <w:rFonts w:ascii="Times New Roman" w:hAnsi="Times New Roman"/>
          <w:i/>
          <w:sz w:val="24"/>
        </w:rPr>
        <w:t>inside</w:t>
      </w:r>
      <w:r>
        <w:rPr>
          <w:rFonts w:ascii="Times New Roman" w:hAnsi="Times New Roman"/>
          <w:sz w:val="24"/>
        </w:rPr>
        <w:t xml:space="preserve"> each episode and aggregated across episodes, with a sign test on the episode-level coefficients. Ties are corrected by average ranks; this is not cosmetic, since WAMSN is exactly zero for roughly 90 % of decisions and uncorrected ranks reverse the sign of the coefficient.</w:t>
      </w:r>
    </w:p>
    <w:p>
      <w:pPr>
        <w:spacing w:after="80"/>
        <w:ind w:left="403" w:hanging="317"/>
        <w:jc w:val="both"/>
      </w:pPr>
      <w:r>
        <w:rPr>
          <w:rFonts w:ascii="Times New Roman" w:hAnsi="Times New Roman"/>
          <w:b w:val="0"/>
          <w:sz w:val="24"/>
        </w:rPr>
        <w:t xml:space="preserve">• </w:t>
      </w:r>
      <w:r>
        <w:rPr>
          <w:rFonts w:ascii="Times New Roman" w:hAnsi="Times New Roman"/>
          <w:sz w:val="24"/>
        </w:rPr>
        <w:t>Confidence intervals: cluster bootstrap resampling episodes, 10,000 draws.</w:t>
      </w:r>
    </w:p>
    <w:p>
      <w:pPr>
        <w:spacing w:after="80"/>
        <w:ind w:left="403" w:hanging="317"/>
        <w:jc w:val="both"/>
      </w:pPr>
      <w:r>
        <w:rPr>
          <w:rFonts w:ascii="Times New Roman" w:hAnsi="Times New Roman"/>
          <w:b w:val="0"/>
          <w:sz w:val="24"/>
        </w:rPr>
        <w:t xml:space="preserve">• </w:t>
      </w:r>
      <w:r>
        <w:rPr>
          <w:rFonts w:ascii="Times New Roman" w:hAnsi="Times New Roman"/>
          <w:sz w:val="24"/>
        </w:rPr>
        <w:t>Holm correction across the H1-H4 family.</w:t>
      </w:r>
    </w:p>
    <w:p>
      <w:pPr>
        <w:spacing w:line="276" w:lineRule="auto" w:after="120"/>
        <w:jc w:val="both"/>
      </w:pPr>
      <w:r>
        <w:rPr>
          <w:rFonts w:ascii="Times New Roman" w:hAnsi="Times New Roman"/>
          <w:sz w:val="24"/>
        </w:rPr>
        <w:t xml:space="preserve">Permutation tests use 10,000 draws, so the smallest attainable p-value is 1/10,001. Results at that floor are reported as </w:t>
      </w:r>
      <w:r>
        <w:rPr>
          <w:rFonts w:ascii="Courier New" w:hAnsi="Courier New"/>
          <w:sz w:val="22"/>
        </w:rPr>
        <w:t>p &lt;= 1e-4</w:t>
      </w:r>
      <w:r>
        <w:rPr>
          <w:rFonts w:ascii="Times New Roman" w:hAnsi="Times New Roman"/>
          <w:sz w:val="24"/>
        </w:rPr>
        <w:t xml:space="preserve"> rather than as </w:t>
      </w:r>
      <w:r>
        <w:rPr>
          <w:rFonts w:ascii="Courier New" w:hAnsi="Courier New"/>
          <w:sz w:val="22"/>
        </w:rPr>
        <w:t>p &lt; 0.001</w:t>
      </w:r>
      <w:r>
        <w:rPr>
          <w:rFonts w:ascii="Times New Roman" w:hAnsi="Times New Roman"/>
          <w:sz w:val="24"/>
        </w:rPr>
        <w:t>, which would misstate the available resolution.</w:t>
      </w:r>
    </w:p>
    <w:p>
      <w:pPr>
        <w:spacing w:line="276" w:lineRule="auto" w:after="120"/>
        <w:jc w:val="both"/>
      </w:pPr>
      <w:r>
        <w:rPr>
          <w:rFonts w:ascii="Times New Roman" w:hAnsi="Times New Roman"/>
          <w:sz w:val="24"/>
        </w:rPr>
        <w:t xml:space="preserve">Two sweeps are referenced and are kept distinct throughout. </w:t>
      </w:r>
      <w:r>
        <w:rPr>
          <w:rFonts w:ascii="Courier New" w:hAnsi="Courier New"/>
          <w:sz w:val="22"/>
        </w:rPr>
        <w:t>B2_aoi_ladder</w:t>
      </w:r>
      <w:r>
        <w:rPr>
          <w:rFonts w:ascii="Times New Roman" w:hAnsi="Times New Roman"/>
          <w:sz w:val="24"/>
        </w:rPr>
        <w:t xml:space="preserve"> is the source of the preregistered H1-H4 statistics. </w:t>
      </w:r>
      <w:r>
        <w:rPr>
          <w:rFonts w:ascii="Courier New" w:hAnsi="Courier New"/>
          <w:sz w:val="22"/>
        </w:rPr>
        <w:t>B2_aoi_ladder_v2</w:t>
      </w:r>
      <w:r>
        <w:rPr>
          <w:rFonts w:ascii="Times New Roman" w:hAnsi="Times New Roman"/>
          <w:sz w:val="24"/>
        </w:rPr>
        <w:t xml:space="preserve"> is the re-run with clamp, exposure and AoI instrumentation added, and is the source of every diagnostic quantity. Where both are available the numbers agree to within 0.01 margin-DEF.</w:t>
      </w:r>
    </w:p>
    <w:p>
      <w:pPr>
        <w:pStyle w:val="Heading1"/>
        <w:pageBreakBefore/>
      </w:pPr>
      <w:r>
        <w:rPr>
          <w:rFonts w:ascii="Times New Roman" w:hAnsi="Times New Roman"/>
          <w:sz w:val="28"/>
        </w:rPr>
        <w:t>Chapter 4: Model Design and Implementation</w:t>
      </w:r>
    </w:p>
    <w:p>
      <w:pPr>
        <w:pStyle w:val="Heading2"/>
      </w:pPr>
      <w:r>
        <w:rPr>
          <w:rFonts w:ascii="Times New Roman" w:hAnsi="Times New Roman"/>
          <w:sz w:val="24"/>
        </w:rPr>
        <w:t>4.1 Model Conditions</w:t>
      </w:r>
    </w:p>
    <w:p>
      <w:pPr>
        <w:spacing w:line="276" w:lineRule="auto" w:after="120"/>
        <w:jc w:val="both"/>
      </w:pPr>
      <w:r>
        <w:rPr>
          <w:rFonts w:ascii="Times New Roman" w:hAnsi="Times New Roman"/>
          <w:sz w:val="24"/>
        </w:rPr>
        <w:t>The main model is B2, a GAT-MAPPO dispatcher. The other conditions are not extra models for their own sake. Each one answers a specific control question: what happens without learning, without graph attention, without AoI features, or with degradation-aware training?</w:t>
      </w:r>
    </w:p>
    <w:p>
      <w:pPr>
        <w:keepNext/>
        <w:spacing w:before="120" w:after="40"/>
        <w:jc w:val="center"/>
      </w:pPr>
      <w:r>
        <w:drawing>
          <wp:inline xmlns:a="http://schemas.openxmlformats.org/drawingml/2006/main" xmlns:pic="http://schemas.openxmlformats.org/drawingml/2006/picture">
            <wp:extent cx="5623560" cy="3749040"/>
            <wp:docPr id="4" name="Picture 4"/>
            <wp:cNvGraphicFramePr>
              <a:graphicFrameLocks noChangeAspect="1"/>
            </wp:cNvGraphicFramePr>
            <a:graphic>
              <a:graphicData uri="http://schemas.openxmlformats.org/drawingml/2006/picture">
                <pic:pic>
                  <pic:nvPicPr>
                    <pic:cNvPr id="0" name="model_design_training_process.png"/>
                    <pic:cNvPicPr/>
                  </pic:nvPicPr>
                  <pic:blipFill>
                    <a:blip r:embed="rId22"/>
                    <a:stretch>
                      <a:fillRect/>
                    </a:stretch>
                  </pic:blipFill>
                  <pic:spPr>
                    <a:xfrm>
                      <a:off x="0" y="0"/>
                      <a:ext cx="5623560" cy="3749040"/>
                    </a:xfrm>
                    <a:prstGeom prst="rect"/>
                  </pic:spPr>
                </pic:pic>
              </a:graphicData>
            </a:graphic>
          </wp:inline>
        </w:drawing>
      </w:r>
    </w:p>
    <w:p>
      <w:pPr>
        <w:pStyle w:val="DMUCaption"/>
        <w:keepLines/>
      </w:pPr>
      <w:r>
        <w:rPr>
          <w:rFonts w:ascii="Times New Roman" w:hAnsi="Times New Roman"/>
          <w:sz w:val="20"/>
        </w:rPr>
        <w:t>Figure 4.1: Model conditions and training process. B2 is the main audited</w:t>
      </w:r>
    </w:p>
    <w:p>
      <w:pPr>
        <w:spacing w:line="276" w:lineRule="auto" w:after="120"/>
        <w:jc w:val="both"/>
      </w:pPr>
      <w:r>
        <w:rPr>
          <w:rFonts w:ascii="Times New Roman" w:hAnsi="Times New Roman"/>
          <w:sz w:val="24"/>
        </w:rPr>
        <w:t>attention model. B0, B1, B3, and H5' are included to separate task performance, graph attention, AoI input, and degradation-aware training.</w:t>
      </w:r>
    </w:p>
    <w:p>
      <w:pPr>
        <w:pStyle w:val="DMUCaption"/>
        <w:keepNext/>
        <w:jc w:val="center"/>
      </w:pPr>
      <w:r>
        <w:rPr>
          <w:rFonts w:ascii="Times New Roman" w:hAnsi="Times New Roman"/>
          <w:sz w:val="20"/>
        </w:rPr>
        <w:t>Table 4.1: Model Conditions</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257"/>
        <w:gridCol w:w="2257"/>
        <w:gridCol w:w="2257"/>
        <w:gridCol w:w="2257"/>
      </w:tblGrid>
      <w:tr>
        <w:trPr>
          <w:cantSplit/>
          <w:tblHeader w:val="true"/>
        </w:trPr>
        <w:tc>
          <w:tcPr>
            <w:tcW w:type="dxa" w:w="2344"/>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Condition</w:t>
            </w:r>
          </w:p>
        </w:tc>
        <w:tc>
          <w:tcPr>
            <w:tcW w:type="dxa" w:w="893"/>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Trained?</w:t>
            </w:r>
          </w:p>
        </w:tc>
        <w:tc>
          <w:tcPr>
            <w:tcW w:type="dxa" w:w="2344"/>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Training telemetry</w:t>
            </w:r>
          </w:p>
        </w:tc>
        <w:tc>
          <w:tcPr>
            <w:tcW w:type="dxa" w:w="3376"/>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Purpose</w:t>
            </w:r>
          </w:p>
        </w:tc>
      </w:tr>
      <w:tr>
        <w:trPr>
          <w:cantSplit/>
        </w:trPr>
        <w:tc>
          <w:tcPr>
            <w:tcW w:type="dxa" w:w="2344"/>
            <w:vAlign w:val="center"/>
            <w:tcMar>
              <w:top w:w="70" w:type="dxa"/>
              <w:start w:w="90" w:type="dxa"/>
              <w:bottom w:w="70" w:type="dxa"/>
              <w:end w:w="90" w:type="dxa"/>
            </w:tcMar>
          </w:tcPr>
          <w:p>
            <w:pPr>
              <w:spacing w:after="0" w:line="240" w:lineRule="auto"/>
              <w:jc w:val="left"/>
            </w:pPr>
            <w:r>
              <w:rPr>
                <w:rFonts w:ascii="Times New Roman" w:hAnsi="Times New Roman"/>
                <w:sz w:val="18"/>
              </w:rPr>
              <w:t>B0 SUMO greedy</w:t>
            </w:r>
          </w:p>
        </w:tc>
        <w:tc>
          <w:tcPr>
            <w:tcW w:type="dxa" w:w="893"/>
            <w:vAlign w:val="center"/>
            <w:tcMar>
              <w:top w:w="70" w:type="dxa"/>
              <w:start w:w="90" w:type="dxa"/>
              <w:bottom w:w="70" w:type="dxa"/>
              <w:end w:w="90" w:type="dxa"/>
            </w:tcMar>
          </w:tcPr>
          <w:p>
            <w:pPr>
              <w:spacing w:after="0" w:line="240" w:lineRule="auto"/>
              <w:jc w:val="left"/>
            </w:pPr>
            <w:r>
              <w:rPr>
                <w:rFonts w:ascii="Times New Roman" w:hAnsi="Times New Roman"/>
                <w:sz w:val="18"/>
              </w:rPr>
              <w:t>No</w:t>
            </w:r>
          </w:p>
        </w:tc>
        <w:tc>
          <w:tcPr>
            <w:tcW w:type="dxa" w:w="2344"/>
            <w:vAlign w:val="center"/>
            <w:tcMar>
              <w:top w:w="70" w:type="dxa"/>
              <w:start w:w="90" w:type="dxa"/>
              <w:bottom w:w="70" w:type="dxa"/>
              <w:end w:w="90" w:type="dxa"/>
            </w:tcMar>
          </w:tcPr>
          <w:p>
            <w:pPr>
              <w:spacing w:after="0" w:line="240" w:lineRule="auto"/>
              <w:jc w:val="left"/>
            </w:pPr>
            <w:r>
              <w:rPr>
                <w:rFonts w:ascii="Times New Roman" w:hAnsi="Times New Roman"/>
                <w:sz w:val="18"/>
              </w:rPr>
              <w:t>Not trained</w:t>
            </w:r>
          </w:p>
        </w:tc>
        <w:tc>
          <w:tcPr>
            <w:tcW w:type="dxa" w:w="3376"/>
            <w:vAlign w:val="center"/>
            <w:tcMar>
              <w:top w:w="70" w:type="dxa"/>
              <w:start w:w="90" w:type="dxa"/>
              <w:bottom w:w="70" w:type="dxa"/>
              <w:end w:w="90" w:type="dxa"/>
            </w:tcMar>
          </w:tcPr>
          <w:p>
            <w:pPr>
              <w:spacing w:after="0" w:line="240" w:lineRule="auto"/>
              <w:jc w:val="left"/>
            </w:pPr>
            <w:r>
              <w:rPr>
                <w:rFonts w:ascii="Times New Roman" w:hAnsi="Times New Roman"/>
                <w:sz w:val="18"/>
              </w:rPr>
              <w:t>Non-learning dispatch reference</w:t>
            </w:r>
          </w:p>
        </w:tc>
      </w:tr>
      <w:tr>
        <w:trPr>
          <w:cantSplit/>
        </w:trPr>
        <w:tc>
          <w:tcPr>
            <w:tcW w:type="dxa" w:w="234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B1 MLP-MAPPO</w:t>
            </w:r>
          </w:p>
        </w:tc>
        <w:tc>
          <w:tcPr>
            <w:tcW w:type="dxa" w:w="893"/>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Yes</w:t>
            </w:r>
          </w:p>
        </w:tc>
        <w:tc>
          <w:tcPr>
            <w:tcW w:type="dxa" w:w="234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Clean</w:t>
            </w:r>
          </w:p>
        </w:tc>
        <w:tc>
          <w:tcPr>
            <w:tcW w:type="dxa" w:w="337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RL baseline without graph attention</w:t>
            </w:r>
          </w:p>
        </w:tc>
      </w:tr>
      <w:tr>
        <w:trPr>
          <w:cantSplit/>
        </w:trPr>
        <w:tc>
          <w:tcPr>
            <w:tcW w:type="dxa" w:w="2344"/>
            <w:vAlign w:val="center"/>
            <w:tcMar>
              <w:top w:w="70" w:type="dxa"/>
              <w:start w:w="90" w:type="dxa"/>
              <w:bottom w:w="70" w:type="dxa"/>
              <w:end w:w="90" w:type="dxa"/>
            </w:tcMar>
          </w:tcPr>
          <w:p>
            <w:pPr>
              <w:spacing w:after="0" w:line="240" w:lineRule="auto"/>
              <w:jc w:val="left"/>
            </w:pPr>
            <w:r>
              <w:rPr>
                <w:rFonts w:ascii="Times New Roman" w:hAnsi="Times New Roman"/>
                <w:sz w:val="18"/>
              </w:rPr>
              <w:t>B2 GAT-MAPPO</w:t>
            </w:r>
          </w:p>
        </w:tc>
        <w:tc>
          <w:tcPr>
            <w:tcW w:type="dxa" w:w="893"/>
            <w:vAlign w:val="center"/>
            <w:tcMar>
              <w:top w:w="70" w:type="dxa"/>
              <w:start w:w="90" w:type="dxa"/>
              <w:bottom w:w="70" w:type="dxa"/>
              <w:end w:w="90" w:type="dxa"/>
            </w:tcMar>
          </w:tcPr>
          <w:p>
            <w:pPr>
              <w:spacing w:after="0" w:line="240" w:lineRule="auto"/>
              <w:jc w:val="left"/>
            </w:pPr>
            <w:r>
              <w:rPr>
                <w:rFonts w:ascii="Times New Roman" w:hAnsi="Times New Roman"/>
                <w:sz w:val="18"/>
              </w:rPr>
              <w:t>Yes</w:t>
            </w:r>
          </w:p>
        </w:tc>
        <w:tc>
          <w:tcPr>
            <w:tcW w:type="dxa" w:w="2344"/>
            <w:vAlign w:val="center"/>
            <w:tcMar>
              <w:top w:w="70" w:type="dxa"/>
              <w:start w:w="90" w:type="dxa"/>
              <w:bottom w:w="70" w:type="dxa"/>
              <w:end w:w="90" w:type="dxa"/>
            </w:tcMar>
          </w:tcPr>
          <w:p>
            <w:pPr>
              <w:spacing w:after="0" w:line="240" w:lineRule="auto"/>
              <w:jc w:val="left"/>
            </w:pPr>
            <w:r>
              <w:rPr>
                <w:rFonts w:ascii="Times New Roman" w:hAnsi="Times New Roman"/>
                <w:sz w:val="18"/>
              </w:rPr>
              <w:t>Clean</w:t>
            </w:r>
          </w:p>
        </w:tc>
        <w:tc>
          <w:tcPr>
            <w:tcW w:type="dxa" w:w="3376"/>
            <w:vAlign w:val="center"/>
            <w:tcMar>
              <w:top w:w="70" w:type="dxa"/>
              <w:start w:w="90" w:type="dxa"/>
              <w:bottom w:w="70" w:type="dxa"/>
              <w:end w:w="90" w:type="dxa"/>
            </w:tcMar>
          </w:tcPr>
          <w:p>
            <w:pPr>
              <w:spacing w:after="0" w:line="240" w:lineRule="auto"/>
              <w:jc w:val="left"/>
            </w:pPr>
            <w:r>
              <w:rPr>
                <w:rFonts w:ascii="Times New Roman" w:hAnsi="Times New Roman"/>
                <w:sz w:val="18"/>
              </w:rPr>
              <w:t>Main attention model under audit</w:t>
            </w:r>
          </w:p>
        </w:tc>
      </w:tr>
      <w:tr>
        <w:trPr>
          <w:cantSplit/>
        </w:trPr>
        <w:tc>
          <w:tcPr>
            <w:tcW w:type="dxa" w:w="234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B3 GAT-MAPPO without AoI</w:t>
            </w:r>
          </w:p>
        </w:tc>
        <w:tc>
          <w:tcPr>
            <w:tcW w:type="dxa" w:w="893"/>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Yes</w:t>
            </w:r>
          </w:p>
        </w:tc>
        <w:tc>
          <w:tcPr>
            <w:tcW w:type="dxa" w:w="234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Clean</w:t>
            </w:r>
          </w:p>
        </w:tc>
        <w:tc>
          <w:tcPr>
            <w:tcW w:type="dxa" w:w="337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Control for explicit freshness input</w:t>
            </w:r>
          </w:p>
        </w:tc>
      </w:tr>
      <w:tr>
        <w:trPr>
          <w:cantSplit/>
        </w:trPr>
        <w:tc>
          <w:tcPr>
            <w:tcW w:type="dxa" w:w="2344"/>
            <w:vAlign w:val="center"/>
            <w:tcMar>
              <w:top w:w="70" w:type="dxa"/>
              <w:start w:w="90" w:type="dxa"/>
              <w:bottom w:w="70" w:type="dxa"/>
              <w:end w:w="90" w:type="dxa"/>
            </w:tcMar>
          </w:tcPr>
          <w:p>
            <w:pPr>
              <w:spacing w:after="0" w:line="240" w:lineRule="auto"/>
              <w:jc w:val="left"/>
            </w:pPr>
            <w:r>
              <w:rPr>
                <w:rFonts w:ascii="Times New Roman" w:hAnsi="Times New Roman"/>
                <w:sz w:val="18"/>
              </w:rPr>
              <w:t>H5' degradation-aware GAT</w:t>
            </w:r>
          </w:p>
        </w:tc>
        <w:tc>
          <w:tcPr>
            <w:tcW w:type="dxa" w:w="893"/>
            <w:vAlign w:val="center"/>
            <w:tcMar>
              <w:top w:w="70" w:type="dxa"/>
              <w:start w:w="90" w:type="dxa"/>
              <w:bottom w:w="70" w:type="dxa"/>
              <w:end w:w="90" w:type="dxa"/>
            </w:tcMar>
          </w:tcPr>
          <w:p>
            <w:pPr>
              <w:spacing w:after="0" w:line="240" w:lineRule="auto"/>
              <w:jc w:val="left"/>
            </w:pPr>
            <w:r>
              <w:rPr>
                <w:rFonts w:ascii="Times New Roman" w:hAnsi="Times New Roman"/>
                <w:sz w:val="18"/>
              </w:rPr>
              <w:t>Yes</w:t>
            </w:r>
          </w:p>
        </w:tc>
        <w:tc>
          <w:tcPr>
            <w:tcW w:type="dxa" w:w="2344"/>
            <w:vAlign w:val="center"/>
            <w:tcMar>
              <w:top w:w="70" w:type="dxa"/>
              <w:start w:w="90" w:type="dxa"/>
              <w:bottom w:w="70" w:type="dxa"/>
              <w:end w:w="90" w:type="dxa"/>
            </w:tcMar>
          </w:tcPr>
          <w:p>
            <w:pPr>
              <w:spacing w:after="0" w:line="240" w:lineRule="auto"/>
              <w:jc w:val="left"/>
            </w:pPr>
            <w:r>
              <w:rPr>
                <w:rFonts w:ascii="Times New Roman" w:hAnsi="Times New Roman"/>
                <w:sz w:val="18"/>
              </w:rPr>
              <w:t>Tunnel-freeze degradation</w:t>
            </w:r>
          </w:p>
        </w:tc>
        <w:tc>
          <w:tcPr>
            <w:tcW w:type="dxa" w:w="3376"/>
            <w:vAlign w:val="center"/>
            <w:tcMar>
              <w:top w:w="70" w:type="dxa"/>
              <w:start w:w="90" w:type="dxa"/>
              <w:bottom w:w="70" w:type="dxa"/>
              <w:end w:w="90" w:type="dxa"/>
            </w:tcMar>
          </w:tcPr>
          <w:p>
            <w:pPr>
              <w:spacing w:after="0" w:line="240" w:lineRule="auto"/>
              <w:jc w:val="left"/>
            </w:pPr>
            <w:r>
              <w:rPr>
                <w:rFonts w:ascii="Times New Roman" w:hAnsi="Times New Roman"/>
                <w:sz w:val="18"/>
              </w:rPr>
              <w:t>Test whether degraded training helps</w:t>
            </w:r>
          </w:p>
        </w:tc>
      </w:tr>
    </w:tbl>
    <w:p>
      <w:pPr>
        <w:spacing w:after="0"/>
      </w:pPr>
    </w:p>
    <w:p>
      <w:pPr>
        <w:spacing w:line="276" w:lineRule="auto" w:after="120"/>
        <w:jc w:val="both"/>
      </w:pPr>
      <w:r>
        <w:rPr>
          <w:rFonts w:ascii="Times New Roman" w:hAnsi="Times New Roman"/>
          <w:sz w:val="24"/>
        </w:rPr>
        <w:t>B1, B2, and B3 are trained on clean telemetry. H5' is trained with tunnel-triggered freeze degradation. After training, checkpoints are frozen and evaluated on held-out test demand under clean telemetry and the AoI severity ladder.</w:t>
      </w:r>
    </w:p>
    <w:p>
      <w:pPr>
        <w:pStyle w:val="Heading2"/>
      </w:pPr>
      <w:r>
        <w:rPr>
          <w:rFonts w:ascii="Times New Roman" w:hAnsi="Times New Roman"/>
          <w:sz w:val="24"/>
        </w:rPr>
        <w:t>4.2 Graph-Attention Policy</w:t>
      </w:r>
    </w:p>
    <w:p>
      <w:pPr>
        <w:spacing w:line="276" w:lineRule="auto" w:after="120"/>
        <w:jc w:val="both"/>
      </w:pPr>
      <w:r>
        <w:rPr>
          <w:rFonts w:ascii="Times New Roman" w:hAnsi="Times New Roman"/>
          <w:sz w:val="24"/>
        </w:rPr>
        <w:t>For each acting taxi, the environment builds one self-centred graph. The graph contains the taxi itself, up to five nearby taxis, and up to five candidate reservations. One graph therefore corresponds to one taxi decision.</w:t>
      </w:r>
    </w:p>
    <w:p>
      <w:pPr>
        <w:keepNext/>
        <w:spacing w:before="120" w:after="40"/>
        <w:jc w:val="center"/>
      </w:pPr>
      <w:r>
        <w:drawing>
          <wp:inline xmlns:a="http://schemas.openxmlformats.org/drawingml/2006/main" xmlns:pic="http://schemas.openxmlformats.org/drawingml/2006/picture">
            <wp:extent cx="5623560" cy="3400292"/>
            <wp:docPr id="5" name="Picture 5"/>
            <wp:cNvGraphicFramePr>
              <a:graphicFrameLocks noChangeAspect="1"/>
            </wp:cNvGraphicFramePr>
            <a:graphic>
              <a:graphicData uri="http://schemas.openxmlformats.org/drawingml/2006/picture">
                <pic:pic>
                  <pic:nvPicPr>
                    <pic:cNvPr id="0" name="fig2_observation_graph.png"/>
                    <pic:cNvPicPr/>
                  </pic:nvPicPr>
                  <pic:blipFill>
                    <a:blip r:embed="rId23"/>
                    <a:stretch>
                      <a:fillRect/>
                    </a:stretch>
                  </pic:blipFill>
                  <pic:spPr>
                    <a:xfrm>
                      <a:off x="0" y="0"/>
                      <a:ext cx="5623560" cy="3400292"/>
                    </a:xfrm>
                    <a:prstGeom prst="rect"/>
                  </pic:spPr>
                </pic:pic>
              </a:graphicData>
            </a:graphic>
          </wp:inline>
        </w:drawing>
      </w:r>
    </w:p>
    <w:p>
      <w:pPr>
        <w:pStyle w:val="DMUCaption"/>
        <w:keepLines/>
      </w:pPr>
      <w:r>
        <w:rPr>
          <w:rFonts w:ascii="Times New Roman" w:hAnsi="Times New Roman"/>
          <w:sz w:val="20"/>
        </w:rPr>
        <w:t>Figure 4.2: Observation graph for one dispatch decision. The policy sees the</w:t>
      </w:r>
    </w:p>
    <w:p>
      <w:pPr>
        <w:spacing w:line="276" w:lineRule="auto" w:after="120"/>
        <w:jc w:val="both"/>
      </w:pPr>
      <w:r>
        <w:rPr>
          <w:rFonts w:ascii="Times New Roman" w:hAnsi="Times New Roman"/>
          <w:sz w:val="24"/>
        </w:rPr>
        <w:t>acting taxi, nearby taxi context, and candidate reservations in a single small graph.</w:t>
      </w:r>
    </w:p>
    <w:p>
      <w:pPr>
        <w:keepNext/>
        <w:spacing w:before="120" w:after="40"/>
        <w:jc w:val="center"/>
      </w:pPr>
      <w:r>
        <w:drawing>
          <wp:inline xmlns:a="http://schemas.openxmlformats.org/drawingml/2006/main" xmlns:pic="http://schemas.openxmlformats.org/drawingml/2006/picture">
            <wp:extent cx="5623560" cy="3164934"/>
            <wp:docPr id="6" name="Picture 6"/>
            <wp:cNvGraphicFramePr>
              <a:graphicFrameLocks noChangeAspect="1"/>
            </wp:cNvGraphicFramePr>
            <a:graphic>
              <a:graphicData uri="http://schemas.openxmlformats.org/drawingml/2006/picture">
                <pic:pic>
                  <pic:nvPicPr>
                    <pic:cNvPr id="0" name="simplified_graph_attention_design.png"/>
                    <pic:cNvPicPr/>
                  </pic:nvPicPr>
                  <pic:blipFill>
                    <a:blip r:embed="rId24"/>
                    <a:stretch>
                      <a:fillRect/>
                    </a:stretch>
                  </pic:blipFill>
                  <pic:spPr>
                    <a:xfrm>
                      <a:off x="0" y="0"/>
                      <a:ext cx="5623560" cy="3164934"/>
                    </a:xfrm>
                    <a:prstGeom prst="rect"/>
                  </pic:spPr>
                </pic:pic>
              </a:graphicData>
            </a:graphic>
          </wp:inline>
        </w:drawing>
      </w:r>
    </w:p>
    <w:p>
      <w:pPr>
        <w:pStyle w:val="DMUCaption"/>
        <w:keepLines/>
      </w:pPr>
      <w:r>
        <w:rPr>
          <w:rFonts w:ascii="Times New Roman" w:hAnsi="Times New Roman"/>
          <w:sz w:val="20"/>
        </w:rPr>
        <w:t>Figure 4.3: Simplified graph-attention design. The policy first embeds the</w:t>
      </w:r>
    </w:p>
    <w:p>
      <w:pPr>
        <w:spacing w:line="276" w:lineRule="auto" w:after="120"/>
        <w:jc w:val="both"/>
      </w:pPr>
      <w:r>
        <w:rPr>
          <w:rFonts w:ascii="Times New Roman" w:hAnsi="Times New Roman"/>
          <w:sz w:val="24"/>
        </w:rPr>
        <w:t>self, taxi, and reservation nodes into a shared space. Valid nodes then attend to each other. The final embeddings produce dispatch actions, while the attention map is kept for faithfulness testing.</w:t>
      </w:r>
    </w:p>
    <w:p>
      <w:pPr>
        <w:spacing w:line="276" w:lineRule="auto" w:after="120"/>
        <w:jc w:val="both"/>
      </w:pPr>
      <w:r>
        <w:rPr>
          <w:rFonts w:ascii="Times New Roman" w:hAnsi="Times New Roman"/>
          <w:sz w:val="24"/>
        </w:rPr>
        <w:t>The node types are:</w:t>
      </w:r>
    </w:p>
    <w:p>
      <w:pPr>
        <w:pStyle w:val="DMUCaption"/>
        <w:keepNext/>
        <w:jc w:val="center"/>
      </w:pPr>
      <w:r>
        <w:rPr>
          <w:rFonts w:ascii="Times New Roman" w:hAnsi="Times New Roman"/>
          <w:sz w:val="20"/>
        </w:rPr>
        <w:t>Table 4.2: Observation Graph</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010"/>
        <w:gridCol w:w="3010"/>
        <w:gridCol w:w="3010"/>
      </w:tblGrid>
      <w:tr>
        <w:trPr>
          <w:cantSplit/>
          <w:tblHeader w:val="true"/>
        </w:trPr>
        <w:tc>
          <w:tcPr>
            <w:tcW w:type="dxa" w:w="1296"/>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Node type</w:t>
            </w:r>
          </w:p>
        </w:tc>
        <w:tc>
          <w:tcPr>
            <w:tcW w:type="dxa" w:w="5421"/>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Main features</w:t>
            </w:r>
          </w:p>
        </w:tc>
        <w:tc>
          <w:tcPr>
            <w:tcW w:type="dxa" w:w="2239"/>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Role</w:t>
            </w:r>
          </w:p>
        </w:tc>
      </w:tr>
      <w:tr>
        <w:trPr>
          <w:cantSplit/>
        </w:trPr>
        <w:tc>
          <w:tcPr>
            <w:tcW w:type="dxa" w:w="1296"/>
            <w:vAlign w:val="center"/>
            <w:tcMar>
              <w:top w:w="70" w:type="dxa"/>
              <w:start w:w="90" w:type="dxa"/>
              <w:bottom w:w="70" w:type="dxa"/>
              <w:end w:w="90" w:type="dxa"/>
            </w:tcMar>
          </w:tcPr>
          <w:p>
            <w:pPr>
              <w:spacing w:after="0" w:line="240" w:lineRule="auto"/>
              <w:jc w:val="left"/>
            </w:pPr>
            <w:r>
              <w:rPr>
                <w:rFonts w:ascii="Times New Roman" w:hAnsi="Times New Roman"/>
                <w:sz w:val="18"/>
              </w:rPr>
              <w:t>Self taxi</w:t>
            </w:r>
          </w:p>
        </w:tc>
        <w:tc>
          <w:tcPr>
            <w:tcW w:type="dxa" w:w="5421"/>
            <w:vAlign w:val="center"/>
            <w:tcMar>
              <w:top w:w="70" w:type="dxa"/>
              <w:start w:w="90" w:type="dxa"/>
              <w:bottom w:w="70" w:type="dxa"/>
              <w:end w:w="90" w:type="dxa"/>
            </w:tcMar>
          </w:tcPr>
          <w:p>
            <w:pPr>
              <w:spacing w:after="0" w:line="240" w:lineRule="auto"/>
              <w:jc w:val="left"/>
            </w:pPr>
            <w:r>
              <w:rPr>
                <w:rFonts w:ascii="Times New Roman" w:hAnsi="Times New Roman"/>
                <w:sz w:val="18"/>
              </w:rPr>
              <w:t>position, time, velocity, AoI</w:t>
            </w:r>
          </w:p>
        </w:tc>
        <w:tc>
          <w:tcPr>
            <w:tcW w:type="dxa" w:w="2239"/>
            <w:vAlign w:val="center"/>
            <w:tcMar>
              <w:top w:w="70" w:type="dxa"/>
              <w:start w:w="90" w:type="dxa"/>
              <w:bottom w:w="70" w:type="dxa"/>
              <w:end w:w="90" w:type="dxa"/>
            </w:tcMar>
          </w:tcPr>
          <w:p>
            <w:pPr>
              <w:spacing w:after="0" w:line="240" w:lineRule="auto"/>
              <w:jc w:val="left"/>
            </w:pPr>
            <w:r>
              <w:rPr>
                <w:rFonts w:ascii="Times New Roman" w:hAnsi="Times New Roman"/>
                <w:sz w:val="18"/>
              </w:rPr>
              <w:t>The acting vehicle</w:t>
            </w:r>
          </w:p>
        </w:tc>
      </w:tr>
      <w:tr>
        <w:trPr>
          <w:cantSplit/>
        </w:trPr>
        <w:tc>
          <w:tcPr>
            <w:tcW w:type="dxa" w:w="129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Peer taxi</w:t>
            </w:r>
          </w:p>
        </w:tc>
        <w:tc>
          <w:tcPr>
            <w:tcW w:type="dxa" w:w="5421"/>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relative position, availability, distance, AoI</w:t>
            </w:r>
          </w:p>
        </w:tc>
        <w:tc>
          <w:tcPr>
            <w:tcW w:type="dxa" w:w="2239"/>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Local fleet context</w:t>
            </w:r>
          </w:p>
        </w:tc>
      </w:tr>
      <w:tr>
        <w:trPr>
          <w:cantSplit/>
        </w:trPr>
        <w:tc>
          <w:tcPr>
            <w:tcW w:type="dxa" w:w="1296"/>
            <w:vAlign w:val="center"/>
            <w:tcMar>
              <w:top w:w="70" w:type="dxa"/>
              <w:start w:w="90" w:type="dxa"/>
              <w:bottom w:w="70" w:type="dxa"/>
              <w:end w:w="90" w:type="dxa"/>
            </w:tcMar>
          </w:tcPr>
          <w:p>
            <w:pPr>
              <w:spacing w:after="0" w:line="240" w:lineRule="auto"/>
              <w:jc w:val="left"/>
            </w:pPr>
            <w:r>
              <w:rPr>
                <w:rFonts w:ascii="Times New Roman" w:hAnsi="Times New Roman"/>
                <w:sz w:val="18"/>
              </w:rPr>
              <w:t>Reservation</w:t>
            </w:r>
          </w:p>
        </w:tc>
        <w:tc>
          <w:tcPr>
            <w:tcW w:type="dxa" w:w="5421"/>
            <w:vAlign w:val="center"/>
            <w:tcMar>
              <w:top w:w="70" w:type="dxa"/>
              <w:start w:w="90" w:type="dxa"/>
              <w:bottom w:w="70" w:type="dxa"/>
              <w:end w:w="90" w:type="dxa"/>
            </w:tcMar>
          </w:tcPr>
          <w:p>
            <w:pPr>
              <w:spacing w:after="0" w:line="240" w:lineRule="auto"/>
              <w:jc w:val="left"/>
            </w:pPr>
            <w:r>
              <w:rPr>
                <w:rFonts w:ascii="Times New Roman" w:hAnsi="Times New Roman"/>
                <w:sz w:val="18"/>
              </w:rPr>
              <w:t>pickup/drop-off vectors, waiting time</w:t>
            </w:r>
          </w:p>
        </w:tc>
        <w:tc>
          <w:tcPr>
            <w:tcW w:type="dxa" w:w="2239"/>
            <w:vAlign w:val="center"/>
            <w:tcMar>
              <w:top w:w="70" w:type="dxa"/>
              <w:start w:w="90" w:type="dxa"/>
              <w:bottom w:w="70" w:type="dxa"/>
              <w:end w:w="90" w:type="dxa"/>
            </w:tcMar>
          </w:tcPr>
          <w:p>
            <w:pPr>
              <w:spacing w:after="0" w:line="240" w:lineRule="auto"/>
              <w:jc w:val="left"/>
            </w:pPr>
            <w:r>
              <w:rPr>
                <w:rFonts w:ascii="Times New Roman" w:hAnsi="Times New Roman"/>
                <w:sz w:val="18"/>
              </w:rPr>
              <w:t>Candidate action</w:t>
            </w:r>
          </w:p>
        </w:tc>
      </w:tr>
    </w:tbl>
    <w:p>
      <w:pPr>
        <w:spacing w:after="0"/>
      </w:pPr>
    </w:p>
    <w:p>
      <w:pPr>
        <w:spacing w:line="276" w:lineRule="auto" w:after="120"/>
        <w:jc w:val="both"/>
      </w:pPr>
      <w:r>
        <w:rPr>
          <w:rFonts w:ascii="Times New Roman" w:hAnsi="Times New Roman"/>
          <w:sz w:val="24"/>
        </w:rPr>
        <w:t>The graph is fully connected over valid nodes. This is manageable because the graph has at most 11 nodes. Padding masks remove missing neighbours or reservations from attention and from the action logits.</w:t>
      </w:r>
    </w:p>
    <w:p>
      <w:pPr>
        <w:spacing w:line="276" w:lineRule="auto" w:after="120"/>
        <w:jc w:val="both"/>
      </w:pPr>
      <w:r>
        <w:rPr>
          <w:rFonts w:ascii="Times New Roman" w:hAnsi="Times New Roman"/>
          <w:sz w:val="24"/>
        </w:rPr>
        <w:t xml:space="preserve">The GAT uses two layers and four attention heads. The actor reads the final self embedding to score the no-op action, and the final reservation embeddings to score reservation actions. The attention tensor is returned by the forward pass and used as the </w:t>
      </w:r>
      <w:r>
        <w:rPr>
          <w:rFonts w:ascii="Times New Roman" w:hAnsi="Times New Roman"/>
          <w:b/>
          <w:sz w:val="24"/>
        </w:rPr>
        <w:t>coupled explanation channel</w:t>
      </w:r>
      <w:r>
        <w:rPr>
          <w:rFonts w:ascii="Times New Roman" w:hAnsi="Times New Roman"/>
          <w:sz w:val="24"/>
        </w:rPr>
        <w:t>.</w:t>
      </w:r>
    </w:p>
    <w:p>
      <w:pPr>
        <w:spacing w:line="276" w:lineRule="auto" w:after="120"/>
        <w:jc w:val="both"/>
      </w:pPr>
      <w:r>
        <w:rPr>
          <w:rFonts w:ascii="Times New Roman" w:hAnsi="Times New Roman"/>
          <w:sz w:val="24"/>
        </w:rPr>
        <w:t>This design is compact and easy to audit, and it instantiates the structural property this dissertation is about:</w:t>
      </w:r>
    </w:p>
    <w:p>
      <w:pPr>
        <w:jc w:val="center"/>
      </w:pPr>
      <w:r>
        <w:rPr>
          <w:rFonts w:ascii="Courier New" w:hAnsi="Courier New"/>
          <w:sz w:val="20"/>
        </w:rPr>
        <w:t>reservation node &lt;-&gt; reservation action</w:t>
      </w:r>
    </w:p>
    <w:p>
      <w:pPr>
        <w:spacing w:line="276" w:lineRule="auto" w:after="120"/>
        <w:jc w:val="both"/>
      </w:pPr>
      <w:r>
        <w:rPr>
          <w:rFonts w:ascii="Times New Roman" w:hAnsi="Times New Roman"/>
          <w:sz w:val="24"/>
        </w:rPr>
        <w:t xml:space="preserve">Each reservation node </w:t>
      </w:r>
      <w:r>
        <w:rPr>
          <w:rFonts w:ascii="Times New Roman" w:hAnsi="Times New Roman"/>
          <w:i/>
          <w:sz w:val="24"/>
        </w:rPr>
        <w:t>is</w:t>
      </w:r>
      <w:r>
        <w:rPr>
          <w:rFonts w:ascii="Times New Roman" w:hAnsi="Times New Roman"/>
          <w:sz w:val="24"/>
        </w:rPr>
        <w:t xml:space="preserve"> an action. Occluding it therefore removes a candidate from the action set rather than withholding evidence about it. Peer taxi nodes carry no action, so occluding one is evidence removal in the intended sense. A single occlusion protocol thus performs two categorically different operations depending on which node type it happens to hit, and the proportion of each type in a subset determines what is being measured. This is the mechanism audited in Section 5.2.</w:t>
      </w:r>
    </w:p>
    <w:p>
      <w:pPr>
        <w:pStyle w:val="Heading2"/>
      </w:pPr>
      <w:r>
        <w:rPr>
          <w:rFonts w:ascii="Times New Roman" w:hAnsi="Times New Roman"/>
          <w:sz w:val="24"/>
        </w:rPr>
        <w:t>4.3 Gap-Model Alignment</w:t>
      </w:r>
    </w:p>
    <w:p>
      <w:pPr>
        <w:spacing w:line="276" w:lineRule="auto" w:after="120"/>
        <w:jc w:val="both"/>
      </w:pPr>
      <w:r>
        <w:rPr>
          <w:rFonts w:ascii="Times New Roman" w:hAnsi="Times New Roman"/>
          <w:sz w:val="24"/>
        </w:rPr>
        <w:t>The graph policy represents the dispatch decision as relations between one acting taxi, nearby taxis and passenger requests. This makes node-level attention visible for audit. The observation-layer freeze then changes information freshness without changing SUMO's physical state. Together, these design choices allow the experiment to test the identified gap directly: whether an explanation can continue to look usable after the data supporting it has become stale.</w:t>
      </w:r>
    </w:p>
    <w:p>
      <w:pPr>
        <w:pStyle w:val="Heading1"/>
        <w:pageBreakBefore/>
      </w:pPr>
      <w:r>
        <w:rPr>
          <w:rFonts w:ascii="Times New Roman" w:hAnsi="Times New Roman"/>
          <w:sz w:val="28"/>
        </w:rPr>
        <w:t>Chapter 5: Results and Discussion</w:t>
      </w:r>
    </w:p>
    <w:p>
      <w:pPr>
        <w:pStyle w:val="Heading2"/>
      </w:pPr>
      <w:r>
        <w:rPr>
          <w:rFonts w:ascii="Times New Roman" w:hAnsi="Times New Roman"/>
          <w:sz w:val="24"/>
        </w:rPr>
        <w:t>5.1 Performance Context</w:t>
      </w:r>
    </w:p>
    <w:p>
      <w:pPr>
        <w:spacing w:line="276" w:lineRule="auto" w:after="120"/>
        <w:jc w:val="both"/>
      </w:pPr>
      <w:r>
        <w:rPr>
          <w:rFonts w:ascii="Times New Roman" w:hAnsi="Times New Roman"/>
          <w:sz w:val="24"/>
        </w:rPr>
        <w:t>The learned dispatchers are weak compared with SUMO's greedy matcher. The greedy baseline completes about 32 pickups per episode; the learned policies complete 6-8, with B2 at 6.7 +/- 1.9. The training runs suffer entropy collapse, and two of three H5' seeds reach their best rolling performance at epochs 17-22.</w:t>
      </w:r>
    </w:p>
    <w:p>
      <w:pPr>
        <w:spacing w:line="276" w:lineRule="auto" w:after="120"/>
        <w:jc w:val="both"/>
      </w:pPr>
      <w:r>
        <w:rPr>
          <w:rFonts w:ascii="Times New Roman" w:hAnsi="Times New Roman"/>
          <w:sz w:val="24"/>
        </w:rPr>
        <w:t>This is stated first because it bounds every claim that follows. Nothing here is evidence for a deployable dispatcher. It matters less for the methodological result than it might appear, however, and Section 5.2 establishes why: the metric pathology is demonstrated across seven checkpoints spanning 1.0 to 11.8 pickups per episode, including an untrained one, so it is not a property of weak policies.</w:t>
      </w:r>
    </w:p>
    <w:p>
      <w:pPr>
        <w:pStyle w:val="DMUCaption"/>
        <w:keepNext/>
        <w:jc w:val="center"/>
      </w:pPr>
      <w:r>
        <w:rPr>
          <w:rFonts w:ascii="Times New Roman" w:hAnsi="Times New Roman"/>
          <w:sz w:val="20"/>
        </w:rPr>
        <w:t>Table 5.1: Performance Context</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010"/>
        <w:gridCol w:w="3010"/>
        <w:gridCol w:w="3010"/>
      </w:tblGrid>
      <w:tr>
        <w:trPr>
          <w:cantSplit/>
          <w:tblHeader w:val="true"/>
        </w:trPr>
        <w:tc>
          <w:tcPr>
            <w:tcW w:type="dxa" w:w="3558"/>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Policy</w:t>
            </w:r>
          </w:p>
        </w:tc>
        <w:tc>
          <w:tcPr>
            <w:tcW w:type="dxa" w:w="3067"/>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Role</w:t>
            </w:r>
          </w:p>
        </w:tc>
        <w:tc>
          <w:tcPr>
            <w:tcW w:type="dxa" w:w="2331"/>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Pickups per episode</w:t>
            </w:r>
          </w:p>
        </w:tc>
      </w:tr>
      <w:tr>
        <w:trPr>
          <w:cantSplit/>
        </w:trPr>
        <w:tc>
          <w:tcPr>
            <w:tcW w:type="dxa" w:w="3558"/>
            <w:vAlign w:val="center"/>
            <w:tcMar>
              <w:top w:w="70" w:type="dxa"/>
              <w:start w:w="90" w:type="dxa"/>
              <w:bottom w:w="70" w:type="dxa"/>
              <w:end w:w="90" w:type="dxa"/>
            </w:tcMar>
          </w:tcPr>
          <w:p>
            <w:pPr>
              <w:spacing w:after="0" w:line="240" w:lineRule="auto"/>
              <w:jc w:val="left"/>
            </w:pPr>
            <w:r>
              <w:rPr>
                <w:rFonts w:ascii="Times New Roman" w:hAnsi="Times New Roman"/>
                <w:sz w:val="18"/>
              </w:rPr>
              <w:t>SUMO greedy</w:t>
            </w:r>
          </w:p>
        </w:tc>
        <w:tc>
          <w:tcPr>
            <w:tcW w:type="dxa" w:w="3067"/>
            <w:vAlign w:val="center"/>
            <w:tcMar>
              <w:top w:w="70" w:type="dxa"/>
              <w:start w:w="90" w:type="dxa"/>
              <w:bottom w:w="70" w:type="dxa"/>
              <w:end w:w="90" w:type="dxa"/>
            </w:tcMar>
          </w:tcPr>
          <w:p>
            <w:pPr>
              <w:spacing w:after="0" w:line="240" w:lineRule="auto"/>
              <w:jc w:val="left"/>
            </w:pPr>
            <w:r>
              <w:rPr>
                <w:rFonts w:ascii="Times New Roman" w:hAnsi="Times New Roman"/>
                <w:sz w:val="18"/>
              </w:rPr>
              <w:t>Non-learning reference</w:t>
            </w:r>
          </w:p>
        </w:tc>
        <w:tc>
          <w:tcPr>
            <w:tcW w:type="dxa" w:w="2331"/>
            <w:vAlign w:val="center"/>
            <w:tcMar>
              <w:top w:w="70" w:type="dxa"/>
              <w:start w:w="90" w:type="dxa"/>
              <w:bottom w:w="70" w:type="dxa"/>
              <w:end w:w="90" w:type="dxa"/>
            </w:tcMar>
          </w:tcPr>
          <w:p>
            <w:pPr>
              <w:spacing w:after="0" w:line="240" w:lineRule="auto"/>
              <w:jc w:val="left"/>
            </w:pPr>
            <w:r>
              <w:rPr>
                <w:rFonts w:ascii="Times New Roman" w:hAnsi="Times New Roman"/>
                <w:sz w:val="18"/>
              </w:rPr>
              <w:t>~32</w:t>
            </w:r>
          </w:p>
        </w:tc>
      </w:tr>
      <w:tr>
        <w:trPr>
          <w:cantSplit/>
        </w:trPr>
        <w:tc>
          <w:tcPr>
            <w:tcW w:type="dxa" w:w="3558"/>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B2 GAT-MAPPO</w:t>
            </w:r>
          </w:p>
        </w:tc>
        <w:tc>
          <w:tcPr>
            <w:tcW w:type="dxa" w:w="3067"/>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Main audited policy</w:t>
            </w:r>
          </w:p>
        </w:tc>
        <w:tc>
          <w:tcPr>
            <w:tcW w:type="dxa" w:w="2331"/>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6.7 +/- 1.9</w:t>
            </w:r>
          </w:p>
        </w:tc>
      </w:tr>
      <w:tr>
        <w:trPr>
          <w:cantSplit/>
        </w:trPr>
        <w:tc>
          <w:tcPr>
            <w:tcW w:type="dxa" w:w="3558"/>
            <w:vAlign w:val="center"/>
            <w:tcMar>
              <w:top w:w="70" w:type="dxa"/>
              <w:start w:w="90" w:type="dxa"/>
              <w:bottom w:w="70" w:type="dxa"/>
              <w:end w:w="90" w:type="dxa"/>
            </w:tcMar>
          </w:tcPr>
          <w:p>
            <w:pPr>
              <w:spacing w:after="0" w:line="240" w:lineRule="auto"/>
              <w:jc w:val="left"/>
            </w:pPr>
            <w:r>
              <w:rPr>
                <w:rFonts w:ascii="Times New Roman" w:hAnsi="Times New Roman"/>
                <w:sz w:val="18"/>
              </w:rPr>
              <w:t>Learned-policy range</w:t>
            </w:r>
          </w:p>
        </w:tc>
        <w:tc>
          <w:tcPr>
            <w:tcW w:type="dxa" w:w="3067"/>
            <w:vAlign w:val="center"/>
            <w:tcMar>
              <w:top w:w="70" w:type="dxa"/>
              <w:start w:w="90" w:type="dxa"/>
              <w:bottom w:w="70" w:type="dxa"/>
              <w:end w:w="90" w:type="dxa"/>
            </w:tcMar>
          </w:tcPr>
          <w:p>
            <w:pPr>
              <w:spacing w:after="0" w:line="240" w:lineRule="auto"/>
              <w:jc w:val="left"/>
            </w:pPr>
            <w:r>
              <w:rPr>
                <w:rFonts w:ascii="Times New Roman" w:hAnsi="Times New Roman"/>
                <w:sz w:val="18"/>
              </w:rPr>
              <w:t>B1/B2/B3/H5'</w:t>
            </w:r>
          </w:p>
        </w:tc>
        <w:tc>
          <w:tcPr>
            <w:tcW w:type="dxa" w:w="2331"/>
            <w:vAlign w:val="center"/>
            <w:tcMar>
              <w:top w:w="70" w:type="dxa"/>
              <w:start w:w="90" w:type="dxa"/>
              <w:bottom w:w="70" w:type="dxa"/>
              <w:end w:w="90" w:type="dxa"/>
            </w:tcMar>
          </w:tcPr>
          <w:p>
            <w:pPr>
              <w:spacing w:after="0" w:line="240" w:lineRule="auto"/>
              <w:jc w:val="left"/>
            </w:pPr>
            <w:r>
              <w:rPr>
                <w:rFonts w:ascii="Times New Roman" w:hAnsi="Times New Roman"/>
                <w:sz w:val="18"/>
              </w:rPr>
              <w:t>6-8</w:t>
            </w:r>
          </w:p>
        </w:tc>
      </w:tr>
      <w:tr>
        <w:trPr>
          <w:cantSplit/>
        </w:trPr>
        <w:tc>
          <w:tcPr>
            <w:tcW w:type="dxa" w:w="3558"/>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Capability spectrum (Table 5.3)</w:t>
            </w:r>
          </w:p>
        </w:tc>
        <w:tc>
          <w:tcPr>
            <w:tcW w:type="dxa" w:w="3067"/>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Seven audited checkpoints</w:t>
            </w:r>
          </w:p>
        </w:tc>
        <w:tc>
          <w:tcPr>
            <w:tcW w:type="dxa" w:w="2331"/>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1.0-11.8</w:t>
            </w:r>
          </w:p>
        </w:tc>
      </w:tr>
    </w:tbl>
    <w:p>
      <w:pPr>
        <w:spacing w:after="0"/>
      </w:pPr>
    </w:p>
    <w:p>
      <w:pPr>
        <w:pStyle w:val="Heading2"/>
      </w:pPr>
      <w:r>
        <w:rPr>
          <w:rFonts w:ascii="Times New Roman" w:hAnsi="Times New Roman"/>
          <w:sz w:val="24"/>
        </w:rPr>
        <w:t>5.2 Clean-Telemetry Faithfulness and Metric Validation</w:t>
      </w:r>
    </w:p>
    <w:p>
      <w:pPr>
        <w:pStyle w:val="Heading3"/>
      </w:pPr>
      <w:r>
        <w:rPr>
          <w:rFonts w:ascii="Times New Roman" w:hAnsi="Times New Roman"/>
          <w:sz w:val="24"/>
        </w:rPr>
        <w:t>Why Uniform Occlusion Is Unfair</w:t>
      </w:r>
    </w:p>
    <w:p>
      <w:pPr>
        <w:spacing w:line="276" w:lineRule="auto" w:after="120"/>
        <w:jc w:val="both"/>
      </w:pPr>
      <w:r>
        <w:rPr>
          <w:rFonts w:ascii="Times New Roman" w:hAnsi="Times New Roman"/>
          <w:sz w:val="24"/>
        </w:rPr>
        <w:t>With the standard uniform random baseline, B2's clean margin-DEF is -0.541 [-0.556, -0.527]. Taken alone, this suggests that attention is much worse than random node selection.</w:t>
      </w:r>
    </w:p>
    <w:p>
      <w:pPr>
        <w:spacing w:line="276" w:lineRule="auto" w:after="120"/>
        <w:jc w:val="both"/>
      </w:pPr>
      <w:r>
        <w:rPr>
          <w:rFonts w:ascii="Times New Roman" w:hAnsi="Times New Roman"/>
          <w:sz w:val="24"/>
        </w:rPr>
        <w:t>The clamp rate shows why this reading is wrong. It measures how often occlusion deletes the chosen action and forces the decision margin to its limit. Random sets clamp in 14.8 % of decisions, compared with 2.2 % for attention top-k sets. The random control removes request actions much more often than the attention explanation. The two sides are therefore not comparable.</w:t>
      </w:r>
    </w:p>
    <w:p>
      <w:pPr>
        <w:spacing w:line="276" w:lineRule="auto" w:after="120"/>
        <w:jc w:val="both"/>
      </w:pPr>
      <w:r>
        <w:rPr>
          <w:rFonts w:ascii="Times New Roman" w:hAnsi="Times New Roman"/>
          <w:sz w:val="24"/>
        </w:rPr>
        <w:t xml:space="preserve">Matching the random set to the same mix of taxi and request nodes removes almost all of the effect. Across 1,199 paired decisions, margin-DEF changes from -0.554 to </w:t>
      </w:r>
      <w:r>
        <w:rPr>
          <w:rFonts w:ascii="Times New Roman" w:hAnsi="Times New Roman"/>
          <w:b/>
          <w:sz w:val="24"/>
        </w:rPr>
        <w:t>-0.009 [-0.016, -0.001]</w:t>
      </w:r>
      <w:r>
        <w:rPr>
          <w:rFonts w:ascii="Times New Roman" w:hAnsi="Times New Roman"/>
          <w:sz w:val="24"/>
        </w:rPr>
        <w:t xml:space="preserve">. The unfair baseline accounts for </w:t>
      </w:r>
      <w:r>
        <w:rPr>
          <w:rFonts w:ascii="Times New Roman" w:hAnsi="Times New Roman"/>
          <w:b/>
          <w:sz w:val="24"/>
        </w:rPr>
        <w:t>98.3 % of the original deficit.</w:t>
      </w:r>
    </w:p>
    <w:p>
      <w:pPr>
        <w:spacing w:line="276" w:lineRule="auto" w:after="120"/>
        <w:jc w:val="both"/>
      </w:pPr>
      <w:r>
        <w:rPr>
          <w:rFonts w:ascii="Times New Roman" w:hAnsi="Times New Roman"/>
          <w:sz w:val="24"/>
        </w:rPr>
        <w:t>Two independent controls agree with the corrected value:</w:t>
      </w:r>
    </w:p>
    <w:p>
      <w:pPr>
        <w:spacing w:after="80"/>
        <w:ind w:left="403" w:hanging="317"/>
        <w:jc w:val="both"/>
      </w:pPr>
      <w:r>
        <w:rPr>
          <w:rFonts w:ascii="Times New Roman" w:hAnsi="Times New Roman"/>
          <w:b w:val="0"/>
          <w:sz w:val="24"/>
        </w:rPr>
        <w:t xml:space="preserve">• </w:t>
      </w:r>
      <w:r>
        <w:rPr>
          <w:rFonts w:ascii="Times New Roman" w:hAnsi="Times New Roman"/>
          <w:b/>
          <w:sz w:val="24"/>
        </w:rPr>
        <w:t>Clamp-free subset.</w:t>
      </w:r>
      <w:r>
        <w:rPr>
          <w:rFonts w:ascii="Times New Roman" w:hAnsi="Times New Roman"/>
          <w:sz w:val="24"/>
        </w:rPr>
        <w:t xml:space="preserve"> When neither side deletes the chosen action, margin-DEF is </w:t>
      </w:r>
      <w:r>
        <w:rPr>
          <w:rFonts w:ascii="Times New Roman" w:hAnsi="Times New Roman"/>
          <w:b/>
          <w:sz w:val="24"/>
        </w:rPr>
        <w:t>+0.000 [-0.003, +0.003]</w:t>
      </w:r>
      <w:r>
        <w:rPr>
          <w:rFonts w:ascii="Times New Roman" w:hAnsi="Times New Roman"/>
          <w:sz w:val="24"/>
        </w:rPr>
        <w:t xml:space="preserve"> (n = 90). This subset is small and contains easier decisions, so it supports but does not replace the type-matched result.</w:t>
      </w:r>
    </w:p>
    <w:p>
      <w:pPr>
        <w:spacing w:after="80"/>
        <w:ind w:left="403" w:hanging="317"/>
        <w:jc w:val="both"/>
      </w:pPr>
      <w:r>
        <w:rPr>
          <w:rFonts w:ascii="Times New Roman" w:hAnsi="Times New Roman"/>
          <w:b w:val="0"/>
          <w:sz w:val="24"/>
        </w:rPr>
        <w:t xml:space="preserve">• </w:t>
      </w:r>
      <w:r>
        <w:rPr>
          <w:rFonts w:ascii="Times New Roman" w:hAnsi="Times New Roman"/>
          <w:b/>
          <w:sz w:val="24"/>
        </w:rPr>
        <w:t>Chosen-action exclusion variant.</w:t>
      </w:r>
      <w:r>
        <w:rPr>
          <w:rFonts w:ascii="Times New Roman" w:hAnsi="Times New Roman"/>
          <w:sz w:val="24"/>
        </w:rPr>
        <w:t xml:space="preserve"> Protecting the chosen request node on both sides changes an apparent +0.586 to -0.024 [-0.025, -0.023]. This test applies to only 136 of 17,444 decisions, so it is supporting evidence.</w:t>
      </w:r>
    </w:p>
    <w:p>
      <w:pPr>
        <w:spacing w:line="276" w:lineRule="auto" w:after="120"/>
        <w:jc w:val="both"/>
      </w:pPr>
      <w:r>
        <w:rPr>
          <w:rFonts w:ascii="Times New Roman" w:hAnsi="Times New Roman"/>
          <w:sz w:val="24"/>
        </w:rPr>
        <w:t xml:space="preserve">The corrected conclusion is simple: attention is </w:t>
      </w:r>
      <w:r>
        <w:rPr>
          <w:rFonts w:ascii="Times New Roman" w:hAnsi="Times New Roman"/>
          <w:b/>
          <w:sz w:val="24"/>
        </w:rPr>
        <w:t>approximately uninformative</w:t>
      </w:r>
      <w:r>
        <w:rPr>
          <w:rFonts w:ascii="Times New Roman" w:hAnsi="Times New Roman"/>
          <w:sz w:val="24"/>
        </w:rPr>
        <w:t>. It performs close to a random explanation that selects the same kinds of nodes. The original score mainly measured the link between request nodes and dispatch actions.</w:t>
      </w:r>
    </w:p>
    <w:p>
      <w:pPr>
        <w:keepNext/>
        <w:spacing w:before="120" w:after="40"/>
        <w:jc w:val="center"/>
      </w:pPr>
      <w:r>
        <w:drawing>
          <wp:inline xmlns:a="http://schemas.openxmlformats.org/drawingml/2006/main" xmlns:pic="http://schemas.openxmlformats.org/drawingml/2006/picture">
            <wp:extent cx="5623560" cy="2325302"/>
            <wp:docPr id="7" name="Picture 7"/>
            <wp:cNvGraphicFramePr>
              <a:graphicFrameLocks noChangeAspect="1"/>
            </wp:cNvGraphicFramePr>
            <a:graphic>
              <a:graphicData uri="http://schemas.openxmlformats.org/drawingml/2006/picture">
                <pic:pic>
                  <pic:nvPicPr>
                    <pic:cNvPr id="0" name="story_act1_clean_def.png"/>
                    <pic:cNvPicPr/>
                  </pic:nvPicPr>
                  <pic:blipFill>
                    <a:blip r:embed="rId25"/>
                    <a:stretch>
                      <a:fillRect/>
                    </a:stretch>
                  </pic:blipFill>
                  <pic:spPr>
                    <a:xfrm>
                      <a:off x="0" y="0"/>
                      <a:ext cx="5623560" cy="2325302"/>
                    </a:xfrm>
                    <a:prstGeom prst="rect"/>
                  </pic:spPr>
                </pic:pic>
              </a:graphicData>
            </a:graphic>
          </wp:inline>
        </w:drawing>
      </w:r>
    </w:p>
    <w:p>
      <w:pPr>
        <w:pStyle w:val="DMUCaption"/>
        <w:keepLines/>
      </w:pPr>
      <w:r>
        <w:rPr>
          <w:rFonts w:ascii="Times New Roman" w:hAnsi="Times New Roman"/>
          <w:sz w:val="20"/>
        </w:rPr>
        <w:t>Figure 5.1: Clean-data faithfulness audit. The apparent worse-than-random</w:t>
      </w:r>
    </w:p>
    <w:p>
      <w:pPr>
        <w:spacing w:line="276" w:lineRule="auto" w:after="120"/>
        <w:jc w:val="both"/>
      </w:pPr>
      <w:r>
        <w:rPr>
          <w:rFonts w:ascii="Times New Roman" w:hAnsi="Times New Roman"/>
          <w:sz w:val="24"/>
        </w:rPr>
        <w:t>result collapses to near zero when the random baseline is matched to the node types selected by attention.</w:t>
      </w:r>
    </w:p>
    <w:p>
      <w:pPr>
        <w:pStyle w:val="DMUCaption"/>
        <w:keepNext/>
        <w:jc w:val="center"/>
      </w:pPr>
      <w:r>
        <w:rPr>
          <w:rFonts w:ascii="Times New Roman" w:hAnsi="Times New Roman"/>
          <w:sz w:val="20"/>
        </w:rPr>
        <w:t>Table 5.2: Construct-Validity Audit</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257"/>
        <w:gridCol w:w="2257"/>
        <w:gridCol w:w="2257"/>
        <w:gridCol w:w="2257"/>
      </w:tblGrid>
      <w:tr>
        <w:trPr>
          <w:cantSplit/>
          <w:tblHeader w:val="true"/>
        </w:trPr>
        <w:tc>
          <w:tcPr>
            <w:tcW w:type="dxa" w:w="2389"/>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Quantity</w:t>
            </w:r>
          </w:p>
        </w:tc>
        <w:tc>
          <w:tcPr>
            <w:tcW w:type="dxa" w:w="1926"/>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Value</w:t>
            </w:r>
          </w:p>
        </w:tc>
        <w:tc>
          <w:tcPr>
            <w:tcW w:type="dxa" w:w="866"/>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n</w:t>
            </w:r>
          </w:p>
        </w:tc>
        <w:tc>
          <w:tcPr>
            <w:tcW w:type="dxa" w:w="3776"/>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Interpretation</w:t>
            </w:r>
          </w:p>
        </w:tc>
      </w:tr>
      <w:tr>
        <w:trPr>
          <w:cantSplit/>
        </w:trPr>
        <w:tc>
          <w:tcPr>
            <w:tcW w:type="dxa" w:w="2389"/>
            <w:vAlign w:val="center"/>
            <w:tcMar>
              <w:top w:w="70" w:type="dxa"/>
              <w:start w:w="90" w:type="dxa"/>
              <w:bottom w:w="70" w:type="dxa"/>
              <w:end w:w="90" w:type="dxa"/>
            </w:tcMar>
          </w:tcPr>
          <w:p>
            <w:pPr>
              <w:spacing w:after="0" w:line="240" w:lineRule="auto"/>
              <w:jc w:val="left"/>
            </w:pPr>
            <w:r>
              <w:rPr>
                <w:rFonts w:ascii="Times New Roman" w:hAnsi="Times New Roman"/>
                <w:sz w:val="18"/>
              </w:rPr>
              <w:t>Uniform clean margin-DEF</w:t>
            </w:r>
          </w:p>
        </w:tc>
        <w:tc>
          <w:tcPr>
            <w:tcW w:type="dxa" w:w="1926"/>
            <w:vAlign w:val="center"/>
            <w:tcMar>
              <w:top w:w="70" w:type="dxa"/>
              <w:start w:w="90" w:type="dxa"/>
              <w:bottom w:w="70" w:type="dxa"/>
              <w:end w:w="90" w:type="dxa"/>
            </w:tcMar>
          </w:tcPr>
          <w:p>
            <w:pPr>
              <w:spacing w:after="0" w:line="240" w:lineRule="auto"/>
              <w:jc w:val="left"/>
            </w:pPr>
            <w:r>
              <w:rPr>
                <w:rFonts w:ascii="Times New Roman" w:hAnsi="Times New Roman"/>
                <w:sz w:val="18"/>
              </w:rPr>
              <w:t>-0.541 [-0.556, -0.527]</w:t>
            </w:r>
          </w:p>
        </w:tc>
        <w:tc>
          <w:tcPr>
            <w:tcW w:type="dxa" w:w="866"/>
            <w:vAlign w:val="center"/>
            <w:tcMar>
              <w:top w:w="70" w:type="dxa"/>
              <w:start w:w="90" w:type="dxa"/>
              <w:bottom w:w="70" w:type="dxa"/>
              <w:end w:w="90" w:type="dxa"/>
            </w:tcMar>
          </w:tcPr>
          <w:p>
            <w:pPr>
              <w:spacing w:after="0" w:line="240" w:lineRule="auto"/>
              <w:jc w:val="left"/>
            </w:pPr>
            <w:r>
              <w:rPr>
                <w:rFonts w:ascii="Times New Roman" w:hAnsi="Times New Roman"/>
                <w:sz w:val="18"/>
              </w:rPr>
              <w:t>3,565</w:t>
            </w:r>
          </w:p>
        </w:tc>
        <w:tc>
          <w:tcPr>
            <w:tcW w:type="dxa" w:w="3776"/>
            <w:vAlign w:val="center"/>
            <w:tcMar>
              <w:top w:w="70" w:type="dxa"/>
              <w:start w:w="90" w:type="dxa"/>
              <w:bottom w:w="70" w:type="dxa"/>
              <w:end w:w="90" w:type="dxa"/>
            </w:tcMar>
          </w:tcPr>
          <w:p>
            <w:pPr>
              <w:spacing w:after="0" w:line="240" w:lineRule="auto"/>
              <w:jc w:val="left"/>
            </w:pPr>
            <w:r>
              <w:rPr>
                <w:rFonts w:ascii="Times New Roman" w:hAnsi="Times New Roman"/>
                <w:sz w:val="18"/>
              </w:rPr>
              <w:t>Apparent worse-than-random result</w:t>
            </w:r>
          </w:p>
        </w:tc>
      </w:tr>
      <w:tr>
        <w:trPr>
          <w:cantSplit/>
        </w:trPr>
        <w:tc>
          <w:tcPr>
            <w:tcW w:type="dxa" w:w="2389"/>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Paired uniform baseline</w:t>
            </w:r>
          </w:p>
        </w:tc>
        <w:tc>
          <w:tcPr>
            <w:tcW w:type="dxa" w:w="192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-0.554 [-0.581, -0.529]</w:t>
            </w:r>
          </w:p>
        </w:tc>
        <w:tc>
          <w:tcPr>
            <w:tcW w:type="dxa" w:w="86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1,199</w:t>
            </w:r>
          </w:p>
        </w:tc>
        <w:tc>
          <w:tcPr>
            <w:tcW w:type="dxa" w:w="377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Same decisions, before correction</w:t>
            </w:r>
          </w:p>
        </w:tc>
      </w:tr>
      <w:tr>
        <w:trPr>
          <w:cantSplit/>
        </w:trPr>
        <w:tc>
          <w:tcPr>
            <w:tcW w:type="dxa" w:w="2389"/>
            <w:vAlign w:val="center"/>
            <w:tcMar>
              <w:top w:w="70" w:type="dxa"/>
              <w:start w:w="90" w:type="dxa"/>
              <w:bottom w:w="70" w:type="dxa"/>
              <w:end w:w="90" w:type="dxa"/>
            </w:tcMar>
          </w:tcPr>
          <w:p>
            <w:pPr>
              <w:spacing w:after="0" w:line="240" w:lineRule="auto"/>
              <w:jc w:val="left"/>
            </w:pPr>
            <w:r>
              <w:rPr>
                <w:rFonts w:ascii="Times New Roman" w:hAnsi="Times New Roman"/>
                <w:b/>
                <w:sz w:val="18"/>
              </w:rPr>
              <w:t>Type-matched baseline</w:t>
            </w:r>
          </w:p>
        </w:tc>
        <w:tc>
          <w:tcPr>
            <w:tcW w:type="dxa" w:w="1926"/>
            <w:vAlign w:val="center"/>
            <w:tcMar>
              <w:top w:w="70" w:type="dxa"/>
              <w:start w:w="90" w:type="dxa"/>
              <w:bottom w:w="70" w:type="dxa"/>
              <w:end w:w="90" w:type="dxa"/>
            </w:tcMar>
          </w:tcPr>
          <w:p>
            <w:pPr>
              <w:spacing w:after="0" w:line="240" w:lineRule="auto"/>
              <w:jc w:val="left"/>
            </w:pPr>
            <w:r>
              <w:rPr>
                <w:rFonts w:ascii="Times New Roman" w:hAnsi="Times New Roman"/>
                <w:b/>
                <w:sz w:val="18"/>
              </w:rPr>
              <w:t>-0.009 [-0.016, -0.001]</w:t>
            </w:r>
          </w:p>
        </w:tc>
        <w:tc>
          <w:tcPr>
            <w:tcW w:type="dxa" w:w="866"/>
            <w:vAlign w:val="center"/>
            <w:tcMar>
              <w:top w:w="70" w:type="dxa"/>
              <w:start w:w="90" w:type="dxa"/>
              <w:bottom w:w="70" w:type="dxa"/>
              <w:end w:w="90" w:type="dxa"/>
            </w:tcMar>
          </w:tcPr>
          <w:p>
            <w:pPr>
              <w:spacing w:after="0" w:line="240" w:lineRule="auto"/>
              <w:jc w:val="left"/>
            </w:pPr>
            <w:r>
              <w:rPr>
                <w:rFonts w:ascii="Times New Roman" w:hAnsi="Times New Roman"/>
                <w:sz w:val="18"/>
              </w:rPr>
              <w:t>1,199</w:t>
            </w:r>
          </w:p>
        </w:tc>
        <w:tc>
          <w:tcPr>
            <w:tcW w:type="dxa" w:w="3776"/>
            <w:vAlign w:val="center"/>
            <w:tcMar>
              <w:top w:w="70" w:type="dxa"/>
              <w:start w:w="90" w:type="dxa"/>
              <w:bottom w:w="70" w:type="dxa"/>
              <w:end w:w="90" w:type="dxa"/>
            </w:tcMar>
          </w:tcPr>
          <w:p>
            <w:pPr>
              <w:spacing w:after="0" w:line="240" w:lineRule="auto"/>
              <w:jc w:val="left"/>
            </w:pPr>
            <w:r>
              <w:rPr>
                <w:rFonts w:ascii="Times New Roman" w:hAnsi="Times New Roman"/>
                <w:sz w:val="18"/>
              </w:rPr>
              <w:t>Corrected: uninformative, not adversarial</w:t>
            </w:r>
          </w:p>
        </w:tc>
      </w:tr>
      <w:tr>
        <w:trPr>
          <w:cantSplit/>
        </w:trPr>
        <w:tc>
          <w:tcPr>
            <w:tcW w:type="dxa" w:w="2389"/>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Artifact share</w:t>
            </w:r>
          </w:p>
        </w:tc>
        <w:tc>
          <w:tcPr>
            <w:tcW w:type="dxa" w:w="192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98.3 %</w:t>
            </w:r>
          </w:p>
        </w:tc>
        <w:tc>
          <w:tcPr>
            <w:tcW w:type="dxa" w:w="86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w:t>
            </w:r>
          </w:p>
        </w:tc>
        <w:tc>
          <w:tcPr>
            <w:tcW w:type="dxa" w:w="377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Fraction of the deficit that is protocol</w:t>
            </w:r>
          </w:p>
        </w:tc>
      </w:tr>
      <w:tr>
        <w:trPr>
          <w:cantSplit/>
        </w:trPr>
        <w:tc>
          <w:tcPr>
            <w:tcW w:type="dxa" w:w="2389"/>
            <w:vAlign w:val="center"/>
            <w:tcMar>
              <w:top w:w="70" w:type="dxa"/>
              <w:start w:w="90" w:type="dxa"/>
              <w:bottom w:w="70" w:type="dxa"/>
              <w:end w:w="90" w:type="dxa"/>
            </w:tcMar>
          </w:tcPr>
          <w:p>
            <w:pPr>
              <w:spacing w:after="0" w:line="240" w:lineRule="auto"/>
              <w:jc w:val="left"/>
            </w:pPr>
            <w:r>
              <w:rPr>
                <w:rFonts w:ascii="Times New Roman" w:hAnsi="Times New Roman"/>
                <w:sz w:val="18"/>
              </w:rPr>
              <w:t>Clamp-free subset</w:t>
            </w:r>
          </w:p>
        </w:tc>
        <w:tc>
          <w:tcPr>
            <w:tcW w:type="dxa" w:w="1926"/>
            <w:vAlign w:val="center"/>
            <w:tcMar>
              <w:top w:w="70" w:type="dxa"/>
              <w:start w:w="90" w:type="dxa"/>
              <w:bottom w:w="70" w:type="dxa"/>
              <w:end w:w="90" w:type="dxa"/>
            </w:tcMar>
          </w:tcPr>
          <w:p>
            <w:pPr>
              <w:spacing w:after="0" w:line="240" w:lineRule="auto"/>
              <w:jc w:val="left"/>
            </w:pPr>
            <w:r>
              <w:rPr>
                <w:rFonts w:ascii="Times New Roman" w:hAnsi="Times New Roman"/>
                <w:sz w:val="18"/>
              </w:rPr>
              <w:t>+0.000 [-0.003, +0.003]</w:t>
            </w:r>
          </w:p>
        </w:tc>
        <w:tc>
          <w:tcPr>
            <w:tcW w:type="dxa" w:w="866"/>
            <w:vAlign w:val="center"/>
            <w:tcMar>
              <w:top w:w="70" w:type="dxa"/>
              <w:start w:w="90" w:type="dxa"/>
              <w:bottom w:w="70" w:type="dxa"/>
              <w:end w:w="90" w:type="dxa"/>
            </w:tcMar>
          </w:tcPr>
          <w:p>
            <w:pPr>
              <w:spacing w:after="0" w:line="240" w:lineRule="auto"/>
              <w:jc w:val="left"/>
            </w:pPr>
            <w:r>
              <w:rPr>
                <w:rFonts w:ascii="Times New Roman" w:hAnsi="Times New Roman"/>
                <w:sz w:val="18"/>
              </w:rPr>
              <w:t>90</w:t>
            </w:r>
          </w:p>
        </w:tc>
        <w:tc>
          <w:tcPr>
            <w:tcW w:type="dxa" w:w="3776"/>
            <w:vAlign w:val="center"/>
            <w:tcMar>
              <w:top w:w="70" w:type="dxa"/>
              <w:start w:w="90" w:type="dxa"/>
              <w:bottom w:w="70" w:type="dxa"/>
              <w:end w:w="90" w:type="dxa"/>
            </w:tcMar>
          </w:tcPr>
          <w:p>
            <w:pPr>
              <w:spacing w:after="0" w:line="240" w:lineRule="auto"/>
              <w:jc w:val="left"/>
            </w:pPr>
            <w:r>
              <w:rPr>
                <w:rFonts w:ascii="Times New Roman" w:hAnsi="Times New Roman"/>
                <w:sz w:val="18"/>
              </w:rPr>
              <w:t>Independent control, no modelling assumption</w:t>
            </w:r>
          </w:p>
        </w:tc>
      </w:tr>
      <w:tr>
        <w:trPr>
          <w:cantSplit/>
        </w:trPr>
        <w:tc>
          <w:tcPr>
            <w:tcW w:type="dxa" w:w="2389"/>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Chosen-action exclusion variant</w:t>
            </w:r>
          </w:p>
        </w:tc>
        <w:tc>
          <w:tcPr>
            <w:tcW w:type="dxa" w:w="192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-0.024 [-0.025, -0.023]</w:t>
            </w:r>
          </w:p>
        </w:tc>
        <w:tc>
          <w:tcPr>
            <w:tcW w:type="dxa" w:w="86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136</w:t>
            </w:r>
          </w:p>
        </w:tc>
        <w:tc>
          <w:tcPr>
            <w:tcW w:type="dxa" w:w="377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Apparent +0.586 on the same decisions</w:t>
            </w:r>
          </w:p>
        </w:tc>
      </w:tr>
      <w:tr>
        <w:trPr>
          <w:cantSplit/>
        </w:trPr>
        <w:tc>
          <w:tcPr>
            <w:tcW w:type="dxa" w:w="2389"/>
            <w:vAlign w:val="center"/>
            <w:tcMar>
              <w:top w:w="70" w:type="dxa"/>
              <w:start w:w="90" w:type="dxa"/>
              <w:bottom w:w="70" w:type="dxa"/>
              <w:end w:w="90" w:type="dxa"/>
            </w:tcMar>
          </w:tcPr>
          <w:p>
            <w:pPr>
              <w:spacing w:after="0" w:line="240" w:lineRule="auto"/>
              <w:jc w:val="left"/>
            </w:pPr>
            <w:r>
              <w:rPr>
                <w:rFonts w:ascii="Times New Roman" w:hAnsi="Times New Roman"/>
                <w:sz w:val="18"/>
              </w:rPr>
              <w:t>Clamp rate, random baseline</w:t>
            </w:r>
          </w:p>
        </w:tc>
        <w:tc>
          <w:tcPr>
            <w:tcW w:type="dxa" w:w="1926"/>
            <w:vAlign w:val="center"/>
            <w:tcMar>
              <w:top w:w="70" w:type="dxa"/>
              <w:start w:w="90" w:type="dxa"/>
              <w:bottom w:w="70" w:type="dxa"/>
              <w:end w:w="90" w:type="dxa"/>
            </w:tcMar>
          </w:tcPr>
          <w:p>
            <w:pPr>
              <w:spacing w:after="0" w:line="240" w:lineRule="auto"/>
              <w:jc w:val="left"/>
            </w:pPr>
            <w:r>
              <w:rPr>
                <w:rFonts w:ascii="Times New Roman" w:hAnsi="Times New Roman"/>
                <w:sz w:val="18"/>
              </w:rPr>
              <w:t>14.8 % (16.4 % per level)</w:t>
            </w:r>
          </w:p>
        </w:tc>
        <w:tc>
          <w:tcPr>
            <w:tcW w:type="dxa" w:w="866"/>
            <w:vAlign w:val="center"/>
            <w:tcMar>
              <w:top w:w="70" w:type="dxa"/>
              <w:start w:w="90" w:type="dxa"/>
              <w:bottom w:w="70" w:type="dxa"/>
              <w:end w:w="90" w:type="dxa"/>
            </w:tcMar>
          </w:tcPr>
          <w:p>
            <w:pPr>
              <w:spacing w:after="0" w:line="240" w:lineRule="auto"/>
              <w:jc w:val="left"/>
            </w:pPr>
            <w:r>
              <w:rPr>
                <w:rFonts w:ascii="Times New Roman" w:hAnsi="Times New Roman"/>
                <w:sz w:val="18"/>
              </w:rPr>
              <w:t>17,444</w:t>
            </w:r>
          </w:p>
        </w:tc>
        <w:tc>
          <w:tcPr>
            <w:tcW w:type="dxa" w:w="3776"/>
            <w:vAlign w:val="center"/>
            <w:tcMar>
              <w:top w:w="70" w:type="dxa"/>
              <w:start w:w="90" w:type="dxa"/>
              <w:bottom w:w="70" w:type="dxa"/>
              <w:end w:w="90" w:type="dxa"/>
            </w:tcMar>
          </w:tcPr>
          <w:p>
            <w:pPr>
              <w:spacing w:after="0" w:line="240" w:lineRule="auto"/>
              <w:jc w:val="left"/>
            </w:pPr>
            <w:r>
              <w:rPr>
                <w:rFonts w:ascii="Times New Roman" w:hAnsi="Times New Roman"/>
                <w:sz w:val="18"/>
              </w:rPr>
              <w:t>Random occlusion deletes actions often</w:t>
            </w:r>
          </w:p>
        </w:tc>
      </w:tr>
      <w:tr>
        <w:trPr>
          <w:cantSplit/>
        </w:trPr>
        <w:tc>
          <w:tcPr>
            <w:tcW w:type="dxa" w:w="2389"/>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Clamp rate, attention top-k</w:t>
            </w:r>
          </w:p>
        </w:tc>
        <w:tc>
          <w:tcPr>
            <w:tcW w:type="dxa" w:w="192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2.2 % (4.0 % per level)</w:t>
            </w:r>
          </w:p>
        </w:tc>
        <w:tc>
          <w:tcPr>
            <w:tcW w:type="dxa" w:w="86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17,444</w:t>
            </w:r>
          </w:p>
        </w:tc>
        <w:tc>
          <w:tcPr>
            <w:tcW w:type="dxa" w:w="377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Attention rarely selects the chosen action's node</w:t>
            </w:r>
          </w:p>
        </w:tc>
      </w:tr>
    </w:tbl>
    <w:p>
      <w:pPr>
        <w:spacing w:after="0"/>
      </w:pPr>
    </w:p>
    <w:p>
      <w:pPr>
        <w:pStyle w:val="Heading3"/>
      </w:pPr>
      <w:r>
        <w:rPr>
          <w:rFonts w:ascii="Times New Roman" w:hAnsi="Times New Roman"/>
          <w:sz w:val="24"/>
        </w:rPr>
        <w:t>Stability Across Policy Capability</w:t>
      </w:r>
    </w:p>
    <w:p>
      <w:pPr>
        <w:spacing w:line="276" w:lineRule="auto" w:after="120"/>
        <w:jc w:val="both"/>
      </w:pPr>
      <w:r>
        <w:rPr>
          <w:rFonts w:ascii="Times New Roman" w:hAnsi="Times New Roman"/>
          <w:sz w:val="24"/>
        </w:rPr>
        <w:t>Seven checkpoints were tested to check whether the result depends on one weak policy. They cover 1.0 to 11.8 pickups per episode, two architectures, and three H5' training seeds.</w:t>
      </w:r>
    </w:p>
    <w:p>
      <w:pPr>
        <w:pStyle w:val="DMUCaption"/>
        <w:keepNext/>
        <w:jc w:val="center"/>
      </w:pPr>
      <w:r>
        <w:rPr>
          <w:rFonts w:ascii="Times New Roman" w:hAnsi="Times New Roman"/>
          <w:sz w:val="20"/>
        </w:rPr>
        <w:t>Table 5.3: Capability Spectrum Under Both Baselines (clean test demand)</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290"/>
        <w:gridCol w:w="1290"/>
        <w:gridCol w:w="1290"/>
        <w:gridCol w:w="1290"/>
        <w:gridCol w:w="1290"/>
        <w:gridCol w:w="1290"/>
        <w:gridCol w:w="1290"/>
      </w:tblGrid>
      <w:tr>
        <w:trPr>
          <w:cantSplit/>
          <w:tblHeader w:val="true"/>
        </w:trPr>
        <w:tc>
          <w:tcPr>
            <w:tcW w:type="dxa" w:w="2014"/>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Checkpoint</w:t>
            </w:r>
          </w:p>
        </w:tc>
        <w:tc>
          <w:tcPr>
            <w:tcW w:type="dxa" w:w="797"/>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Epoch</w:t>
            </w:r>
          </w:p>
        </w:tc>
        <w:tc>
          <w:tcPr>
            <w:tcW w:type="dxa" w:w="797"/>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Pickups</w:t>
            </w:r>
          </w:p>
        </w:tc>
        <w:tc>
          <w:tcPr>
            <w:tcW w:type="dxa" w:w="797"/>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Entropy</w:t>
            </w:r>
          </w:p>
        </w:tc>
        <w:tc>
          <w:tcPr>
            <w:tcW w:type="dxa" w:w="797"/>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n</w:t>
            </w:r>
          </w:p>
        </w:tc>
        <w:tc>
          <w:tcPr>
            <w:tcW w:type="dxa" w:w="1648"/>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Uniform margin-DEF</w:t>
            </w:r>
          </w:p>
        </w:tc>
        <w:tc>
          <w:tcPr>
            <w:tcW w:type="dxa" w:w="2105"/>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Type-matched margin-DEF</w:t>
            </w:r>
          </w:p>
        </w:tc>
      </w:tr>
      <w:tr>
        <w:trPr>
          <w:cantSplit/>
        </w:trPr>
        <w:tc>
          <w:tcPr>
            <w:tcW w:type="dxa" w:w="2014"/>
            <w:vAlign w:val="center"/>
            <w:tcMar>
              <w:top w:w="70" w:type="dxa"/>
              <w:start w:w="90" w:type="dxa"/>
              <w:bottom w:w="70" w:type="dxa"/>
              <w:end w:w="90" w:type="dxa"/>
            </w:tcMar>
          </w:tcPr>
          <w:p>
            <w:pPr>
              <w:spacing w:after="0" w:line="240" w:lineRule="auto"/>
              <w:jc w:val="left"/>
            </w:pPr>
            <w:r>
              <w:rPr>
                <w:rFonts w:ascii="Times New Roman" w:hAnsi="Times New Roman"/>
                <w:sz w:val="16"/>
              </w:rPr>
              <w:t>B2 untrained</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0</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1.00</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1.560</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56</w:t>
            </w:r>
          </w:p>
        </w:tc>
        <w:tc>
          <w:tcPr>
            <w:tcW w:type="dxa" w:w="1648"/>
            <w:vAlign w:val="center"/>
            <w:tcMar>
              <w:top w:w="70" w:type="dxa"/>
              <w:start w:w="90" w:type="dxa"/>
              <w:bottom w:w="70" w:type="dxa"/>
              <w:end w:w="90" w:type="dxa"/>
            </w:tcMar>
          </w:tcPr>
          <w:p>
            <w:pPr>
              <w:spacing w:after="0" w:line="240" w:lineRule="auto"/>
              <w:jc w:val="left"/>
            </w:pPr>
            <w:r>
              <w:rPr>
                <w:rFonts w:ascii="Times New Roman" w:hAnsi="Times New Roman"/>
                <w:sz w:val="16"/>
              </w:rPr>
              <w:t>-1.352</w:t>
            </w:r>
          </w:p>
        </w:tc>
        <w:tc>
          <w:tcPr>
            <w:tcW w:type="dxa" w:w="2105"/>
            <w:vAlign w:val="center"/>
            <w:tcMar>
              <w:top w:w="70" w:type="dxa"/>
              <w:start w:w="90" w:type="dxa"/>
              <w:bottom w:w="70" w:type="dxa"/>
              <w:end w:w="90" w:type="dxa"/>
            </w:tcMar>
          </w:tcPr>
          <w:p>
            <w:pPr>
              <w:spacing w:after="0" w:line="240" w:lineRule="auto"/>
              <w:jc w:val="left"/>
            </w:pPr>
            <w:r>
              <w:rPr>
                <w:rFonts w:ascii="Times New Roman" w:hAnsi="Times New Roman"/>
                <w:sz w:val="16"/>
              </w:rPr>
              <w:t>+0.158 [-0.120, +0.509]</w:t>
            </w:r>
          </w:p>
        </w:tc>
      </w:tr>
      <w:tr>
        <w:trPr>
          <w:cantSplit/>
        </w:trPr>
        <w:tc>
          <w:tcPr>
            <w:tcW w:type="dxa" w:w="2014"/>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B2 mid-training</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50</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6.25</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0.040</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678</w:t>
            </w:r>
          </w:p>
        </w:tc>
        <w:tc>
          <w:tcPr>
            <w:tcW w:type="dxa" w:w="1648"/>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-0.468</w:t>
            </w:r>
          </w:p>
        </w:tc>
        <w:tc>
          <w:tcPr>
            <w:tcW w:type="dxa" w:w="2105"/>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+0.001 [-0.007, +0.013]</w:t>
            </w:r>
          </w:p>
        </w:tc>
      </w:tr>
      <w:tr>
        <w:trPr>
          <w:cantSplit/>
        </w:trPr>
        <w:tc>
          <w:tcPr>
            <w:tcW w:type="dxa" w:w="2014"/>
            <w:vAlign w:val="center"/>
            <w:tcMar>
              <w:top w:w="70" w:type="dxa"/>
              <w:start w:w="90" w:type="dxa"/>
              <w:bottom w:w="70" w:type="dxa"/>
              <w:end w:w="90" w:type="dxa"/>
            </w:tcMar>
          </w:tcPr>
          <w:p>
            <w:pPr>
              <w:spacing w:after="0" w:line="240" w:lineRule="auto"/>
              <w:jc w:val="left"/>
            </w:pPr>
            <w:r>
              <w:rPr>
                <w:rFonts w:ascii="Times New Roman" w:hAnsi="Times New Roman"/>
                <w:sz w:val="16"/>
              </w:rPr>
              <w:t>B2 best</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91</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7.50</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0.062</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641</w:t>
            </w:r>
          </w:p>
        </w:tc>
        <w:tc>
          <w:tcPr>
            <w:tcW w:type="dxa" w:w="1648"/>
            <w:vAlign w:val="center"/>
            <w:tcMar>
              <w:top w:w="70" w:type="dxa"/>
              <w:start w:w="90" w:type="dxa"/>
              <w:bottom w:w="70" w:type="dxa"/>
              <w:end w:w="90" w:type="dxa"/>
            </w:tcMar>
          </w:tcPr>
          <w:p>
            <w:pPr>
              <w:spacing w:after="0" w:line="240" w:lineRule="auto"/>
              <w:jc w:val="left"/>
            </w:pPr>
            <w:r>
              <w:rPr>
                <w:rFonts w:ascii="Times New Roman" w:hAnsi="Times New Roman"/>
                <w:sz w:val="16"/>
              </w:rPr>
              <w:t>-0.549</w:t>
            </w:r>
          </w:p>
        </w:tc>
        <w:tc>
          <w:tcPr>
            <w:tcW w:type="dxa" w:w="2105"/>
            <w:vAlign w:val="center"/>
            <w:tcMar>
              <w:top w:w="70" w:type="dxa"/>
              <w:start w:w="90" w:type="dxa"/>
              <w:bottom w:w="70" w:type="dxa"/>
              <w:end w:w="90" w:type="dxa"/>
            </w:tcMar>
          </w:tcPr>
          <w:p>
            <w:pPr>
              <w:spacing w:after="0" w:line="240" w:lineRule="auto"/>
              <w:jc w:val="left"/>
            </w:pPr>
            <w:r>
              <w:rPr>
                <w:rFonts w:ascii="Times New Roman" w:hAnsi="Times New Roman"/>
                <w:sz w:val="16"/>
              </w:rPr>
              <w:t>-0.003 [-0.013, +0.012]</w:t>
            </w:r>
          </w:p>
        </w:tc>
      </w:tr>
      <w:tr>
        <w:trPr>
          <w:cantSplit/>
        </w:trPr>
        <w:tc>
          <w:tcPr>
            <w:tcW w:type="dxa" w:w="2014"/>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B3 best (no AoI input)</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25</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9.25</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0.087</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537</w:t>
            </w:r>
          </w:p>
        </w:tc>
        <w:tc>
          <w:tcPr>
            <w:tcW w:type="dxa" w:w="1648"/>
            <w:vAlign w:val="center"/>
            <w:tcMar>
              <w:top w:w="70" w:type="dxa"/>
              <w:start w:w="90" w:type="dxa"/>
              <w:bottom w:w="70" w:type="dxa"/>
              <w:end w:w="90" w:type="dxa"/>
            </w:tcMar>
            <w:shd w:fill="FAFAFA"/>
          </w:tcPr>
          <w:p>
            <w:pPr>
              <w:spacing w:after="0" w:line="240" w:lineRule="auto"/>
              <w:jc w:val="left"/>
            </w:pPr>
            <w:r>
              <w:rPr>
                <w:rFonts w:ascii="Times New Roman" w:hAnsi="Times New Roman"/>
                <w:b/>
                <w:sz w:val="16"/>
              </w:rPr>
              <w:t>+1.687</w:t>
            </w:r>
          </w:p>
        </w:tc>
        <w:tc>
          <w:tcPr>
            <w:tcW w:type="dxa" w:w="2105"/>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-0.005 [-0.005, -0.004]</w:t>
            </w:r>
          </w:p>
        </w:tc>
      </w:tr>
      <w:tr>
        <w:trPr>
          <w:cantSplit/>
        </w:trPr>
        <w:tc>
          <w:tcPr>
            <w:tcW w:type="dxa" w:w="2014"/>
            <w:vAlign w:val="center"/>
            <w:tcMar>
              <w:top w:w="70" w:type="dxa"/>
              <w:start w:w="90" w:type="dxa"/>
              <w:bottom w:w="70" w:type="dxa"/>
              <w:end w:w="90" w:type="dxa"/>
            </w:tcMar>
          </w:tcPr>
          <w:p>
            <w:pPr>
              <w:spacing w:after="0" w:line="240" w:lineRule="auto"/>
              <w:jc w:val="left"/>
            </w:pPr>
            <w:r>
              <w:rPr>
                <w:rFonts w:ascii="Times New Roman" w:hAnsi="Times New Roman"/>
                <w:sz w:val="16"/>
              </w:rPr>
              <w:t>H5' seed 42 best</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17</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7.25</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0.061</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578</w:t>
            </w:r>
          </w:p>
        </w:tc>
        <w:tc>
          <w:tcPr>
            <w:tcW w:type="dxa" w:w="1648"/>
            <w:vAlign w:val="center"/>
            <w:tcMar>
              <w:top w:w="70" w:type="dxa"/>
              <w:start w:w="90" w:type="dxa"/>
              <w:bottom w:w="70" w:type="dxa"/>
              <w:end w:w="90" w:type="dxa"/>
            </w:tcMar>
          </w:tcPr>
          <w:p>
            <w:pPr>
              <w:spacing w:after="0" w:line="240" w:lineRule="auto"/>
              <w:jc w:val="left"/>
            </w:pPr>
            <w:r>
              <w:rPr>
                <w:rFonts w:ascii="Times New Roman" w:hAnsi="Times New Roman"/>
                <w:sz w:val="16"/>
              </w:rPr>
              <w:t>-0.802</w:t>
            </w:r>
          </w:p>
        </w:tc>
        <w:tc>
          <w:tcPr>
            <w:tcW w:type="dxa" w:w="2105"/>
            <w:vAlign w:val="center"/>
            <w:tcMar>
              <w:top w:w="70" w:type="dxa"/>
              <w:start w:w="90" w:type="dxa"/>
              <w:bottom w:w="70" w:type="dxa"/>
              <w:end w:w="90" w:type="dxa"/>
            </w:tcMar>
          </w:tcPr>
          <w:p>
            <w:pPr>
              <w:spacing w:after="0" w:line="240" w:lineRule="auto"/>
              <w:jc w:val="left"/>
            </w:pPr>
            <w:r>
              <w:rPr>
                <w:rFonts w:ascii="Times New Roman" w:hAnsi="Times New Roman"/>
                <w:sz w:val="16"/>
              </w:rPr>
              <w:t>+0.015 [+0.013, +0.016]</w:t>
            </w:r>
          </w:p>
        </w:tc>
      </w:tr>
      <w:tr>
        <w:trPr>
          <w:cantSplit/>
        </w:trPr>
        <w:tc>
          <w:tcPr>
            <w:tcW w:type="dxa" w:w="2014"/>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H5' seed 43 best</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91</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3.00</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0.035</w:t>
            </w:r>
          </w:p>
        </w:tc>
        <w:tc>
          <w:tcPr>
            <w:tcW w:type="dxa" w:w="797"/>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654</w:t>
            </w:r>
          </w:p>
        </w:tc>
        <w:tc>
          <w:tcPr>
            <w:tcW w:type="dxa" w:w="1648"/>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-0.488</w:t>
            </w:r>
          </w:p>
        </w:tc>
        <w:tc>
          <w:tcPr>
            <w:tcW w:type="dxa" w:w="2105"/>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-0.007 [-0.009, -0.006]</w:t>
            </w:r>
          </w:p>
        </w:tc>
      </w:tr>
      <w:tr>
        <w:trPr>
          <w:cantSplit/>
        </w:trPr>
        <w:tc>
          <w:tcPr>
            <w:tcW w:type="dxa" w:w="2014"/>
            <w:vAlign w:val="center"/>
            <w:tcMar>
              <w:top w:w="70" w:type="dxa"/>
              <w:start w:w="90" w:type="dxa"/>
              <w:bottom w:w="70" w:type="dxa"/>
              <w:end w:w="90" w:type="dxa"/>
            </w:tcMar>
          </w:tcPr>
          <w:p>
            <w:pPr>
              <w:spacing w:after="0" w:line="240" w:lineRule="auto"/>
              <w:jc w:val="left"/>
            </w:pPr>
            <w:r>
              <w:rPr>
                <w:rFonts w:ascii="Times New Roman" w:hAnsi="Times New Roman"/>
                <w:sz w:val="16"/>
              </w:rPr>
              <w:t>H5' seed 44 best</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22</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11.75</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0.103</w:t>
            </w:r>
          </w:p>
        </w:tc>
        <w:tc>
          <w:tcPr>
            <w:tcW w:type="dxa" w:w="797"/>
            <w:vAlign w:val="center"/>
            <w:tcMar>
              <w:top w:w="70" w:type="dxa"/>
              <w:start w:w="90" w:type="dxa"/>
              <w:bottom w:w="70" w:type="dxa"/>
              <w:end w:w="90" w:type="dxa"/>
            </w:tcMar>
          </w:tcPr>
          <w:p>
            <w:pPr>
              <w:spacing w:after="0" w:line="240" w:lineRule="auto"/>
              <w:jc w:val="left"/>
            </w:pPr>
            <w:r>
              <w:rPr>
                <w:rFonts w:ascii="Times New Roman" w:hAnsi="Times New Roman"/>
                <w:sz w:val="16"/>
              </w:rPr>
              <w:t>552</w:t>
            </w:r>
          </w:p>
        </w:tc>
        <w:tc>
          <w:tcPr>
            <w:tcW w:type="dxa" w:w="1648"/>
            <w:vAlign w:val="center"/>
            <w:tcMar>
              <w:top w:w="70" w:type="dxa"/>
              <w:start w:w="90" w:type="dxa"/>
              <w:bottom w:w="70" w:type="dxa"/>
              <w:end w:w="90" w:type="dxa"/>
            </w:tcMar>
          </w:tcPr>
          <w:p>
            <w:pPr>
              <w:spacing w:after="0" w:line="240" w:lineRule="auto"/>
              <w:jc w:val="left"/>
            </w:pPr>
            <w:r>
              <w:rPr>
                <w:rFonts w:ascii="Times New Roman" w:hAnsi="Times New Roman"/>
                <w:b/>
                <w:sz w:val="16"/>
              </w:rPr>
              <w:t>+1.775</w:t>
            </w:r>
          </w:p>
        </w:tc>
        <w:tc>
          <w:tcPr>
            <w:tcW w:type="dxa" w:w="2105"/>
            <w:vAlign w:val="center"/>
            <w:tcMar>
              <w:top w:w="70" w:type="dxa"/>
              <w:start w:w="90" w:type="dxa"/>
              <w:bottom w:w="70" w:type="dxa"/>
              <w:end w:w="90" w:type="dxa"/>
            </w:tcMar>
          </w:tcPr>
          <w:p>
            <w:pPr>
              <w:spacing w:after="0" w:line="240" w:lineRule="auto"/>
              <w:jc w:val="left"/>
            </w:pPr>
            <w:r>
              <w:rPr>
                <w:rFonts w:ascii="Times New Roman" w:hAnsi="Times New Roman"/>
                <w:sz w:val="16"/>
              </w:rPr>
              <w:t>+0.007 [+0.006, +0.007]</w:t>
            </w:r>
          </w:p>
        </w:tc>
      </w:tr>
    </w:tbl>
    <w:p>
      <w:pPr>
        <w:spacing w:after="0"/>
      </w:pPr>
    </w:p>
    <w:p>
      <w:pPr>
        <w:keepNext/>
        <w:spacing w:before="120" w:after="40"/>
        <w:jc w:val="center"/>
      </w:pPr>
      <w:r>
        <w:drawing>
          <wp:inline xmlns:a="http://schemas.openxmlformats.org/drawingml/2006/main" xmlns:pic="http://schemas.openxmlformats.org/drawingml/2006/picture">
            <wp:extent cx="5623560" cy="2154312"/>
            <wp:docPr id="8" name="Picture 8"/>
            <wp:cNvGraphicFramePr>
              <a:graphicFrameLocks noChangeAspect="1"/>
            </wp:cNvGraphicFramePr>
            <a:graphic>
              <a:graphicData uri="http://schemas.openxmlformats.org/drawingml/2006/picture">
                <pic:pic>
                  <pic:nvPicPr>
                    <pic:cNvPr id="0" name="fig7_capability_spectrum.png"/>
                    <pic:cNvPicPr/>
                  </pic:nvPicPr>
                  <pic:blipFill>
                    <a:blip r:embed="rId26"/>
                    <a:stretch>
                      <a:fillRect/>
                    </a:stretch>
                  </pic:blipFill>
                  <pic:spPr>
                    <a:xfrm>
                      <a:off x="0" y="0"/>
                      <a:ext cx="5623560" cy="2154312"/>
                    </a:xfrm>
                    <a:prstGeom prst="rect"/>
                  </pic:spPr>
                </pic:pic>
              </a:graphicData>
            </a:graphic>
          </wp:inline>
        </w:drawing>
      </w:r>
    </w:p>
    <w:p>
      <w:pPr>
        <w:pStyle w:val="DMUCaption"/>
        <w:keepLines/>
      </w:pPr>
      <w:r>
        <w:rPr>
          <w:rFonts w:ascii="Times New Roman" w:hAnsi="Times New Roman"/>
          <w:sz w:val="20"/>
        </w:rPr>
        <w:t>Figure 5.2: Capability spectrum under both occlusion baselines. The uniform</w:t>
      </w:r>
    </w:p>
    <w:p>
      <w:pPr>
        <w:spacing w:line="276" w:lineRule="auto" w:after="120"/>
        <w:jc w:val="both"/>
      </w:pPr>
      <w:r>
        <w:rPr>
          <w:rFonts w:ascii="Times New Roman" w:hAnsi="Times New Roman"/>
          <w:sz w:val="24"/>
        </w:rPr>
        <w:t>score changes from strongly negative to strongly positive as checkpoint performance changes. After node types are matched, every trained checkpoint stays close to zero.</w:t>
      </w:r>
    </w:p>
    <w:p>
      <w:pPr>
        <w:spacing w:line="276" w:lineRule="auto" w:after="120"/>
        <w:jc w:val="both"/>
      </w:pPr>
      <w:r>
        <w:rPr>
          <w:rFonts w:ascii="Times New Roman" w:hAnsi="Times New Roman"/>
          <w:sz w:val="24"/>
        </w:rPr>
        <w:t>Under the uniform baseline the score ranges from -1.352 to +1.775 — from "far worse than random" to "far better than random". Under the type-matched baseline the six trained checkpoints span -0.007 to +0.015, all within 0.015 of zero despite a fourfold spread in task performance. The untrained checkpoint reads +0.158, but on only 56 scored decisions with a confidence interval spanning zero, so it is uninformative rather than anomalous.</w:t>
      </w:r>
    </w:p>
    <w:p>
      <w:pPr>
        <w:spacing w:line="276" w:lineRule="auto" w:after="120"/>
        <w:jc w:val="both"/>
      </w:pPr>
      <w:r>
        <w:rPr>
          <w:rFonts w:ascii="Times New Roman" w:hAnsi="Times New Roman"/>
          <w:sz w:val="24"/>
        </w:rPr>
        <w:t>The uniform baseline gives opposite conclusions for channels that all score near zero after correction. B3 and H5' seed 44 even appear strongly positive under the uniform protocol and also have the highest pickup counts. This could lead a reader to conclude that better dispatchers have more faithful attention. The type-matched result shows that this conclusion is false.</w:t>
      </w:r>
    </w:p>
    <w:p>
      <w:pPr>
        <w:spacing w:line="276" w:lineRule="auto" w:after="120"/>
        <w:jc w:val="both"/>
      </w:pPr>
      <w:r>
        <w:rPr>
          <w:rFonts w:ascii="Times New Roman" w:hAnsi="Times New Roman"/>
          <w:sz w:val="24"/>
        </w:rPr>
        <w:t>This capability check strengthens the correction used to answer RQ1. It shows that the artifact is not limited to one weak checkpoint, architecture or training seed. It also shows why the uniform score cannot be repaired by a different threshold or sign convention: it gives sharply different verdicts for channels that all sit near zero under the fair comparison.</w:t>
      </w:r>
    </w:p>
    <w:p>
      <w:pPr>
        <w:pStyle w:val="Heading2"/>
      </w:pPr>
      <w:r>
        <w:rPr>
          <w:rFonts w:ascii="Times New Roman" w:hAnsi="Times New Roman"/>
          <w:sz w:val="24"/>
        </w:rPr>
        <w:t>5.3 Stale Telemetry and Explanation Content</w:t>
      </w:r>
    </w:p>
    <w:p>
      <w:pPr>
        <w:spacing w:line="276" w:lineRule="auto" w:after="120"/>
        <w:jc w:val="both"/>
      </w:pPr>
      <w:r>
        <w:rPr>
          <w:rFonts w:ascii="Times New Roman" w:hAnsi="Times New Roman"/>
          <w:sz w:val="24"/>
        </w:rPr>
        <w:t>Before reporting the degradation hypotheses, the manipulation must be checked, because the check changes what can be concluded.</w:t>
      </w:r>
    </w:p>
    <w:p>
      <w:pPr>
        <w:spacing w:line="276" w:lineRule="auto" w:after="120"/>
        <w:jc w:val="both"/>
      </w:pPr>
      <w:r>
        <w:rPr>
          <w:rFonts w:ascii="Times New Roman" w:hAnsi="Times New Roman"/>
          <w:b/>
          <w:sz w:val="24"/>
        </w:rPr>
        <w:t>The severity ladder did not vary realised staleness.</w:t>
      </w:r>
      <w:r>
        <w:rPr>
          <w:rFonts w:ascii="Times New Roman" w:hAnsi="Times New Roman"/>
          <w:sz w:val="24"/>
        </w:rPr>
        <w:t xml:space="preserve"> AoI reaches both the policy and WAMSN only through </w:t>
      </w:r>
      <w:r>
        <w:rPr>
          <w:rFonts w:ascii="Courier New" w:hAnsi="Courier New"/>
          <w:sz w:val="22"/>
        </w:rPr>
        <w:t>clip(AoI / 60 s, 0, 1)</w:t>
      </w:r>
      <w:r>
        <w:rPr>
          <w:rFonts w:ascii="Times New Roman" w:hAnsi="Times New Roman"/>
          <w:sz w:val="24"/>
        </w:rPr>
        <w:t>, so staleness past 60 s is not representable. Independently, a taxi still inside a tunnel when its outage expires re-triggers immediately, so transit time places a floor under realised AoI. The two effects combine:</w:t>
      </w:r>
    </w:p>
    <w:p>
      <w:pPr>
        <w:pStyle w:val="DMUCaption"/>
        <w:keepNext/>
        <w:jc w:val="center"/>
      </w:pPr>
      <w:r>
        <w:rPr>
          <w:rFonts w:ascii="Times New Roman" w:hAnsi="Times New Roman"/>
          <w:sz w:val="20"/>
        </w:rPr>
        <w:t>Table 5.4: Manipulation Check: Realised AoI by Nominal Level</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806"/>
        <w:gridCol w:w="1806"/>
        <w:gridCol w:w="1806"/>
        <w:gridCol w:w="1806"/>
        <w:gridCol w:w="1806"/>
      </w:tblGrid>
      <w:tr>
        <w:trPr>
          <w:cantSplit/>
          <w:tblHeader w:val="true"/>
        </w:trPr>
        <w:tc>
          <w:tcPr>
            <w:tcW w:type="dxa" w:w="1878"/>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Nominal level</w:t>
            </w:r>
          </w:p>
        </w:tc>
        <w:tc>
          <w:tcPr>
            <w:tcW w:type="dxa" w:w="1734"/>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Realised p50</w:t>
            </w:r>
          </w:p>
        </w:tc>
        <w:tc>
          <w:tcPr>
            <w:tcW w:type="dxa" w:w="1734"/>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Realised p90</w:t>
            </w:r>
          </w:p>
        </w:tc>
        <w:tc>
          <w:tcPr>
            <w:tcW w:type="dxa" w:w="2311"/>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At censoring cap</w:t>
            </w:r>
          </w:p>
        </w:tc>
        <w:tc>
          <w:tcPr>
            <w:tcW w:type="dxa" w:w="1300"/>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n exposed</w:t>
            </w:r>
          </w:p>
        </w:tc>
      </w:tr>
      <w:tr>
        <w:trPr>
          <w:cantSplit/>
        </w:trPr>
        <w:tc>
          <w:tcPr>
            <w:tcW w:type="dxa" w:w="1878"/>
            <w:vAlign w:val="center"/>
            <w:tcMar>
              <w:top w:w="70" w:type="dxa"/>
              <w:start w:w="90" w:type="dxa"/>
              <w:bottom w:w="70" w:type="dxa"/>
              <w:end w:w="90" w:type="dxa"/>
            </w:tcMar>
          </w:tcPr>
          <w:p>
            <w:pPr>
              <w:spacing w:after="0" w:line="240" w:lineRule="auto"/>
              <w:jc w:val="left"/>
            </w:pPr>
            <w:r>
              <w:rPr>
                <w:rFonts w:ascii="Times New Roman" w:hAnsi="Times New Roman"/>
                <w:sz w:val="18"/>
              </w:rPr>
              <w:t>5 s</w:t>
            </w:r>
          </w:p>
        </w:tc>
        <w:tc>
          <w:tcPr>
            <w:tcW w:type="dxa" w:w="1734"/>
            <w:vAlign w:val="center"/>
            <w:tcMar>
              <w:top w:w="70" w:type="dxa"/>
              <w:start w:w="90" w:type="dxa"/>
              <w:bottom w:w="70" w:type="dxa"/>
              <w:end w:w="90" w:type="dxa"/>
            </w:tcMar>
          </w:tcPr>
          <w:p>
            <w:pPr>
              <w:spacing w:after="0" w:line="240" w:lineRule="auto"/>
              <w:jc w:val="left"/>
            </w:pPr>
            <w:r>
              <w:rPr>
                <w:rFonts w:ascii="Times New Roman" w:hAnsi="Times New Roman"/>
                <w:sz w:val="18"/>
              </w:rPr>
              <w:t>60.0 s</w:t>
            </w:r>
          </w:p>
        </w:tc>
        <w:tc>
          <w:tcPr>
            <w:tcW w:type="dxa" w:w="1734"/>
            <w:vAlign w:val="center"/>
            <w:tcMar>
              <w:top w:w="70" w:type="dxa"/>
              <w:start w:w="90" w:type="dxa"/>
              <w:bottom w:w="70" w:type="dxa"/>
              <w:end w:w="90" w:type="dxa"/>
            </w:tcMar>
          </w:tcPr>
          <w:p>
            <w:pPr>
              <w:spacing w:after="0" w:line="240" w:lineRule="auto"/>
              <w:jc w:val="left"/>
            </w:pPr>
            <w:r>
              <w:rPr>
                <w:rFonts w:ascii="Times New Roman" w:hAnsi="Times New Roman"/>
                <w:sz w:val="18"/>
              </w:rPr>
              <w:t>60.0 s</w:t>
            </w:r>
          </w:p>
        </w:tc>
        <w:tc>
          <w:tcPr>
            <w:tcW w:type="dxa" w:w="2311"/>
            <w:vAlign w:val="center"/>
            <w:tcMar>
              <w:top w:w="70" w:type="dxa"/>
              <w:start w:w="90" w:type="dxa"/>
              <w:bottom w:w="70" w:type="dxa"/>
              <w:end w:w="90" w:type="dxa"/>
            </w:tcMar>
          </w:tcPr>
          <w:p>
            <w:pPr>
              <w:spacing w:after="0" w:line="240" w:lineRule="auto"/>
              <w:jc w:val="left"/>
            </w:pPr>
            <w:r>
              <w:rPr>
                <w:rFonts w:ascii="Times New Roman" w:hAnsi="Times New Roman"/>
                <w:sz w:val="18"/>
              </w:rPr>
              <w:t>78.3 %</w:t>
            </w:r>
          </w:p>
        </w:tc>
        <w:tc>
          <w:tcPr>
            <w:tcW w:type="dxa" w:w="1300"/>
            <w:vAlign w:val="center"/>
            <w:tcMar>
              <w:top w:w="70" w:type="dxa"/>
              <w:start w:w="90" w:type="dxa"/>
              <w:bottom w:w="70" w:type="dxa"/>
              <w:end w:w="90" w:type="dxa"/>
            </w:tcMar>
          </w:tcPr>
          <w:p>
            <w:pPr>
              <w:spacing w:after="0" w:line="240" w:lineRule="auto"/>
              <w:jc w:val="left"/>
            </w:pPr>
            <w:r>
              <w:rPr>
                <w:rFonts w:ascii="Times New Roman" w:hAnsi="Times New Roman"/>
                <w:sz w:val="18"/>
              </w:rPr>
              <w:t>345</w:t>
            </w:r>
          </w:p>
        </w:tc>
      </w:tr>
      <w:tr>
        <w:trPr>
          <w:cantSplit/>
        </w:trPr>
        <w:tc>
          <w:tcPr>
            <w:tcW w:type="dxa" w:w="1878"/>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15 s</w:t>
            </w:r>
          </w:p>
        </w:tc>
        <w:tc>
          <w:tcPr>
            <w:tcW w:type="dxa" w:w="173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60.0 s</w:t>
            </w:r>
          </w:p>
        </w:tc>
        <w:tc>
          <w:tcPr>
            <w:tcW w:type="dxa" w:w="173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60.0 s</w:t>
            </w:r>
          </w:p>
        </w:tc>
        <w:tc>
          <w:tcPr>
            <w:tcW w:type="dxa" w:w="2311"/>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84.9 %</w:t>
            </w:r>
          </w:p>
        </w:tc>
        <w:tc>
          <w:tcPr>
            <w:tcW w:type="dxa" w:w="130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416</w:t>
            </w:r>
          </w:p>
        </w:tc>
      </w:tr>
      <w:tr>
        <w:trPr>
          <w:cantSplit/>
        </w:trPr>
        <w:tc>
          <w:tcPr>
            <w:tcW w:type="dxa" w:w="1878"/>
            <w:vAlign w:val="center"/>
            <w:tcMar>
              <w:top w:w="70" w:type="dxa"/>
              <w:start w:w="90" w:type="dxa"/>
              <w:bottom w:w="70" w:type="dxa"/>
              <w:end w:w="90" w:type="dxa"/>
            </w:tcMar>
          </w:tcPr>
          <w:p>
            <w:pPr>
              <w:spacing w:after="0" w:line="240" w:lineRule="auto"/>
              <w:jc w:val="left"/>
            </w:pPr>
            <w:r>
              <w:rPr>
                <w:rFonts w:ascii="Times New Roman" w:hAnsi="Times New Roman"/>
                <w:sz w:val="18"/>
              </w:rPr>
              <w:t>30 s</w:t>
            </w:r>
          </w:p>
        </w:tc>
        <w:tc>
          <w:tcPr>
            <w:tcW w:type="dxa" w:w="1734"/>
            <w:vAlign w:val="center"/>
            <w:tcMar>
              <w:top w:w="70" w:type="dxa"/>
              <w:start w:w="90" w:type="dxa"/>
              <w:bottom w:w="70" w:type="dxa"/>
              <w:end w:w="90" w:type="dxa"/>
            </w:tcMar>
          </w:tcPr>
          <w:p>
            <w:pPr>
              <w:spacing w:after="0" w:line="240" w:lineRule="auto"/>
              <w:jc w:val="left"/>
            </w:pPr>
            <w:r>
              <w:rPr>
                <w:rFonts w:ascii="Times New Roman" w:hAnsi="Times New Roman"/>
                <w:sz w:val="18"/>
              </w:rPr>
              <w:t>60.0 s</w:t>
            </w:r>
          </w:p>
        </w:tc>
        <w:tc>
          <w:tcPr>
            <w:tcW w:type="dxa" w:w="1734"/>
            <w:vAlign w:val="center"/>
            <w:tcMar>
              <w:top w:w="70" w:type="dxa"/>
              <w:start w:w="90" w:type="dxa"/>
              <w:bottom w:w="70" w:type="dxa"/>
              <w:end w:w="90" w:type="dxa"/>
            </w:tcMar>
          </w:tcPr>
          <w:p>
            <w:pPr>
              <w:spacing w:after="0" w:line="240" w:lineRule="auto"/>
              <w:jc w:val="left"/>
            </w:pPr>
            <w:r>
              <w:rPr>
                <w:rFonts w:ascii="Times New Roman" w:hAnsi="Times New Roman"/>
                <w:sz w:val="18"/>
              </w:rPr>
              <w:t>60.0 s</w:t>
            </w:r>
          </w:p>
        </w:tc>
        <w:tc>
          <w:tcPr>
            <w:tcW w:type="dxa" w:w="2311"/>
            <w:vAlign w:val="center"/>
            <w:tcMar>
              <w:top w:w="70" w:type="dxa"/>
              <w:start w:w="90" w:type="dxa"/>
              <w:bottom w:w="70" w:type="dxa"/>
              <w:end w:w="90" w:type="dxa"/>
            </w:tcMar>
          </w:tcPr>
          <w:p>
            <w:pPr>
              <w:spacing w:after="0" w:line="240" w:lineRule="auto"/>
              <w:jc w:val="left"/>
            </w:pPr>
            <w:r>
              <w:rPr>
                <w:rFonts w:ascii="Times New Roman" w:hAnsi="Times New Roman"/>
                <w:sz w:val="18"/>
              </w:rPr>
              <w:t>81.1 %</w:t>
            </w:r>
          </w:p>
        </w:tc>
        <w:tc>
          <w:tcPr>
            <w:tcW w:type="dxa" w:w="1300"/>
            <w:vAlign w:val="center"/>
            <w:tcMar>
              <w:top w:w="70" w:type="dxa"/>
              <w:start w:w="90" w:type="dxa"/>
              <w:bottom w:w="70" w:type="dxa"/>
              <w:end w:w="90" w:type="dxa"/>
            </w:tcMar>
          </w:tcPr>
          <w:p>
            <w:pPr>
              <w:spacing w:after="0" w:line="240" w:lineRule="auto"/>
              <w:jc w:val="left"/>
            </w:pPr>
            <w:r>
              <w:rPr>
                <w:rFonts w:ascii="Times New Roman" w:hAnsi="Times New Roman"/>
                <w:sz w:val="18"/>
              </w:rPr>
              <w:t>349</w:t>
            </w:r>
          </w:p>
        </w:tc>
      </w:tr>
      <w:tr>
        <w:trPr>
          <w:cantSplit/>
        </w:trPr>
        <w:tc>
          <w:tcPr>
            <w:tcW w:type="dxa" w:w="1878"/>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60 s</w:t>
            </w:r>
          </w:p>
        </w:tc>
        <w:tc>
          <w:tcPr>
            <w:tcW w:type="dxa" w:w="173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60.0 s</w:t>
            </w:r>
          </w:p>
        </w:tc>
        <w:tc>
          <w:tcPr>
            <w:tcW w:type="dxa" w:w="173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60.0 s</w:t>
            </w:r>
          </w:p>
        </w:tc>
        <w:tc>
          <w:tcPr>
            <w:tcW w:type="dxa" w:w="2311"/>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79.4 %</w:t>
            </w:r>
          </w:p>
        </w:tc>
        <w:tc>
          <w:tcPr>
            <w:tcW w:type="dxa" w:w="130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388</w:t>
            </w:r>
          </w:p>
        </w:tc>
      </w:tr>
    </w:tbl>
    <w:p>
      <w:pPr>
        <w:spacing w:after="0"/>
      </w:pPr>
    </w:p>
    <w:p>
      <w:pPr>
        <w:keepNext/>
        <w:spacing w:before="120" w:after="40"/>
        <w:jc w:val="center"/>
      </w:pPr>
      <w:r>
        <w:drawing>
          <wp:inline xmlns:a="http://schemas.openxmlformats.org/drawingml/2006/main" xmlns:pic="http://schemas.openxmlformats.org/drawingml/2006/picture">
            <wp:extent cx="5623560" cy="2076351"/>
            <wp:docPr id="9" name="Picture 9"/>
            <wp:cNvGraphicFramePr>
              <a:graphicFrameLocks noChangeAspect="1"/>
            </wp:cNvGraphicFramePr>
            <a:graphic>
              <a:graphicData uri="http://schemas.openxmlformats.org/drawingml/2006/picture">
                <pic:pic>
                  <pic:nvPicPr>
                    <pic:cNvPr id="0" name="fig8_aoi_manipulation_check.png"/>
                    <pic:cNvPicPr/>
                  </pic:nvPicPr>
                  <pic:blipFill>
                    <a:blip r:embed="rId27"/>
                    <a:stretch>
                      <a:fillRect/>
                    </a:stretch>
                  </pic:blipFill>
                  <pic:spPr>
                    <a:xfrm>
                      <a:off x="0" y="0"/>
                      <a:ext cx="5623560" cy="2076351"/>
                    </a:xfrm>
                    <a:prstGeom prst="rect"/>
                  </pic:spPr>
                </pic:pic>
              </a:graphicData>
            </a:graphic>
          </wp:inline>
        </w:drawing>
      </w:r>
    </w:p>
    <w:p>
      <w:pPr>
        <w:pStyle w:val="DMUCaption"/>
        <w:keepLines/>
      </w:pPr>
      <w:r>
        <w:rPr>
          <w:rFonts w:ascii="Times New Roman" w:hAnsi="Times New Roman"/>
          <w:sz w:val="20"/>
        </w:rPr>
        <w:t>Figure 5.3: Manipulation check for the nominal AoI ladder. The median and</w:t>
      </w:r>
    </w:p>
    <w:p>
      <w:pPr>
        <w:spacing w:line="276" w:lineRule="auto" w:after="120"/>
        <w:jc w:val="both"/>
      </w:pPr>
      <w:r>
        <w:rPr>
          <w:rFonts w:ascii="Times New Roman" w:hAnsi="Times New Roman"/>
          <w:sz w:val="24"/>
        </w:rPr>
        <w:t>90th percentile remain at the 60 s encoding cap for every degraded setting. Most exposed decisions are censored, so the four settings cannot be read as a dose-response experiment.</w:t>
      </w:r>
    </w:p>
    <w:p>
      <w:pPr>
        <w:spacing w:line="276" w:lineRule="auto" w:after="120"/>
        <w:jc w:val="both"/>
      </w:pPr>
      <w:r>
        <w:rPr>
          <w:rFonts w:ascii="Times New Roman" w:hAnsi="Times New Roman"/>
          <w:sz w:val="24"/>
        </w:rPr>
        <w:t xml:space="preserve">Median and 90th percentile are identical at every level, and 81 % of exposed decisions sit at the cap. The </w:t>
      </w:r>
      <w:r>
        <w:rPr>
          <w:rFonts w:ascii="Courier New" w:hAnsi="Courier New"/>
          <w:sz w:val="22"/>
        </w:rPr>
        <w:t>{5, 15, 30, 60}</w:t>
      </w:r>
      <w:r>
        <w:rPr>
          <w:rFonts w:ascii="Times New Roman" w:hAnsi="Times New Roman"/>
          <w:sz w:val="24"/>
        </w:rPr>
        <w:t xml:space="preserve"> s ladder collapses to a single degraded condition.</w:t>
      </w:r>
    </w:p>
    <w:p>
      <w:pPr>
        <w:spacing w:line="276" w:lineRule="auto" w:after="120"/>
        <w:jc w:val="both"/>
      </w:pPr>
      <w:r>
        <w:rPr>
          <w:rFonts w:ascii="Times New Roman" w:hAnsi="Times New Roman"/>
          <w:b/>
          <w:sz w:val="24"/>
        </w:rPr>
        <w:t>Consequence for H1.</w:t>
      </w:r>
      <w:r>
        <w:rPr>
          <w:rFonts w:ascii="Times New Roman" w:hAnsi="Times New Roman"/>
          <w:sz w:val="24"/>
        </w:rPr>
        <w:t xml:space="preserve"> The preregistered hypothesis — that faithfulness declines as severity rises — is </w:t>
      </w:r>
      <w:r>
        <w:rPr>
          <w:rFonts w:ascii="Times New Roman" w:hAnsi="Times New Roman"/>
          <w:b/>
          <w:sz w:val="24"/>
        </w:rPr>
        <w:t>untestable on this data</w:t>
      </w:r>
      <w:r>
        <w:rPr>
          <w:rFonts w:ascii="Times New Roman" w:hAnsi="Times New Roman"/>
          <w:sz w:val="24"/>
        </w:rPr>
        <w:t>, not unsupported. The trend test returns rho = -0.001 (p = 0.87), but a null result against an unmanipulated factor is uninformative: there was no severity gradient for the metric to respond to. The earlier reading, that flat DEF reflected a floor effect from the near-zero clean baseline, is superseded; near zero is the fair random level, not a floor, and margin-DEF had ample room to move downward. What the data supports is the binary clean-versus-degraded contrast, which is well powered.</w:t>
      </w:r>
    </w:p>
    <w:p>
      <w:pPr>
        <w:spacing w:line="276" w:lineRule="auto" w:after="120"/>
        <w:jc w:val="both"/>
      </w:pPr>
      <w:r>
        <w:rPr>
          <w:rFonts w:ascii="Times New Roman" w:hAnsi="Times New Roman"/>
          <w:b/>
          <w:sz w:val="24"/>
        </w:rPr>
        <w:t>H3, restated.</w:t>
      </w:r>
      <w:r>
        <w:rPr>
          <w:rFonts w:ascii="Times New Roman" w:hAnsi="Times New Roman"/>
          <w:sz w:val="24"/>
        </w:rPr>
        <w:t xml:space="preserve"> WAMSN rises from exactly 0 on clean telemetry to 0.014 pooled the moment staleness exists. On the preregistered sweep the episode-block trend is rho = +0.092, p &lt;= 1e-4, cluster CI [+0.052, +0.128] (instrumented sweep: +0.081, p &lt;= 1e-4). Within the degraded conditions, however, there is no trend at all: rho = +0.002, p = 0.88, n = 14,154. The entire association is the clean-versus-degraded step. The supported claim is therefore </w:t>
      </w:r>
      <w:r>
        <w:rPr>
          <w:rFonts w:ascii="Times New Roman" w:hAnsi="Times New Roman"/>
          <w:b/>
          <w:sz w:val="24"/>
        </w:rPr>
        <w:t>WAMSN rises when staleness appears and is flat thereafter</w:t>
      </w:r>
      <w:r>
        <w:rPr>
          <w:rFonts w:ascii="Times New Roman" w:hAnsi="Times New Roman"/>
          <w:sz w:val="24"/>
        </w:rPr>
        <w:t xml:space="preserve"> — consistent with Table 5.4, and narrower than "severity increases WAMSN".</w:t>
      </w:r>
    </w:p>
    <w:p>
      <w:pPr>
        <w:spacing w:line="276" w:lineRule="auto" w:after="120"/>
        <w:jc w:val="both"/>
      </w:pPr>
      <w:r>
        <w:rPr>
          <w:rFonts w:ascii="Times New Roman" w:hAnsi="Times New Roman"/>
          <w:b/>
          <w:sz w:val="24"/>
        </w:rPr>
        <w:t>Exposure.</w:t>
      </w:r>
      <w:r>
        <w:rPr>
          <w:rFonts w:ascii="Times New Roman" w:hAnsi="Times New Roman"/>
          <w:sz w:val="24"/>
        </w:rPr>
        <w:t xml:space="preserve"> The pooled WAMSN is small because most decisions never see a stale node, and two distinct exposure rates were previously conflated:</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010"/>
        <w:gridCol w:w="3010"/>
        <w:gridCol w:w="3010"/>
      </w:tblGrid>
      <w:tr>
        <w:trPr>
          <w:cantSplit/>
          <w:tblHeader w:val="true"/>
        </w:trPr>
        <w:tc>
          <w:tcPr>
            <w:tcW w:type="dxa" w:w="3505"/>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Quantity</w:t>
            </w:r>
          </w:p>
        </w:tc>
        <w:tc>
          <w:tcPr>
            <w:tcW w:type="dxa" w:w="1558"/>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Value</w:t>
            </w:r>
          </w:p>
        </w:tc>
        <w:tc>
          <w:tcPr>
            <w:tcW w:type="dxa" w:w="3894"/>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Meaning</w:t>
            </w:r>
          </w:p>
        </w:tc>
      </w:tr>
      <w:tr>
        <w:trPr>
          <w:cantSplit/>
        </w:trPr>
        <w:tc>
          <w:tcPr>
            <w:tcW w:type="dxa" w:w="3505"/>
            <w:vAlign w:val="center"/>
            <w:tcMar>
              <w:top w:w="70" w:type="dxa"/>
              <w:start w:w="90" w:type="dxa"/>
              <w:bottom w:w="70" w:type="dxa"/>
              <w:end w:w="90" w:type="dxa"/>
            </w:tcMar>
          </w:tcPr>
          <w:p>
            <w:pPr>
              <w:spacing w:after="0" w:line="240" w:lineRule="auto"/>
              <w:jc w:val="left"/>
            </w:pPr>
            <w:r>
              <w:rPr>
                <w:rFonts w:ascii="Times New Roman" w:hAnsi="Times New Roman"/>
                <w:sz w:val="18"/>
              </w:rPr>
              <w:t>Acting-agent degradation rate</w:t>
            </w:r>
          </w:p>
        </w:tc>
        <w:tc>
          <w:tcPr>
            <w:tcW w:type="dxa" w:w="1558"/>
            <w:vAlign w:val="center"/>
            <w:tcMar>
              <w:top w:w="70" w:type="dxa"/>
              <w:start w:w="90" w:type="dxa"/>
              <w:bottom w:w="70" w:type="dxa"/>
              <w:end w:w="90" w:type="dxa"/>
            </w:tcMar>
          </w:tcPr>
          <w:p>
            <w:pPr>
              <w:spacing w:after="0" w:line="240" w:lineRule="auto"/>
              <w:jc w:val="left"/>
            </w:pPr>
            <w:r>
              <w:rPr>
                <w:rFonts w:ascii="Times New Roman" w:hAnsi="Times New Roman"/>
                <w:sz w:val="18"/>
              </w:rPr>
              <w:t>~2 %</w:t>
            </w:r>
          </w:p>
        </w:tc>
        <w:tc>
          <w:tcPr>
            <w:tcW w:type="dxa" w:w="3894"/>
            <w:vAlign w:val="center"/>
            <w:tcMar>
              <w:top w:w="70" w:type="dxa"/>
              <w:start w:w="90" w:type="dxa"/>
              <w:bottom w:w="70" w:type="dxa"/>
              <w:end w:w="90" w:type="dxa"/>
            </w:tcMar>
          </w:tcPr>
          <w:p>
            <w:pPr>
              <w:spacing w:after="0" w:line="240" w:lineRule="auto"/>
              <w:jc w:val="left"/>
            </w:pPr>
            <w:r>
              <w:rPr>
                <w:rFonts w:ascii="Times New Roman" w:hAnsi="Times New Roman"/>
                <w:sz w:val="18"/>
              </w:rPr>
              <w:t>the deciding taxi's own telemetry is stale</w:t>
            </w:r>
          </w:p>
        </w:tc>
      </w:tr>
      <w:tr>
        <w:trPr>
          <w:cantSplit/>
        </w:trPr>
        <w:tc>
          <w:tcPr>
            <w:tcW w:type="dxa" w:w="3505"/>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Stale-node visibility</w:t>
            </w:r>
          </w:p>
        </w:tc>
        <w:tc>
          <w:tcPr>
            <w:tcW w:type="dxa" w:w="1558"/>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9.8-11.7 % per level</w:t>
            </w:r>
          </w:p>
        </w:tc>
        <w:tc>
          <w:tcPr>
            <w:tcW w:type="dxa" w:w="389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the decision's graph contains a stale vehicle node</w:t>
            </w:r>
          </w:p>
        </w:tc>
      </w:tr>
      <w:tr>
        <w:trPr>
          <w:cantSplit/>
        </w:trPr>
        <w:tc>
          <w:tcPr>
            <w:tcW w:type="dxa" w:w="3505"/>
            <w:vAlign w:val="center"/>
            <w:tcMar>
              <w:top w:w="70" w:type="dxa"/>
              <w:start w:w="90" w:type="dxa"/>
              <w:bottom w:w="70" w:type="dxa"/>
              <w:end w:w="90" w:type="dxa"/>
            </w:tcMar>
          </w:tcPr>
          <w:p>
            <w:pPr>
              <w:spacing w:after="0" w:line="240" w:lineRule="auto"/>
              <w:jc w:val="left"/>
            </w:pPr>
            <w:r>
              <w:rPr>
                <w:rFonts w:ascii="Times New Roman" w:hAnsi="Times New Roman"/>
                <w:sz w:val="18"/>
              </w:rPr>
              <w:t>Stale node in attention top-3, given exposure</w:t>
            </w:r>
          </w:p>
        </w:tc>
        <w:tc>
          <w:tcPr>
            <w:tcW w:type="dxa" w:w="1558"/>
            <w:vAlign w:val="center"/>
            <w:tcMar>
              <w:top w:w="70" w:type="dxa"/>
              <w:start w:w="90" w:type="dxa"/>
              <w:bottom w:w="70" w:type="dxa"/>
              <w:end w:w="90" w:type="dxa"/>
            </w:tcMar>
          </w:tcPr>
          <w:p>
            <w:pPr>
              <w:spacing w:after="0" w:line="240" w:lineRule="auto"/>
              <w:jc w:val="left"/>
            </w:pPr>
            <w:r>
              <w:rPr>
                <w:rFonts w:ascii="Times New Roman" w:hAnsi="Times New Roman"/>
                <w:sz w:val="18"/>
              </w:rPr>
              <w:t>7.7-9.3 %</w:t>
            </w:r>
          </w:p>
        </w:tc>
        <w:tc>
          <w:tcPr>
            <w:tcW w:type="dxa" w:w="3894"/>
            <w:vAlign w:val="center"/>
            <w:tcMar>
              <w:top w:w="70" w:type="dxa"/>
              <w:start w:w="90" w:type="dxa"/>
              <w:bottom w:w="70" w:type="dxa"/>
              <w:end w:w="90" w:type="dxa"/>
            </w:tcMar>
          </w:tcPr>
          <w:p>
            <w:pPr>
              <w:spacing w:after="0" w:line="240" w:lineRule="auto"/>
              <w:jc w:val="left"/>
            </w:pPr>
            <w:r>
              <w:rPr>
                <w:rFonts w:ascii="Times New Roman" w:hAnsi="Times New Roman"/>
                <w:sz w:val="18"/>
              </w:rPr>
              <w:t>a stale node reached the displayed explanation</w:t>
            </w:r>
          </w:p>
        </w:tc>
      </w:tr>
      <w:tr>
        <w:trPr>
          <w:cantSplit/>
        </w:trPr>
        <w:tc>
          <w:tcPr>
            <w:tcW w:type="dxa" w:w="3505"/>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WAMSN given exposure</w:t>
            </w:r>
          </w:p>
        </w:tc>
        <w:tc>
          <w:tcPr>
            <w:tcW w:type="dxa" w:w="1558"/>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13.4-14.8 %</w:t>
            </w:r>
          </w:p>
        </w:tc>
        <w:tc>
          <w:tcPr>
            <w:tcW w:type="dxa" w:w="389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share of vehicle-node attention on stale telemetry</w:t>
            </w:r>
          </w:p>
        </w:tc>
      </w:tr>
    </w:tbl>
    <w:p>
      <w:pPr>
        <w:spacing w:after="0"/>
      </w:pPr>
    </w:p>
    <w:p>
      <w:pPr>
        <w:spacing w:line="276" w:lineRule="auto" w:after="120"/>
        <w:jc w:val="both"/>
      </w:pPr>
      <w:r>
        <w:rPr>
          <w:rFonts w:ascii="Times New Roman" w:hAnsi="Times New Roman"/>
          <w:sz w:val="24"/>
        </w:rPr>
        <w:t>Conditional on exposure is the informative framing: when a stale vehicle node is visible at all, it takes roughly one seventh of the attention the policy distributes over vehicles.</w:t>
      </w:r>
    </w:p>
    <w:p>
      <w:pPr>
        <w:spacing w:line="276" w:lineRule="auto" w:after="120"/>
        <w:jc w:val="both"/>
      </w:pPr>
      <w:r>
        <w:rPr>
          <w:rFonts w:ascii="Times New Roman" w:hAnsi="Times New Roman"/>
          <w:b/>
          <w:sz w:val="24"/>
        </w:rPr>
        <w:t>H4 is supported, and is metric-dependent.</w:t>
      </w:r>
      <w:r>
        <w:rPr>
          <w:rFonts w:ascii="Times New Roman" w:hAnsi="Times New Roman"/>
          <w:sz w:val="24"/>
        </w:rPr>
        <w:t xml:space="preserve"> Within episodes, decisions with more stale-node attention are less faithful. On the primary metric, margin-DEF, mean within-episode rho = </w:t>
      </w:r>
      <w:r>
        <w:rPr>
          <w:rFonts w:ascii="Times New Roman" w:hAnsi="Times New Roman"/>
          <w:b/>
          <w:sz w:val="24"/>
        </w:rPr>
        <w:t>-0.045</w:t>
      </w:r>
      <w:r>
        <w:rPr>
          <w:rFonts w:ascii="Times New Roman" w:hAnsi="Times New Roman"/>
          <w:sz w:val="24"/>
        </w:rPr>
        <w:t>, negative in 64.6 % of the 96 usable episodes (</w:t>
      </w:r>
      <w:r>
        <w:rPr>
          <w:rFonts w:ascii="Courier New" w:hAnsi="Courier New"/>
          <w:sz w:val="22"/>
        </w:rPr>
        <w:t>B2_aoi_ladder</w:t>
      </w:r>
      <w:r>
        <w:rPr>
          <w:rFonts w:ascii="Times New Roman" w:hAnsi="Times New Roman"/>
          <w:sz w:val="24"/>
        </w:rPr>
        <w:t xml:space="preserve">: -0.043, 74.0 %). On probability-DEF the same estimator gives rho = </w:t>
      </w:r>
      <w:r>
        <w:rPr>
          <w:rFonts w:ascii="Times New Roman" w:hAnsi="Times New Roman"/>
          <w:b/>
          <w:sz w:val="24"/>
        </w:rPr>
        <w:t>-0.149</w:t>
      </w:r>
      <w:r>
        <w:rPr>
          <w:rFonts w:ascii="Times New Roman" w:hAnsi="Times New Roman"/>
          <w:sz w:val="24"/>
        </w:rPr>
        <w:t>, negative in 92.7 % of episodes (</w:t>
      </w:r>
      <w:r>
        <w:rPr>
          <w:rFonts w:ascii="Courier New" w:hAnsi="Courier New"/>
          <w:sz w:val="22"/>
        </w:rPr>
        <w:t>B2_aoi_ladder</w:t>
      </w:r>
      <w:r>
        <w:rPr>
          <w:rFonts w:ascii="Times New Roman" w:hAnsi="Times New Roman"/>
          <w:sz w:val="24"/>
        </w:rPr>
        <w:t>: -0.140, 88.5 %). Both replicate across sweeps, and the preregistered one-sided sign-flip test reaches its resolution floor (p &lt;= 1e-4) for both; an exact two-sided sign test on the episode-level coefficients gives p = 0.006 for margin-DEF and p &lt; 1e-5 for probability-DEF.</w:t>
      </w:r>
    </w:p>
    <w:p>
      <w:pPr>
        <w:spacing w:line="276" w:lineRule="auto" w:after="120"/>
        <w:jc w:val="both"/>
      </w:pPr>
      <w:r>
        <w:rPr>
          <w:rFonts w:ascii="Times New Roman" w:hAnsi="Times New Roman"/>
          <w:sz w:val="24"/>
        </w:rPr>
        <w:t>The direction is robust, but the effect is roughly three times larger on the secondary metric. The margin-DEF value is quoted as primary for consistency with Section 3.5. The divergence is itself interpretable: probability-DEF responds mainly to decisions where occlusion collapses a saturated softmax, which is exactly where stale peer nodes are most likely to be attended, so it registers a stronger association than the margin does.</w:t>
      </w:r>
    </w:p>
    <w:p>
      <w:pPr>
        <w:spacing w:line="276" w:lineRule="auto" w:after="120"/>
        <w:jc w:val="both"/>
      </w:pPr>
      <w:r>
        <w:rPr>
          <w:rFonts w:ascii="Times New Roman" w:hAnsi="Times New Roman"/>
          <w:b/>
          <w:sz w:val="24"/>
        </w:rPr>
        <w:t>H2 is the weakest result.</w:t>
      </w:r>
      <w:r>
        <w:rPr>
          <w:rFonts w:ascii="Times New Roman" w:hAnsi="Times New Roman"/>
          <w:sz w:val="24"/>
        </w:rPr>
        <w:t xml:space="preserve"> Faithfulness-degradation rates exceeded performance-degradation rates across 32 cells: Holm-adjusted p = 0.039 on probability-DEF (raw p = 0.0195; raw p = 0.028 on margin-DEF). Given that the severity factor was not manipulated, this rate framing should be read as a clean-versus-degraded difference and not as a dose-response. H3 and H4 carry the degradation argument.</w:t>
      </w:r>
    </w:p>
    <w:p>
      <w:pPr>
        <w:keepNext/>
        <w:spacing w:before="120" w:after="40"/>
        <w:jc w:val="center"/>
      </w:pPr>
      <w:r>
        <w:drawing>
          <wp:inline xmlns:a="http://schemas.openxmlformats.org/drawingml/2006/main" xmlns:pic="http://schemas.openxmlformats.org/drawingml/2006/picture">
            <wp:extent cx="4735830" cy="5166360"/>
            <wp:docPr id="10" name="Picture 10"/>
            <wp:cNvGraphicFramePr>
              <a:graphicFrameLocks noChangeAspect="1"/>
            </wp:cNvGraphicFramePr>
            <a:graphic>
              <a:graphicData uri="http://schemas.openxmlformats.org/drawingml/2006/picture">
                <pic:pic>
                  <pic:nvPicPr>
                    <pic:cNvPr id="0" name="story_act2_decoupling.png"/>
                    <pic:cNvPicPr/>
                  </pic:nvPicPr>
                  <pic:blipFill>
                    <a:blip r:embed="rId28"/>
                    <a:stretch>
                      <a:fillRect/>
                    </a:stretch>
                  </pic:blipFill>
                  <pic:spPr>
                    <a:xfrm>
                      <a:off x="0" y="0"/>
                      <a:ext cx="4735830" cy="5166360"/>
                    </a:xfrm>
                    <a:prstGeom prst="rect"/>
                  </pic:spPr>
                </pic:pic>
              </a:graphicData>
            </a:graphic>
          </wp:inline>
        </w:drawing>
      </w:r>
    </w:p>
    <w:p>
      <w:pPr>
        <w:pStyle w:val="DMUCaption"/>
        <w:keepLines/>
      </w:pPr>
      <w:r>
        <w:rPr>
          <w:rFonts w:ascii="Times New Roman" w:hAnsi="Times New Roman"/>
          <w:sz w:val="20"/>
        </w:rPr>
        <w:t>Figure 5.4: Silent stale-attention drift. Margin-DEF and pickups stay flat</w:t>
      </w:r>
    </w:p>
    <w:p>
      <w:pPr>
        <w:spacing w:line="276" w:lineRule="auto" w:after="120"/>
        <w:jc w:val="both"/>
      </w:pPr>
      <w:r>
        <w:rPr>
          <w:rFonts w:ascii="Times New Roman" w:hAnsi="Times New Roman"/>
          <w:sz w:val="24"/>
        </w:rPr>
        <w:t>across the nominal severity ladder, while WAMSN rises the moment staleness is introduced. Per Table 5.4 the ladder is a single degraded condition, so the flat profiles should be read as clean versus degraded rather than as a dose-response.</w:t>
      </w:r>
    </w:p>
    <w:p>
      <w:pPr>
        <w:spacing w:line="276" w:lineRule="auto" w:after="120"/>
        <w:jc w:val="both"/>
      </w:pPr>
      <w:r>
        <w:rPr>
          <w:rFonts w:ascii="Times New Roman" w:hAnsi="Times New Roman"/>
          <w:sz w:val="24"/>
        </w:rPr>
        <w:t xml:space="preserve">Pickups and WAMSN are cell means over eight seeds from </w:t>
      </w:r>
      <w:r>
        <w:rPr>
          <w:rFonts w:ascii="Courier New" w:hAnsi="Courier New"/>
          <w:sz w:val="22"/>
        </w:rPr>
        <w:t>B2_aoi_ladder</w:t>
      </w:r>
      <w:r>
        <w:rPr>
          <w:rFonts w:ascii="Times New Roman" w:hAnsi="Times New Roman"/>
          <w:sz w:val="24"/>
        </w:rPr>
        <w:t xml:space="preserve">; stale-node visibility and conditional WAMSN come from the instrumented </w:t>
      </w:r>
      <w:r>
        <w:rPr>
          <w:rFonts w:ascii="Courier New" w:hAnsi="Courier New"/>
          <w:sz w:val="22"/>
        </w:rPr>
        <w:t>B2_aoi_ladder_v2</w:t>
      </w:r>
      <w:r>
        <w:rPr>
          <w:rFonts w:ascii="Times New Roman" w:hAnsi="Times New Roman"/>
          <w:sz w:val="24"/>
        </w:rPr>
        <w:t xml:space="preserve">. The conditions are labelled </w:t>
      </w:r>
      <w:r>
        <w:rPr>
          <w:rFonts w:ascii="Times New Roman" w:hAnsi="Times New Roman"/>
          <w:i/>
          <w:sz w:val="24"/>
        </w:rPr>
        <w:t>nominal</w:t>
      </w:r>
      <w:r>
        <w:rPr>
          <w:rFonts w:ascii="Times New Roman" w:hAnsi="Times New Roman"/>
          <w:sz w:val="24"/>
        </w:rPr>
        <w:t xml:space="preserve"> because Table 5.4 shows that the four degraded settings did not produce distinct realised AoI levels. Artifact-prone uniform DEF values are omitted from this main table.</w:t>
      </w:r>
    </w:p>
    <w:p>
      <w:pPr>
        <w:pStyle w:val="DMUCaption"/>
        <w:keepNext/>
        <w:jc w:val="center"/>
      </w:pPr>
      <w:r>
        <w:rPr>
          <w:rFonts w:ascii="Times New Roman" w:hAnsi="Times New Roman"/>
          <w:sz w:val="20"/>
        </w:rPr>
        <w:t>Table 5.5: Degradation Exposure and Performance</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806"/>
        <w:gridCol w:w="1806"/>
        <w:gridCol w:w="1806"/>
        <w:gridCol w:w="1806"/>
        <w:gridCol w:w="1806"/>
      </w:tblGrid>
      <w:tr>
        <w:trPr>
          <w:cantSplit/>
          <w:tblHeader w:val="true"/>
        </w:trPr>
        <w:tc>
          <w:tcPr>
            <w:tcW w:type="dxa" w:w="2110"/>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Nominal condition</w:t>
            </w:r>
          </w:p>
        </w:tc>
        <w:tc>
          <w:tcPr>
            <w:tcW w:type="dxa" w:w="880"/>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Pickups</w:t>
            </w:r>
          </w:p>
        </w:tc>
        <w:tc>
          <w:tcPr>
            <w:tcW w:type="dxa" w:w="880"/>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WAMSN</w:t>
            </w:r>
          </w:p>
        </w:tc>
        <w:tc>
          <w:tcPr>
            <w:tcW w:type="dxa" w:w="2606"/>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Stale-node visibility</w:t>
            </w:r>
          </w:p>
        </w:tc>
        <w:tc>
          <w:tcPr>
            <w:tcW w:type="dxa" w:w="2482"/>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WAMSN given exposure</w:t>
            </w:r>
          </w:p>
        </w:tc>
      </w:tr>
      <w:tr>
        <w:trPr>
          <w:cantSplit/>
        </w:trPr>
        <w:tc>
          <w:tcPr>
            <w:tcW w:type="dxa" w:w="2110"/>
            <w:vAlign w:val="center"/>
            <w:tcMar>
              <w:top w:w="70" w:type="dxa"/>
              <w:start w:w="90" w:type="dxa"/>
              <w:bottom w:w="70" w:type="dxa"/>
              <w:end w:w="90" w:type="dxa"/>
            </w:tcMar>
          </w:tcPr>
          <w:p>
            <w:pPr>
              <w:spacing w:after="0" w:line="240" w:lineRule="auto"/>
              <w:jc w:val="left"/>
            </w:pPr>
            <w:r>
              <w:rPr>
                <w:rFonts w:ascii="Times New Roman" w:hAnsi="Times New Roman"/>
                <w:sz w:val="18"/>
              </w:rPr>
              <w:t>Clean</w:t>
            </w:r>
          </w:p>
        </w:tc>
        <w:tc>
          <w:tcPr>
            <w:tcW w:type="dxa" w:w="880"/>
            <w:vAlign w:val="center"/>
            <w:tcMar>
              <w:top w:w="70" w:type="dxa"/>
              <w:start w:w="90" w:type="dxa"/>
              <w:bottom w:w="70" w:type="dxa"/>
              <w:end w:w="90" w:type="dxa"/>
            </w:tcMar>
          </w:tcPr>
          <w:p>
            <w:pPr>
              <w:spacing w:after="0" w:line="240" w:lineRule="auto"/>
              <w:jc w:val="left"/>
            </w:pPr>
            <w:r>
              <w:rPr>
                <w:rFonts w:ascii="Times New Roman" w:hAnsi="Times New Roman"/>
                <w:sz w:val="18"/>
              </w:rPr>
              <w:t>6.67</w:t>
            </w:r>
          </w:p>
        </w:tc>
        <w:tc>
          <w:tcPr>
            <w:tcW w:type="dxa" w:w="880"/>
            <w:vAlign w:val="center"/>
            <w:tcMar>
              <w:top w:w="70" w:type="dxa"/>
              <w:start w:w="90" w:type="dxa"/>
              <w:bottom w:w="70" w:type="dxa"/>
              <w:end w:w="90" w:type="dxa"/>
            </w:tcMar>
          </w:tcPr>
          <w:p>
            <w:pPr>
              <w:spacing w:after="0" w:line="240" w:lineRule="auto"/>
              <w:jc w:val="left"/>
            </w:pPr>
            <w:r>
              <w:rPr>
                <w:rFonts w:ascii="Times New Roman" w:hAnsi="Times New Roman"/>
                <w:sz w:val="18"/>
              </w:rPr>
              <w:t>0.000</w:t>
            </w:r>
          </w:p>
        </w:tc>
        <w:tc>
          <w:tcPr>
            <w:tcW w:type="dxa" w:w="2606"/>
            <w:vAlign w:val="center"/>
            <w:tcMar>
              <w:top w:w="70" w:type="dxa"/>
              <w:start w:w="90" w:type="dxa"/>
              <w:bottom w:w="70" w:type="dxa"/>
              <w:end w:w="90" w:type="dxa"/>
            </w:tcMar>
          </w:tcPr>
          <w:p>
            <w:pPr>
              <w:spacing w:after="0" w:line="240" w:lineRule="auto"/>
              <w:jc w:val="left"/>
            </w:pPr>
            <w:r>
              <w:rPr>
                <w:rFonts w:ascii="Times New Roman" w:hAnsi="Times New Roman"/>
                <w:sz w:val="18"/>
              </w:rPr>
              <w:t>0.0 %</w:t>
            </w:r>
          </w:p>
        </w:tc>
        <w:tc>
          <w:tcPr>
            <w:tcW w:type="dxa" w:w="2482"/>
            <w:vAlign w:val="center"/>
            <w:tcMar>
              <w:top w:w="70" w:type="dxa"/>
              <w:start w:w="90" w:type="dxa"/>
              <w:bottom w:w="70" w:type="dxa"/>
              <w:end w:w="90" w:type="dxa"/>
            </w:tcMar>
          </w:tcPr>
          <w:p>
            <w:pPr>
              <w:spacing w:after="0" w:line="240" w:lineRule="auto"/>
              <w:jc w:val="left"/>
            </w:pPr>
            <w:r>
              <w:rPr>
                <w:rFonts w:ascii="Times New Roman" w:hAnsi="Times New Roman"/>
                <w:sz w:val="18"/>
              </w:rPr>
              <w:t>—</w:t>
            </w:r>
          </w:p>
        </w:tc>
      </w:tr>
      <w:tr>
        <w:trPr>
          <w:cantSplit/>
        </w:trPr>
        <w:tc>
          <w:tcPr>
            <w:tcW w:type="dxa" w:w="211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5 s</w:t>
            </w:r>
          </w:p>
        </w:tc>
        <w:tc>
          <w:tcPr>
            <w:tcW w:type="dxa" w:w="88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7.42</w:t>
            </w:r>
          </w:p>
        </w:tc>
        <w:tc>
          <w:tcPr>
            <w:tcW w:type="dxa" w:w="88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0.015</w:t>
            </w:r>
          </w:p>
        </w:tc>
        <w:tc>
          <w:tcPr>
            <w:tcW w:type="dxa" w:w="260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9.8 %</w:t>
            </w:r>
          </w:p>
        </w:tc>
        <w:tc>
          <w:tcPr>
            <w:tcW w:type="dxa" w:w="2482"/>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0.139</w:t>
            </w:r>
          </w:p>
        </w:tc>
      </w:tr>
      <w:tr>
        <w:trPr>
          <w:cantSplit/>
        </w:trPr>
        <w:tc>
          <w:tcPr>
            <w:tcW w:type="dxa" w:w="2110"/>
            <w:vAlign w:val="center"/>
            <w:tcMar>
              <w:top w:w="70" w:type="dxa"/>
              <w:start w:w="90" w:type="dxa"/>
              <w:bottom w:w="70" w:type="dxa"/>
              <w:end w:w="90" w:type="dxa"/>
            </w:tcMar>
          </w:tcPr>
          <w:p>
            <w:pPr>
              <w:spacing w:after="0" w:line="240" w:lineRule="auto"/>
              <w:jc w:val="left"/>
            </w:pPr>
            <w:r>
              <w:rPr>
                <w:rFonts w:ascii="Times New Roman" w:hAnsi="Times New Roman"/>
                <w:sz w:val="18"/>
              </w:rPr>
              <w:t>15 s</w:t>
            </w:r>
          </w:p>
        </w:tc>
        <w:tc>
          <w:tcPr>
            <w:tcW w:type="dxa" w:w="880"/>
            <w:vAlign w:val="center"/>
            <w:tcMar>
              <w:top w:w="70" w:type="dxa"/>
              <w:start w:w="90" w:type="dxa"/>
              <w:bottom w:w="70" w:type="dxa"/>
              <w:end w:w="90" w:type="dxa"/>
            </w:tcMar>
          </w:tcPr>
          <w:p>
            <w:pPr>
              <w:spacing w:after="0" w:line="240" w:lineRule="auto"/>
              <w:jc w:val="left"/>
            </w:pPr>
            <w:r>
              <w:rPr>
                <w:rFonts w:ascii="Times New Roman" w:hAnsi="Times New Roman"/>
                <w:sz w:val="18"/>
              </w:rPr>
              <w:t>6.79</w:t>
            </w:r>
          </w:p>
        </w:tc>
        <w:tc>
          <w:tcPr>
            <w:tcW w:type="dxa" w:w="880"/>
            <w:vAlign w:val="center"/>
            <w:tcMar>
              <w:top w:w="70" w:type="dxa"/>
              <w:start w:w="90" w:type="dxa"/>
              <w:bottom w:w="70" w:type="dxa"/>
              <w:end w:w="90" w:type="dxa"/>
            </w:tcMar>
          </w:tcPr>
          <w:p>
            <w:pPr>
              <w:spacing w:after="0" w:line="240" w:lineRule="auto"/>
              <w:jc w:val="left"/>
            </w:pPr>
            <w:r>
              <w:rPr>
                <w:rFonts w:ascii="Times New Roman" w:hAnsi="Times New Roman"/>
                <w:sz w:val="18"/>
              </w:rPr>
              <w:t>0.012</w:t>
            </w:r>
          </w:p>
        </w:tc>
        <w:tc>
          <w:tcPr>
            <w:tcW w:type="dxa" w:w="2606"/>
            <w:vAlign w:val="center"/>
            <w:tcMar>
              <w:top w:w="70" w:type="dxa"/>
              <w:start w:w="90" w:type="dxa"/>
              <w:bottom w:w="70" w:type="dxa"/>
              <w:end w:w="90" w:type="dxa"/>
            </w:tcMar>
          </w:tcPr>
          <w:p>
            <w:pPr>
              <w:spacing w:after="0" w:line="240" w:lineRule="auto"/>
              <w:jc w:val="left"/>
            </w:pPr>
            <w:r>
              <w:rPr>
                <w:rFonts w:ascii="Times New Roman" w:hAnsi="Times New Roman"/>
                <w:sz w:val="18"/>
              </w:rPr>
              <w:t>11.7 %</w:t>
            </w:r>
          </w:p>
        </w:tc>
        <w:tc>
          <w:tcPr>
            <w:tcW w:type="dxa" w:w="2482"/>
            <w:vAlign w:val="center"/>
            <w:tcMar>
              <w:top w:w="70" w:type="dxa"/>
              <w:start w:w="90" w:type="dxa"/>
              <w:bottom w:w="70" w:type="dxa"/>
              <w:end w:w="90" w:type="dxa"/>
            </w:tcMar>
          </w:tcPr>
          <w:p>
            <w:pPr>
              <w:spacing w:after="0" w:line="240" w:lineRule="auto"/>
              <w:jc w:val="left"/>
            </w:pPr>
            <w:r>
              <w:rPr>
                <w:rFonts w:ascii="Times New Roman" w:hAnsi="Times New Roman"/>
                <w:sz w:val="18"/>
              </w:rPr>
              <w:t>0.148</w:t>
            </w:r>
          </w:p>
        </w:tc>
      </w:tr>
      <w:tr>
        <w:trPr>
          <w:cantSplit/>
        </w:trPr>
        <w:tc>
          <w:tcPr>
            <w:tcW w:type="dxa" w:w="211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30 s</w:t>
            </w:r>
          </w:p>
        </w:tc>
        <w:tc>
          <w:tcPr>
            <w:tcW w:type="dxa" w:w="88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6.54</w:t>
            </w:r>
          </w:p>
        </w:tc>
        <w:tc>
          <w:tcPr>
            <w:tcW w:type="dxa" w:w="88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0.013</w:t>
            </w:r>
          </w:p>
        </w:tc>
        <w:tc>
          <w:tcPr>
            <w:tcW w:type="dxa" w:w="2606"/>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10.0 %</w:t>
            </w:r>
          </w:p>
        </w:tc>
        <w:tc>
          <w:tcPr>
            <w:tcW w:type="dxa" w:w="2482"/>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0.140</w:t>
            </w:r>
          </w:p>
        </w:tc>
      </w:tr>
      <w:tr>
        <w:trPr>
          <w:cantSplit/>
        </w:trPr>
        <w:tc>
          <w:tcPr>
            <w:tcW w:type="dxa" w:w="2110"/>
            <w:vAlign w:val="center"/>
            <w:tcMar>
              <w:top w:w="70" w:type="dxa"/>
              <w:start w:w="90" w:type="dxa"/>
              <w:bottom w:w="70" w:type="dxa"/>
              <w:end w:w="90" w:type="dxa"/>
            </w:tcMar>
          </w:tcPr>
          <w:p>
            <w:pPr>
              <w:spacing w:after="0" w:line="240" w:lineRule="auto"/>
              <w:jc w:val="left"/>
            </w:pPr>
            <w:r>
              <w:rPr>
                <w:rFonts w:ascii="Times New Roman" w:hAnsi="Times New Roman"/>
                <w:sz w:val="18"/>
              </w:rPr>
              <w:t>60 s</w:t>
            </w:r>
          </w:p>
        </w:tc>
        <w:tc>
          <w:tcPr>
            <w:tcW w:type="dxa" w:w="880"/>
            <w:vAlign w:val="center"/>
            <w:tcMar>
              <w:top w:w="70" w:type="dxa"/>
              <w:start w:w="90" w:type="dxa"/>
              <w:bottom w:w="70" w:type="dxa"/>
              <w:end w:w="90" w:type="dxa"/>
            </w:tcMar>
          </w:tcPr>
          <w:p>
            <w:pPr>
              <w:spacing w:after="0" w:line="240" w:lineRule="auto"/>
              <w:jc w:val="left"/>
            </w:pPr>
            <w:r>
              <w:rPr>
                <w:rFonts w:ascii="Times New Roman" w:hAnsi="Times New Roman"/>
                <w:sz w:val="18"/>
              </w:rPr>
              <w:t>7.42</w:t>
            </w:r>
          </w:p>
        </w:tc>
        <w:tc>
          <w:tcPr>
            <w:tcW w:type="dxa" w:w="880"/>
            <w:vAlign w:val="center"/>
            <w:tcMar>
              <w:top w:w="70" w:type="dxa"/>
              <w:start w:w="90" w:type="dxa"/>
              <w:bottom w:w="70" w:type="dxa"/>
              <w:end w:w="90" w:type="dxa"/>
            </w:tcMar>
          </w:tcPr>
          <w:p>
            <w:pPr>
              <w:spacing w:after="0" w:line="240" w:lineRule="auto"/>
              <w:jc w:val="left"/>
            </w:pPr>
            <w:r>
              <w:rPr>
                <w:rFonts w:ascii="Times New Roman" w:hAnsi="Times New Roman"/>
                <w:sz w:val="18"/>
              </w:rPr>
              <w:t>0.013</w:t>
            </w:r>
          </w:p>
        </w:tc>
        <w:tc>
          <w:tcPr>
            <w:tcW w:type="dxa" w:w="2606"/>
            <w:vAlign w:val="center"/>
            <w:tcMar>
              <w:top w:w="70" w:type="dxa"/>
              <w:start w:w="90" w:type="dxa"/>
              <w:bottom w:w="70" w:type="dxa"/>
              <w:end w:w="90" w:type="dxa"/>
            </w:tcMar>
          </w:tcPr>
          <w:p>
            <w:pPr>
              <w:spacing w:after="0" w:line="240" w:lineRule="auto"/>
              <w:jc w:val="left"/>
            </w:pPr>
            <w:r>
              <w:rPr>
                <w:rFonts w:ascii="Times New Roman" w:hAnsi="Times New Roman"/>
                <w:sz w:val="18"/>
              </w:rPr>
              <w:t>10.8 %</w:t>
            </w:r>
          </w:p>
        </w:tc>
        <w:tc>
          <w:tcPr>
            <w:tcW w:type="dxa" w:w="2482"/>
            <w:vAlign w:val="center"/>
            <w:tcMar>
              <w:top w:w="70" w:type="dxa"/>
              <w:start w:w="90" w:type="dxa"/>
              <w:bottom w:w="70" w:type="dxa"/>
              <w:end w:w="90" w:type="dxa"/>
            </w:tcMar>
          </w:tcPr>
          <w:p>
            <w:pPr>
              <w:spacing w:after="0" w:line="240" w:lineRule="auto"/>
              <w:jc w:val="left"/>
            </w:pPr>
            <w:r>
              <w:rPr>
                <w:rFonts w:ascii="Times New Roman" w:hAnsi="Times New Roman"/>
                <w:sz w:val="18"/>
              </w:rPr>
              <w:t>0.134</w:t>
            </w:r>
          </w:p>
        </w:tc>
      </w:tr>
    </w:tbl>
    <w:p>
      <w:pPr>
        <w:spacing w:after="0"/>
      </w:pPr>
    </w:p>
    <w:p>
      <w:pPr>
        <w:pStyle w:val="DMUCaption"/>
        <w:keepNext/>
        <w:jc w:val="center"/>
      </w:pPr>
      <w:r>
        <w:rPr>
          <w:rFonts w:ascii="Times New Roman" w:hAnsi="Times New Roman"/>
          <w:sz w:val="20"/>
        </w:rPr>
        <w:t>Table 5.6: Hypothesis Outcomes</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010"/>
        <w:gridCol w:w="3010"/>
        <w:gridCol w:w="3010"/>
      </w:tblGrid>
      <w:tr>
        <w:trPr>
          <w:cantSplit/>
          <w:tblHeader w:val="true"/>
        </w:trPr>
        <w:tc>
          <w:tcPr>
            <w:tcW w:type="dxa" w:w="2528"/>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Hypothesis</w:t>
            </w:r>
          </w:p>
        </w:tc>
        <w:tc>
          <w:tcPr>
            <w:tcW w:type="dxa" w:w="1099"/>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Result</w:t>
            </w:r>
          </w:p>
        </w:tc>
        <w:tc>
          <w:tcPr>
            <w:tcW w:type="dxa" w:w="5330"/>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Reading</w:t>
            </w:r>
          </w:p>
        </w:tc>
      </w:tr>
      <w:tr>
        <w:trPr>
          <w:cantSplit/>
        </w:trPr>
        <w:tc>
          <w:tcPr>
            <w:tcW w:type="dxa" w:w="2528"/>
            <w:vAlign w:val="center"/>
            <w:tcMar>
              <w:top w:w="70" w:type="dxa"/>
              <w:start w:w="90" w:type="dxa"/>
              <w:bottom w:w="70" w:type="dxa"/>
              <w:end w:w="90" w:type="dxa"/>
            </w:tcMar>
          </w:tcPr>
          <w:p>
            <w:pPr>
              <w:spacing w:after="0" w:line="240" w:lineRule="auto"/>
              <w:jc w:val="left"/>
            </w:pPr>
            <w:r>
              <w:rPr>
                <w:rFonts w:ascii="Times New Roman" w:hAnsi="Times New Roman"/>
                <w:sz w:val="18"/>
              </w:rPr>
              <w:t>H1: severity lowers DEF</w:t>
            </w:r>
          </w:p>
        </w:tc>
        <w:tc>
          <w:tcPr>
            <w:tcW w:type="dxa" w:w="1099"/>
            <w:vAlign w:val="center"/>
            <w:tcMar>
              <w:top w:w="70" w:type="dxa"/>
              <w:start w:w="90" w:type="dxa"/>
              <w:bottom w:w="70" w:type="dxa"/>
              <w:end w:w="90" w:type="dxa"/>
            </w:tcMar>
          </w:tcPr>
          <w:p>
            <w:pPr>
              <w:spacing w:after="0" w:line="240" w:lineRule="auto"/>
              <w:jc w:val="left"/>
            </w:pPr>
            <w:r>
              <w:rPr>
                <w:rFonts w:ascii="Times New Roman" w:hAnsi="Times New Roman"/>
                <w:b/>
                <w:sz w:val="18"/>
              </w:rPr>
              <w:t>Untestable</w:t>
            </w:r>
          </w:p>
        </w:tc>
        <w:tc>
          <w:tcPr>
            <w:tcW w:type="dxa" w:w="5330"/>
            <w:vAlign w:val="center"/>
            <w:tcMar>
              <w:top w:w="70" w:type="dxa"/>
              <w:start w:w="90" w:type="dxa"/>
              <w:bottom w:w="70" w:type="dxa"/>
              <w:end w:w="90" w:type="dxa"/>
            </w:tcMar>
          </w:tcPr>
          <w:p>
            <w:pPr>
              <w:spacing w:after="0" w:line="240" w:lineRule="auto"/>
              <w:jc w:val="left"/>
            </w:pPr>
            <w:r>
              <w:rPr>
                <w:rFonts w:ascii="Times New Roman" w:hAnsi="Times New Roman"/>
                <w:sz w:val="18"/>
              </w:rPr>
              <w:t>Severity not manipulated (Table 5.4); rho = -0.001, p = 0.87 against an unmanipulated factor</w:t>
            </w:r>
          </w:p>
        </w:tc>
      </w:tr>
      <w:tr>
        <w:trPr>
          <w:cantSplit/>
        </w:trPr>
        <w:tc>
          <w:tcPr>
            <w:tcW w:type="dxa" w:w="2528"/>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H2: faithfulness drops faster than performance</w:t>
            </w:r>
          </w:p>
        </w:tc>
        <w:tc>
          <w:tcPr>
            <w:tcW w:type="dxa" w:w="1099"/>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Supported cautiously</w:t>
            </w:r>
          </w:p>
        </w:tc>
        <w:tc>
          <w:tcPr>
            <w:tcW w:type="dxa" w:w="533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Holm p = 0.039 (prob-DEF); clean-vs-degraded, not dose-response</w:t>
            </w:r>
          </w:p>
        </w:tc>
      </w:tr>
      <w:tr>
        <w:trPr>
          <w:cantSplit/>
        </w:trPr>
        <w:tc>
          <w:tcPr>
            <w:tcW w:type="dxa" w:w="2528"/>
            <w:vAlign w:val="center"/>
            <w:tcMar>
              <w:top w:w="70" w:type="dxa"/>
              <w:start w:w="90" w:type="dxa"/>
              <w:bottom w:w="70" w:type="dxa"/>
              <w:end w:w="90" w:type="dxa"/>
            </w:tcMar>
          </w:tcPr>
          <w:p>
            <w:pPr>
              <w:spacing w:after="0" w:line="240" w:lineRule="auto"/>
              <w:jc w:val="left"/>
            </w:pPr>
            <w:r>
              <w:rPr>
                <w:rFonts w:ascii="Times New Roman" w:hAnsi="Times New Roman"/>
                <w:sz w:val="18"/>
              </w:rPr>
              <w:t>H3: staleness raises WAMSN</w:t>
            </w:r>
          </w:p>
        </w:tc>
        <w:tc>
          <w:tcPr>
            <w:tcW w:type="dxa" w:w="1099"/>
            <w:vAlign w:val="center"/>
            <w:tcMar>
              <w:top w:w="70" w:type="dxa"/>
              <w:start w:w="90" w:type="dxa"/>
              <w:bottom w:w="70" w:type="dxa"/>
              <w:end w:w="90" w:type="dxa"/>
            </w:tcMar>
          </w:tcPr>
          <w:p>
            <w:pPr>
              <w:spacing w:after="0" w:line="240" w:lineRule="auto"/>
              <w:jc w:val="left"/>
            </w:pPr>
            <w:r>
              <w:rPr>
                <w:rFonts w:ascii="Times New Roman" w:hAnsi="Times New Roman"/>
                <w:sz w:val="18"/>
              </w:rPr>
              <w:t>Supported, restated</w:t>
            </w:r>
          </w:p>
        </w:tc>
        <w:tc>
          <w:tcPr>
            <w:tcW w:type="dxa" w:w="5330"/>
            <w:vAlign w:val="center"/>
            <w:tcMar>
              <w:top w:w="70" w:type="dxa"/>
              <w:start w:w="90" w:type="dxa"/>
              <w:bottom w:w="70" w:type="dxa"/>
              <w:end w:w="90" w:type="dxa"/>
            </w:tcMar>
          </w:tcPr>
          <w:p>
            <w:pPr>
              <w:spacing w:after="0" w:line="240" w:lineRule="auto"/>
              <w:jc w:val="left"/>
            </w:pPr>
            <w:r>
              <w:rPr>
                <w:rFonts w:ascii="Times New Roman" w:hAnsi="Times New Roman"/>
                <w:sz w:val="18"/>
              </w:rPr>
              <w:t>Step at onset (rho = +0.092, p &lt;= 1e-4); no trend within degraded levels (rho = +0.002, p = 0.88)</w:t>
            </w:r>
          </w:p>
        </w:tc>
      </w:tr>
      <w:tr>
        <w:trPr>
          <w:cantSplit/>
        </w:trPr>
        <w:tc>
          <w:tcPr>
            <w:tcW w:type="dxa" w:w="2528"/>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H4: WAMSN relates negatively to DEF</w:t>
            </w:r>
          </w:p>
        </w:tc>
        <w:tc>
          <w:tcPr>
            <w:tcW w:type="dxa" w:w="1099"/>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Supported</w:t>
            </w:r>
          </w:p>
        </w:tc>
        <w:tc>
          <w:tcPr>
            <w:tcW w:type="dxa" w:w="5330"/>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margin-DEF rho = -0.045 (64.6 % of episodes); prob-DEF rho = -0.149 (92.7 %)</w:t>
            </w:r>
          </w:p>
        </w:tc>
      </w:tr>
      <w:tr>
        <w:trPr>
          <w:cantSplit/>
        </w:trPr>
        <w:tc>
          <w:tcPr>
            <w:tcW w:type="dxa" w:w="2528"/>
            <w:vAlign w:val="center"/>
            <w:tcMar>
              <w:top w:w="70" w:type="dxa"/>
              <w:start w:w="90" w:type="dxa"/>
              <w:bottom w:w="70" w:type="dxa"/>
              <w:end w:w="90" w:type="dxa"/>
            </w:tcMar>
          </w:tcPr>
          <w:p>
            <w:pPr>
              <w:spacing w:after="0" w:line="240" w:lineRule="auto"/>
              <w:jc w:val="left"/>
            </w:pPr>
            <w:r>
              <w:rPr>
                <w:rFonts w:ascii="Times New Roman" w:hAnsi="Times New Roman"/>
                <w:sz w:val="18"/>
              </w:rPr>
              <w:t>H5: degradation-aware training helps</w:t>
            </w:r>
          </w:p>
        </w:tc>
        <w:tc>
          <w:tcPr>
            <w:tcW w:type="dxa" w:w="1099"/>
            <w:vAlign w:val="center"/>
            <w:tcMar>
              <w:top w:w="70" w:type="dxa"/>
              <w:start w:w="90" w:type="dxa"/>
              <w:bottom w:w="70" w:type="dxa"/>
              <w:end w:w="90" w:type="dxa"/>
            </w:tcMar>
          </w:tcPr>
          <w:p>
            <w:pPr>
              <w:spacing w:after="0" w:line="240" w:lineRule="auto"/>
              <w:jc w:val="left"/>
            </w:pPr>
            <w:r>
              <w:rPr>
                <w:rFonts w:ascii="Times New Roman" w:hAnsi="Times New Roman"/>
                <w:sz w:val="18"/>
              </w:rPr>
              <w:t>No effect</w:t>
            </w:r>
          </w:p>
        </w:tc>
        <w:tc>
          <w:tcPr>
            <w:tcW w:type="dxa" w:w="5330"/>
            <w:vAlign w:val="center"/>
            <w:tcMar>
              <w:top w:w="70" w:type="dxa"/>
              <w:start w:w="90" w:type="dxa"/>
              <w:bottom w:w="70" w:type="dxa"/>
              <w:end w:w="90" w:type="dxa"/>
            </w:tcMar>
          </w:tcPr>
          <w:p>
            <w:pPr>
              <w:spacing w:after="0" w:line="240" w:lineRule="auto"/>
              <w:jc w:val="left"/>
            </w:pPr>
            <w:r>
              <w:rPr>
                <w:rFonts w:ascii="Times New Roman" w:hAnsi="Times New Roman"/>
                <w:sz w:val="18"/>
              </w:rPr>
              <w:t>H5' ~ B2 ~ 0 under the fair baseline, three seeds</w:t>
            </w:r>
          </w:p>
        </w:tc>
      </w:tr>
    </w:tbl>
    <w:p>
      <w:pPr>
        <w:spacing w:after="0"/>
      </w:pPr>
    </w:p>
    <w:p>
      <w:pPr>
        <w:pStyle w:val="Heading2"/>
      </w:pPr>
      <w:r>
        <w:rPr>
          <w:rFonts w:ascii="Times New Roman" w:hAnsi="Times New Roman"/>
          <w:sz w:val="24"/>
        </w:rPr>
        <w:t>5.4 Mitigation Results</w:t>
      </w:r>
    </w:p>
    <w:p>
      <w:pPr>
        <w:spacing w:line="276" w:lineRule="auto" w:after="120"/>
        <w:jc w:val="both"/>
      </w:pPr>
      <w:r>
        <w:rPr>
          <w:rFonts w:ascii="Times New Roman" w:hAnsi="Times New Roman"/>
          <w:sz w:val="24"/>
        </w:rPr>
        <w:t>Two mitigations were tested: training with degraded telemetry and using a separate explanation head.</w:t>
      </w:r>
    </w:p>
    <w:p>
      <w:pPr>
        <w:spacing w:line="276" w:lineRule="auto" w:after="120"/>
        <w:jc w:val="both"/>
      </w:pPr>
      <w:r>
        <w:rPr>
          <w:rFonts w:ascii="Times New Roman" w:hAnsi="Times New Roman"/>
          <w:b/>
          <w:sz w:val="24"/>
        </w:rPr>
        <w:t>Degradation-aware training (H5').</w:t>
      </w:r>
      <w:r>
        <w:rPr>
          <w:rFonts w:ascii="Times New Roman" w:hAnsi="Times New Roman"/>
          <w:sz w:val="24"/>
        </w:rPr>
        <w:t xml:space="preserve"> B2's exact configuration retrained with tunnel-freeze degradation active reaches 7.80 +/- 1.33 pickups on clean test demand, so degraded training costs nothing in performance. Under the uniform baseline it appeared </w:t>
      </w:r>
      <w:r>
        <w:rPr>
          <w:rFonts w:ascii="Times New Roman" w:hAnsi="Times New Roman"/>
          <w:i/>
          <w:sz w:val="24"/>
        </w:rPr>
        <w:t>worse</w:t>
      </w:r>
      <w:r>
        <w:rPr>
          <w:rFonts w:ascii="Times New Roman" w:hAnsi="Times New Roman"/>
          <w:sz w:val="24"/>
        </w:rPr>
        <w:t xml:space="preserve"> than B2 at every level (-0.77 versus -0.54), which was originally reported as evidence that degraded training harms interpretability. Under the type-matched baseline that finding disappears: H5' sits at approximately zero across three training seeds (+0.02, -0.01, +0.01 in Table 5.3), which is similar to B2. The earlier negative result came from the unfair baseline. The supported conclusion is that </w:t>
      </w:r>
      <w:r>
        <w:rPr>
          <w:rFonts w:ascii="Times New Roman" w:hAnsi="Times New Roman"/>
          <w:b/>
          <w:sz w:val="24"/>
        </w:rPr>
        <w:t>degradation-aware training has no detectable effect on explanation faithfulness.</w:t>
      </w:r>
    </w:p>
    <w:p>
      <w:pPr>
        <w:spacing w:line="276" w:lineRule="auto" w:after="120"/>
        <w:jc w:val="both"/>
      </w:pPr>
      <w:r>
        <w:rPr>
          <w:rFonts w:ascii="Times New Roman" w:hAnsi="Times New Roman"/>
          <w:b/>
          <w:sz w:val="24"/>
        </w:rPr>
        <w:t>Decoupled explanation head.</w:t>
      </w:r>
      <w:r>
        <w:rPr>
          <w:rFonts w:ascii="Times New Roman" w:hAnsi="Times New Roman"/>
          <w:sz w:val="24"/>
        </w:rPr>
        <w:t xml:space="preserve"> An occlusion-distilled explainer trained directly to predict occlusion effects (validation Spearman +0.60) was compared against coupled attention, paired per decision. Under the uniform baseline it appeared to gain +0.107 on clean telemetry and +0.113 under tunnel degradation. Under the type-matched baseline, roughly 80 % of that advantage disappears. The remaining clean-data gain is small: the decoupled head scores +0.010 against coupled attention's -0.013, a paired gain of +0.023 (n = 983, p &lt;= 1e-4), and it is the </w:t>
      </w:r>
      <w:r>
        <w:rPr>
          <w:rFonts w:ascii="Times New Roman" w:hAnsi="Times New Roman"/>
          <w:b/>
          <w:sz w:val="24"/>
        </w:rPr>
        <w:t>only channel tested that scores above the fair random baseline</w:t>
      </w:r>
      <w:r>
        <w:rPr>
          <w:rFonts w:ascii="Times New Roman" w:hAnsi="Times New Roman"/>
          <w:sz w:val="24"/>
        </w:rPr>
        <w:t>. Under tunnel degradation at max-AoI 60 s the gain falls to +0.005 and is not detectable (n = 878, p = 0.21).</w:t>
      </w:r>
    </w:p>
    <w:p>
      <w:pPr>
        <w:keepNext/>
        <w:spacing w:before="120" w:after="40"/>
        <w:jc w:val="center"/>
      </w:pPr>
      <w:r>
        <w:drawing>
          <wp:inline xmlns:a="http://schemas.openxmlformats.org/drawingml/2006/main" xmlns:pic="http://schemas.openxmlformats.org/drawingml/2006/picture">
            <wp:extent cx="5623560" cy="3414304"/>
            <wp:docPr id="11" name="Picture 11"/>
            <wp:cNvGraphicFramePr>
              <a:graphicFrameLocks noChangeAspect="1"/>
            </wp:cNvGraphicFramePr>
            <a:graphic>
              <a:graphicData uri="http://schemas.openxmlformats.org/drawingml/2006/picture">
                <pic:pic>
                  <pic:nvPicPr>
                    <pic:cNvPr id="0" name="story_act3b_coupled_vs_decoupled.png"/>
                    <pic:cNvPicPr/>
                  </pic:nvPicPr>
                  <pic:blipFill>
                    <a:blip r:embed="rId29"/>
                    <a:stretch>
                      <a:fillRect/>
                    </a:stretch>
                  </pic:blipFill>
                  <pic:spPr>
                    <a:xfrm>
                      <a:off x="0" y="0"/>
                      <a:ext cx="5623560" cy="3414304"/>
                    </a:xfrm>
                    <a:prstGeom prst="rect"/>
                  </pic:spPr>
                </pic:pic>
              </a:graphicData>
            </a:graphic>
          </wp:inline>
        </w:drawing>
      </w:r>
    </w:p>
    <w:p>
      <w:pPr>
        <w:pStyle w:val="DMUCaption"/>
        <w:keepLines/>
      </w:pPr>
      <w:r>
        <w:rPr>
          <w:rFonts w:ascii="Times New Roman" w:hAnsi="Times New Roman"/>
          <w:sz w:val="20"/>
        </w:rPr>
        <w:t>Figure 5.5: Coupled vs decoupled explanation. Training an explanation head</w:t>
      </w:r>
    </w:p>
    <w:p>
      <w:pPr>
        <w:spacing w:line="276" w:lineRule="auto" w:after="120"/>
        <w:jc w:val="both"/>
      </w:pPr>
      <w:r>
        <w:rPr>
          <w:rFonts w:ascii="Times New Roman" w:hAnsi="Times New Roman"/>
          <w:sz w:val="24"/>
        </w:rPr>
        <w:t>directly helps on clean telemetry, but the improvement is small and does not survive degradation.</w:t>
      </w:r>
    </w:p>
    <w:p>
      <w:pPr>
        <w:pStyle w:val="DMUCaption"/>
        <w:keepNext/>
        <w:jc w:val="center"/>
      </w:pPr>
      <w:r>
        <w:rPr>
          <w:rFonts w:ascii="Times New Roman" w:hAnsi="Times New Roman"/>
          <w:sz w:val="20"/>
        </w:rPr>
        <w:t>Table 5.7: Mitigation Results (type-matched baseline)</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505"/>
        <w:gridCol w:w="1505"/>
        <w:gridCol w:w="1505"/>
        <w:gridCol w:w="1505"/>
        <w:gridCol w:w="1505"/>
        <w:gridCol w:w="1505"/>
      </w:tblGrid>
      <w:tr>
        <w:trPr>
          <w:cantSplit/>
          <w:tblHeader w:val="true"/>
        </w:trPr>
        <w:tc>
          <w:tcPr>
            <w:tcW w:type="dxa" w:w="3339"/>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Condition</w:t>
            </w:r>
          </w:p>
        </w:tc>
        <w:tc>
          <w:tcPr>
            <w:tcW w:type="dxa" w:w="1534"/>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Coupled attention</w:t>
            </w:r>
          </w:p>
        </w:tc>
        <w:tc>
          <w:tcPr>
            <w:tcW w:type="dxa" w:w="1534"/>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Mitigated channel</w:t>
            </w:r>
          </w:p>
        </w:tc>
        <w:tc>
          <w:tcPr>
            <w:tcW w:type="dxa" w:w="850"/>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Delta</w:t>
            </w:r>
          </w:p>
        </w:tc>
        <w:tc>
          <w:tcPr>
            <w:tcW w:type="dxa" w:w="850"/>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n</w:t>
            </w:r>
          </w:p>
        </w:tc>
        <w:tc>
          <w:tcPr>
            <w:tcW w:type="dxa" w:w="850"/>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6"/>
              </w:rPr>
              <w:t>p</w:t>
            </w:r>
          </w:p>
        </w:tc>
      </w:tr>
      <w:tr>
        <w:trPr>
          <w:cantSplit/>
        </w:trPr>
        <w:tc>
          <w:tcPr>
            <w:tcW w:type="dxa" w:w="3339"/>
            <w:vAlign w:val="center"/>
            <w:tcMar>
              <w:top w:w="70" w:type="dxa"/>
              <w:start w:w="90" w:type="dxa"/>
              <w:bottom w:w="70" w:type="dxa"/>
              <w:end w:w="90" w:type="dxa"/>
            </w:tcMar>
          </w:tcPr>
          <w:p>
            <w:pPr>
              <w:spacing w:after="0" w:line="240" w:lineRule="auto"/>
              <w:jc w:val="left"/>
            </w:pPr>
            <w:r>
              <w:rPr>
                <w:rFonts w:ascii="Times New Roman" w:hAnsi="Times New Roman"/>
                <w:sz w:val="16"/>
              </w:rPr>
              <w:t>H5' degradation-aware training, clean</w:t>
            </w:r>
          </w:p>
        </w:tc>
        <w:tc>
          <w:tcPr>
            <w:tcW w:type="dxa" w:w="1534"/>
            <w:vAlign w:val="center"/>
            <w:tcMar>
              <w:top w:w="70" w:type="dxa"/>
              <w:start w:w="90" w:type="dxa"/>
              <w:bottom w:w="70" w:type="dxa"/>
              <w:end w:w="90" w:type="dxa"/>
            </w:tcMar>
          </w:tcPr>
          <w:p>
            <w:pPr>
              <w:spacing w:after="0" w:line="240" w:lineRule="auto"/>
              <w:jc w:val="left"/>
            </w:pPr>
            <w:r>
              <w:rPr>
                <w:rFonts w:ascii="Times New Roman" w:hAnsi="Times New Roman"/>
                <w:sz w:val="16"/>
              </w:rPr>
              <w:t>~0</w:t>
            </w:r>
          </w:p>
        </w:tc>
        <w:tc>
          <w:tcPr>
            <w:tcW w:type="dxa" w:w="1534"/>
            <w:vAlign w:val="center"/>
            <w:tcMar>
              <w:top w:w="70" w:type="dxa"/>
              <w:start w:w="90" w:type="dxa"/>
              <w:bottom w:w="70" w:type="dxa"/>
              <w:end w:w="90" w:type="dxa"/>
            </w:tcMar>
          </w:tcPr>
          <w:p>
            <w:pPr>
              <w:spacing w:after="0" w:line="240" w:lineRule="auto"/>
              <w:jc w:val="left"/>
            </w:pPr>
            <w:r>
              <w:rPr>
                <w:rFonts w:ascii="Times New Roman" w:hAnsi="Times New Roman"/>
                <w:sz w:val="16"/>
              </w:rPr>
              <w:t>~0</w:t>
            </w:r>
          </w:p>
        </w:tc>
        <w:tc>
          <w:tcPr>
            <w:tcW w:type="dxa" w:w="850"/>
            <w:vAlign w:val="center"/>
            <w:tcMar>
              <w:top w:w="70" w:type="dxa"/>
              <w:start w:w="90" w:type="dxa"/>
              <w:bottom w:w="70" w:type="dxa"/>
              <w:end w:w="90" w:type="dxa"/>
            </w:tcMar>
          </w:tcPr>
          <w:p>
            <w:pPr>
              <w:spacing w:after="0" w:line="240" w:lineRule="auto"/>
              <w:jc w:val="left"/>
            </w:pPr>
            <w:r>
              <w:rPr>
                <w:rFonts w:ascii="Times New Roman" w:hAnsi="Times New Roman"/>
                <w:sz w:val="16"/>
              </w:rPr>
              <w:t>~0</w:t>
            </w:r>
          </w:p>
        </w:tc>
        <w:tc>
          <w:tcPr>
            <w:tcW w:type="dxa" w:w="850"/>
            <w:vAlign w:val="center"/>
            <w:tcMar>
              <w:top w:w="70" w:type="dxa"/>
              <w:start w:w="90" w:type="dxa"/>
              <w:bottom w:w="70" w:type="dxa"/>
              <w:end w:w="90" w:type="dxa"/>
            </w:tcMar>
          </w:tcPr>
          <w:p>
            <w:pPr>
              <w:spacing w:after="0" w:line="240" w:lineRule="auto"/>
              <w:jc w:val="left"/>
            </w:pPr>
            <w:r>
              <w:rPr>
                <w:rFonts w:ascii="Times New Roman" w:hAnsi="Times New Roman"/>
                <w:sz w:val="16"/>
              </w:rPr>
              <w:t>3 seeds</w:t>
            </w:r>
          </w:p>
        </w:tc>
        <w:tc>
          <w:tcPr>
            <w:tcW w:type="dxa" w:w="850"/>
            <w:vAlign w:val="center"/>
            <w:tcMar>
              <w:top w:w="70" w:type="dxa"/>
              <w:start w:w="90" w:type="dxa"/>
              <w:bottom w:w="70" w:type="dxa"/>
              <w:end w:w="90" w:type="dxa"/>
            </w:tcMar>
          </w:tcPr>
          <w:p>
            <w:pPr>
              <w:spacing w:after="0" w:line="240" w:lineRule="auto"/>
              <w:jc w:val="left"/>
            </w:pPr>
            <w:r>
              <w:rPr>
                <w:rFonts w:ascii="Times New Roman" w:hAnsi="Times New Roman"/>
                <w:sz w:val="16"/>
              </w:rPr>
              <w:t>no effect</w:t>
            </w:r>
          </w:p>
        </w:tc>
      </w:tr>
      <w:tr>
        <w:trPr>
          <w:cantSplit/>
        </w:trPr>
        <w:tc>
          <w:tcPr>
            <w:tcW w:type="dxa" w:w="3339"/>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Decoupled head, clean</w:t>
            </w:r>
          </w:p>
        </w:tc>
        <w:tc>
          <w:tcPr>
            <w:tcW w:type="dxa" w:w="1534"/>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-0.013</w:t>
            </w:r>
          </w:p>
        </w:tc>
        <w:tc>
          <w:tcPr>
            <w:tcW w:type="dxa" w:w="1534"/>
            <w:vAlign w:val="center"/>
            <w:tcMar>
              <w:top w:w="70" w:type="dxa"/>
              <w:start w:w="90" w:type="dxa"/>
              <w:bottom w:w="70" w:type="dxa"/>
              <w:end w:w="90" w:type="dxa"/>
            </w:tcMar>
            <w:shd w:fill="FAFAFA"/>
          </w:tcPr>
          <w:p>
            <w:pPr>
              <w:spacing w:after="0" w:line="240" w:lineRule="auto"/>
              <w:jc w:val="left"/>
            </w:pPr>
            <w:r>
              <w:rPr>
                <w:rFonts w:ascii="Times New Roman" w:hAnsi="Times New Roman"/>
                <w:b/>
                <w:sz w:val="16"/>
              </w:rPr>
              <w:t>+0.010</w:t>
            </w:r>
          </w:p>
        </w:tc>
        <w:tc>
          <w:tcPr>
            <w:tcW w:type="dxa" w:w="850"/>
            <w:vAlign w:val="center"/>
            <w:tcMar>
              <w:top w:w="70" w:type="dxa"/>
              <w:start w:w="90" w:type="dxa"/>
              <w:bottom w:w="70" w:type="dxa"/>
              <w:end w:w="90" w:type="dxa"/>
            </w:tcMar>
            <w:shd w:fill="FAFAFA"/>
          </w:tcPr>
          <w:p>
            <w:pPr>
              <w:spacing w:after="0" w:line="240" w:lineRule="auto"/>
              <w:jc w:val="left"/>
            </w:pPr>
            <w:r>
              <w:rPr>
                <w:rFonts w:ascii="Times New Roman" w:hAnsi="Times New Roman"/>
                <w:b/>
                <w:sz w:val="16"/>
              </w:rPr>
              <w:t>+0.023</w:t>
            </w:r>
          </w:p>
        </w:tc>
        <w:tc>
          <w:tcPr>
            <w:tcW w:type="dxa" w:w="850"/>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983</w:t>
            </w:r>
          </w:p>
        </w:tc>
        <w:tc>
          <w:tcPr>
            <w:tcW w:type="dxa" w:w="850"/>
            <w:vAlign w:val="center"/>
            <w:tcMar>
              <w:top w:w="70" w:type="dxa"/>
              <w:start w:w="90" w:type="dxa"/>
              <w:bottom w:w="70" w:type="dxa"/>
              <w:end w:w="90" w:type="dxa"/>
            </w:tcMar>
            <w:shd w:fill="FAFAFA"/>
          </w:tcPr>
          <w:p>
            <w:pPr>
              <w:spacing w:after="0" w:line="240" w:lineRule="auto"/>
              <w:jc w:val="left"/>
            </w:pPr>
            <w:r>
              <w:rPr>
                <w:rFonts w:ascii="Times New Roman" w:hAnsi="Times New Roman"/>
                <w:sz w:val="16"/>
              </w:rPr>
              <w:t>&lt;= 1e-4</w:t>
            </w:r>
          </w:p>
        </w:tc>
      </w:tr>
      <w:tr>
        <w:trPr>
          <w:cantSplit/>
        </w:trPr>
        <w:tc>
          <w:tcPr>
            <w:tcW w:type="dxa" w:w="3339"/>
            <w:vAlign w:val="center"/>
            <w:tcMar>
              <w:top w:w="70" w:type="dxa"/>
              <w:start w:w="90" w:type="dxa"/>
              <w:bottom w:w="70" w:type="dxa"/>
              <w:end w:w="90" w:type="dxa"/>
            </w:tcMar>
          </w:tcPr>
          <w:p>
            <w:pPr>
              <w:spacing w:after="0" w:line="240" w:lineRule="auto"/>
              <w:jc w:val="left"/>
            </w:pPr>
            <w:r>
              <w:rPr>
                <w:rFonts w:ascii="Times New Roman" w:hAnsi="Times New Roman"/>
                <w:sz w:val="16"/>
              </w:rPr>
              <w:t>Decoupled head, tunnel 60 s</w:t>
            </w:r>
          </w:p>
        </w:tc>
        <w:tc>
          <w:tcPr>
            <w:tcW w:type="dxa" w:w="1534"/>
            <w:vAlign w:val="center"/>
            <w:tcMar>
              <w:top w:w="70" w:type="dxa"/>
              <w:start w:w="90" w:type="dxa"/>
              <w:bottom w:w="70" w:type="dxa"/>
              <w:end w:w="90" w:type="dxa"/>
            </w:tcMar>
          </w:tcPr>
          <w:p>
            <w:pPr>
              <w:spacing w:after="0" w:line="240" w:lineRule="auto"/>
              <w:jc w:val="left"/>
            </w:pPr>
            <w:r>
              <w:rPr>
                <w:rFonts w:ascii="Times New Roman" w:hAnsi="Times New Roman"/>
                <w:sz w:val="16"/>
              </w:rPr>
              <w:t>-0.006</w:t>
            </w:r>
          </w:p>
        </w:tc>
        <w:tc>
          <w:tcPr>
            <w:tcW w:type="dxa" w:w="1534"/>
            <w:vAlign w:val="center"/>
            <w:tcMar>
              <w:top w:w="70" w:type="dxa"/>
              <w:start w:w="90" w:type="dxa"/>
              <w:bottom w:w="70" w:type="dxa"/>
              <w:end w:w="90" w:type="dxa"/>
            </w:tcMar>
          </w:tcPr>
          <w:p>
            <w:pPr>
              <w:spacing w:after="0" w:line="240" w:lineRule="auto"/>
              <w:jc w:val="left"/>
            </w:pPr>
            <w:r>
              <w:rPr>
                <w:rFonts w:ascii="Times New Roman" w:hAnsi="Times New Roman"/>
                <w:sz w:val="16"/>
              </w:rPr>
              <w:t>-0.000</w:t>
            </w:r>
          </w:p>
        </w:tc>
        <w:tc>
          <w:tcPr>
            <w:tcW w:type="dxa" w:w="850"/>
            <w:vAlign w:val="center"/>
            <w:tcMar>
              <w:top w:w="70" w:type="dxa"/>
              <w:start w:w="90" w:type="dxa"/>
              <w:bottom w:w="70" w:type="dxa"/>
              <w:end w:w="90" w:type="dxa"/>
            </w:tcMar>
          </w:tcPr>
          <w:p>
            <w:pPr>
              <w:spacing w:after="0" w:line="240" w:lineRule="auto"/>
              <w:jc w:val="left"/>
            </w:pPr>
            <w:r>
              <w:rPr>
                <w:rFonts w:ascii="Times New Roman" w:hAnsi="Times New Roman"/>
                <w:sz w:val="16"/>
              </w:rPr>
              <w:t>+0.005</w:t>
            </w:r>
          </w:p>
        </w:tc>
        <w:tc>
          <w:tcPr>
            <w:tcW w:type="dxa" w:w="850"/>
            <w:vAlign w:val="center"/>
            <w:tcMar>
              <w:top w:w="70" w:type="dxa"/>
              <w:start w:w="90" w:type="dxa"/>
              <w:bottom w:w="70" w:type="dxa"/>
              <w:end w:w="90" w:type="dxa"/>
            </w:tcMar>
          </w:tcPr>
          <w:p>
            <w:pPr>
              <w:spacing w:after="0" w:line="240" w:lineRule="auto"/>
              <w:jc w:val="left"/>
            </w:pPr>
            <w:r>
              <w:rPr>
                <w:rFonts w:ascii="Times New Roman" w:hAnsi="Times New Roman"/>
                <w:sz w:val="16"/>
              </w:rPr>
              <w:t>878</w:t>
            </w:r>
          </w:p>
        </w:tc>
        <w:tc>
          <w:tcPr>
            <w:tcW w:type="dxa" w:w="850"/>
            <w:vAlign w:val="center"/>
            <w:tcMar>
              <w:top w:w="70" w:type="dxa"/>
              <w:start w:w="90" w:type="dxa"/>
              <w:bottom w:w="70" w:type="dxa"/>
              <w:end w:w="90" w:type="dxa"/>
            </w:tcMar>
          </w:tcPr>
          <w:p>
            <w:pPr>
              <w:spacing w:after="0" w:line="240" w:lineRule="auto"/>
              <w:jc w:val="left"/>
            </w:pPr>
            <w:r>
              <w:rPr>
                <w:rFonts w:ascii="Times New Roman" w:hAnsi="Times New Roman"/>
                <w:sz w:val="16"/>
              </w:rPr>
              <w:t>0.21</w:t>
            </w:r>
          </w:p>
        </w:tc>
      </w:tr>
    </w:tbl>
    <w:p>
      <w:pPr>
        <w:spacing w:after="0"/>
      </w:pPr>
    </w:p>
    <w:p>
      <w:pPr>
        <w:spacing w:line="276" w:lineRule="auto" w:after="120"/>
        <w:jc w:val="both"/>
      </w:pPr>
      <w:r>
        <w:rPr>
          <w:rFonts w:ascii="Times New Roman" w:hAnsi="Times New Roman"/>
          <w:sz w:val="24"/>
        </w:rPr>
        <w:t>The uniform baseline gave gains of +0.107 on clean data and +0.113 in the tunnel condition. These values are about five times larger than the corrected effect and should not be used to judge the mitigation.</w:t>
      </w:r>
    </w:p>
    <w:p>
      <w:pPr>
        <w:pStyle w:val="Heading2"/>
      </w:pPr>
      <w:r>
        <w:rPr>
          <w:rFonts w:ascii="Times New Roman" w:hAnsi="Times New Roman"/>
          <w:sz w:val="24"/>
        </w:rPr>
        <w:t>5.5 Discussion</w:t>
      </w:r>
    </w:p>
    <w:p>
      <w:pPr>
        <w:spacing w:line="276" w:lineRule="auto" w:after="120"/>
        <w:jc w:val="both"/>
      </w:pPr>
      <w:r>
        <w:rPr>
          <w:rFonts w:ascii="Times New Roman" w:hAnsi="Times New Roman"/>
          <w:sz w:val="24"/>
        </w:rPr>
        <w:t>The three research questions lead to one coherent interpretation. Built-in attention is not a faithful clean-data explanation, stale telemetry changes the content of that explanation without changing the aggregate warning signals, and neither tested mitigation restores meaningful faithfulness under degradation. The measurement audit is important because it establishes which parts of that interpretation survive a fair comparison.</w:t>
      </w:r>
    </w:p>
    <w:p>
      <w:pPr>
        <w:pStyle w:val="Heading3"/>
      </w:pPr>
      <w:r>
        <w:rPr>
          <w:rFonts w:ascii="Times New Roman" w:hAnsi="Times New Roman"/>
          <w:sz w:val="24"/>
        </w:rPr>
        <w:t>5.5.1 Metric Validation</w:t>
      </w:r>
    </w:p>
    <w:p>
      <w:pPr>
        <w:spacing w:line="276" w:lineRule="auto" w:after="120"/>
        <w:jc w:val="both"/>
      </w:pPr>
      <w:r>
        <w:rPr>
          <w:rFonts w:ascii="Times New Roman" w:hAnsi="Times New Roman"/>
          <w:sz w:val="24"/>
        </w:rPr>
        <w:t>A perturbation test is valid only when both sides change evidence in the same way. If removing a node also removes an action, the policy is solving a different decision problem. Explanation-selected and random nodes can then be compared only when they remove the same kinds of entities.</w:t>
      </w:r>
    </w:p>
    <w:p>
      <w:pPr>
        <w:spacing w:line="276" w:lineRule="auto" w:after="120"/>
        <w:jc w:val="both"/>
      </w:pPr>
      <w:r>
        <w:rPr>
          <w:rFonts w:ascii="Times New Roman" w:hAnsi="Times New Roman"/>
          <w:sz w:val="24"/>
        </w:rPr>
        <w:t>Three practical consequences follow.</w:t>
      </w:r>
    </w:p>
    <w:p>
      <w:pPr>
        <w:spacing w:line="276" w:lineRule="auto" w:after="120"/>
        <w:jc w:val="both"/>
      </w:pPr>
      <w:r>
        <w:rPr>
          <w:rFonts w:ascii="Times New Roman" w:hAnsi="Times New Roman"/>
          <w:sz w:val="24"/>
        </w:rPr>
        <w:t xml:space="preserve">First, </w:t>
      </w:r>
      <w:r>
        <w:rPr>
          <w:rFonts w:ascii="Times New Roman" w:hAnsi="Times New Roman"/>
          <w:b/>
          <w:sz w:val="24"/>
        </w:rPr>
        <w:t>the random baseline must match the relevant structure</w:t>
      </w:r>
      <w:r>
        <w:rPr>
          <w:rFonts w:ascii="Times New Roman" w:hAnsi="Times New Roman"/>
          <w:sz w:val="24"/>
        </w:rPr>
        <w:t>. Here, it must match node type. Matching only the number of removed nodes is not enough.</w:t>
      </w:r>
    </w:p>
    <w:p>
      <w:pPr>
        <w:spacing w:line="276" w:lineRule="auto" w:after="120"/>
        <w:jc w:val="both"/>
      </w:pPr>
      <w:r>
        <w:rPr>
          <w:rFonts w:ascii="Times New Roman" w:hAnsi="Times New Roman"/>
          <w:sz w:val="24"/>
        </w:rPr>
        <w:t xml:space="preserve">Second, </w:t>
      </w:r>
      <w:r>
        <w:rPr>
          <w:rFonts w:ascii="Times New Roman" w:hAnsi="Times New Roman"/>
          <w:b/>
          <w:sz w:val="24"/>
        </w:rPr>
        <w:t>the evaluation should report how often occlusion makes a score undefined.</w:t>
      </w:r>
      <w:r>
        <w:rPr>
          <w:rFonts w:ascii="Times New Roman" w:hAnsi="Times New Roman"/>
          <w:sz w:val="24"/>
        </w:rPr>
        <w:t xml:space="preserve"> The 14.8 % versus 2.2 % clamp rates revealed the problem. A single average faithfulness score did not.</w:t>
      </w:r>
    </w:p>
    <w:p>
      <w:pPr>
        <w:spacing w:line="276" w:lineRule="auto" w:after="120"/>
        <w:jc w:val="both"/>
      </w:pPr>
      <w:r>
        <w:rPr>
          <w:rFonts w:ascii="Times New Roman" w:hAnsi="Times New Roman"/>
          <w:sz w:val="24"/>
        </w:rPr>
        <w:t xml:space="preserve">Third, </w:t>
      </w:r>
      <w:r>
        <w:rPr>
          <w:rFonts w:ascii="Times New Roman" w:hAnsi="Times New Roman"/>
          <w:b/>
          <w:sz w:val="24"/>
        </w:rPr>
        <w:t>the metric should be checked across several policies.</w:t>
      </w:r>
      <w:r>
        <w:rPr>
          <w:rFonts w:ascii="Times New Roman" w:hAnsi="Times New Roman"/>
          <w:sz w:val="24"/>
        </w:rPr>
        <w:t xml:space="preserve"> Across seven checkpoints, the uniform score ranged from -1.35 to +1.78 even though the corrected scores were near zero. Testing only one checkpoint would have hidden this instability.</w:t>
      </w:r>
    </w:p>
    <w:p>
      <w:pPr>
        <w:spacing w:line="276" w:lineRule="auto" w:after="120"/>
        <w:jc w:val="both"/>
      </w:pPr>
      <w:r>
        <w:rPr>
          <w:rFonts w:ascii="Times New Roman" w:hAnsi="Times New Roman"/>
          <w:sz w:val="24"/>
        </w:rPr>
        <w:t>The problem can affect any model that chooses among entities in its input. Examples include pointer networks, retrieval rankers, and matching or scheduling policies. Graph explainers (Ying et al., 2019; Luo et al., 2020; Yuan et al., 2023) face the same risk when they are evaluated by removing nodes that also define available actions.</w:t>
      </w:r>
    </w:p>
    <w:p>
      <w:pPr>
        <w:pStyle w:val="Heading3"/>
      </w:pPr>
      <w:r>
        <w:rPr>
          <w:rFonts w:ascii="Times New Roman" w:hAnsi="Times New Roman"/>
          <w:sz w:val="24"/>
        </w:rPr>
        <w:t>5.5.2 Interpreting Faithfulness Decoupling</w:t>
      </w:r>
    </w:p>
    <w:p>
      <w:pPr>
        <w:spacing w:line="276" w:lineRule="auto" w:after="120"/>
        <w:jc w:val="both"/>
      </w:pPr>
      <w:r>
        <w:rPr>
          <w:rFonts w:ascii="Times New Roman" w:hAnsi="Times New Roman"/>
          <w:sz w:val="24"/>
        </w:rPr>
        <w:t>The degradation result is specific. Aggregate faithfulness does not clearly fall. Instead, the explanation shifts toward stale data while pickups and aggregate margin-DEF remain broadly flat. When a stale vehicle node is visible, it receives about one seventh of vehicle-node attention. Decisions with a larger stale-attention share are also less faithful.</w:t>
      </w:r>
    </w:p>
    <w:p>
      <w:pPr>
        <w:spacing w:line="276" w:lineRule="auto" w:after="120"/>
        <w:jc w:val="both"/>
      </w:pPr>
      <w:r>
        <w:rPr>
          <w:rFonts w:ascii="Times New Roman" w:hAnsi="Times New Roman"/>
          <w:sz w:val="24"/>
        </w:rPr>
        <w:t xml:space="preserve">This matters because an operator watching task performance or aggregate faithfulness would see no warning. WAMSN detects the change because it measures </w:t>
      </w:r>
      <w:r>
        <w:rPr>
          <w:rFonts w:ascii="Times New Roman" w:hAnsi="Times New Roman"/>
          <w:i/>
          <w:sz w:val="24"/>
        </w:rPr>
        <w:t>what the explanation uses</w:t>
      </w:r>
      <w:r>
        <w:rPr>
          <w:rFonts w:ascii="Times New Roman" w:hAnsi="Times New Roman"/>
          <w:sz w:val="24"/>
        </w:rPr>
        <w:t>, not only how well the explanation scores. A practical monitoring system should therefore report both explanation quality and explanation content.</w:t>
      </w:r>
    </w:p>
    <w:p>
      <w:pPr>
        <w:spacing w:line="276" w:lineRule="auto" w:after="120"/>
        <w:jc w:val="both"/>
      </w:pPr>
      <w:r>
        <w:rPr>
          <w:rFonts w:ascii="Times New Roman" w:hAnsi="Times New Roman"/>
          <w:sz w:val="24"/>
        </w:rPr>
        <w:t>In this dissertation, "faithfulness decoupling" means that explanation content moves toward stale data while performance and aggregate faithfulness remain stable. It does not mean that higher AoI was shown to cause a steady fall in faithfulness.</w:t>
      </w:r>
    </w:p>
    <w:p>
      <w:pPr>
        <w:pStyle w:val="Heading3"/>
      </w:pPr>
      <w:r>
        <w:rPr>
          <w:rFonts w:ascii="Times New Roman" w:hAnsi="Times New Roman"/>
          <w:sz w:val="24"/>
        </w:rPr>
        <w:t>5.5.3 Learning from Negative Results</w:t>
      </w:r>
    </w:p>
    <w:p>
      <w:pPr>
        <w:spacing w:line="276" w:lineRule="auto" w:after="120"/>
        <w:jc w:val="both"/>
      </w:pPr>
      <w:r>
        <w:rPr>
          <w:rFonts w:ascii="Times New Roman" w:hAnsi="Times New Roman"/>
          <w:sz w:val="24"/>
        </w:rPr>
        <w:t>Two post-hoc checks found limits in the original experiment design.</w:t>
      </w:r>
    </w:p>
    <w:p>
      <w:pPr>
        <w:spacing w:line="276" w:lineRule="auto" w:after="120"/>
        <w:jc w:val="both"/>
      </w:pPr>
      <w:r>
        <w:rPr>
          <w:rFonts w:ascii="Times New Roman" w:hAnsi="Times New Roman"/>
          <w:sz w:val="24"/>
        </w:rPr>
        <w:t>First, the severity ladder did not create different realised AoI levels. The 60 s input cap also became the measurement cap, while tunnel travel time dominated the lower settings. Future work should check realised severity before running the full sweep.</w:t>
      </w:r>
    </w:p>
    <w:p>
      <w:pPr>
        <w:spacing w:line="276" w:lineRule="auto" w:after="120"/>
        <w:jc w:val="both"/>
      </w:pPr>
      <w:r>
        <w:rPr>
          <w:rFonts w:ascii="Times New Roman" w:hAnsi="Times New Roman"/>
          <w:sz w:val="24"/>
        </w:rPr>
        <w:t>Second, H4 is about three times larger with probability-DEF than with the primary margin-DEF metric. Both are now reported and clearly labelled. Their difference shows that policy saturation affects the measured effect size.</w:t>
      </w:r>
    </w:p>
    <w:p>
      <w:pPr>
        <w:pStyle w:val="Heading1"/>
        <w:pageBreakBefore/>
      </w:pPr>
      <w:r>
        <w:rPr>
          <w:rFonts w:ascii="Times New Roman" w:hAnsi="Times New Roman"/>
          <w:sz w:val="28"/>
        </w:rPr>
        <w:t>Chapter 6: Conclusion</w:t>
      </w:r>
    </w:p>
    <w:p>
      <w:pPr>
        <w:pStyle w:val="Heading2"/>
      </w:pPr>
      <w:r>
        <w:rPr>
          <w:rFonts w:ascii="Times New Roman" w:hAnsi="Times New Roman"/>
          <w:sz w:val="24"/>
        </w:rPr>
        <w:t>6.1 Summary of Findings and Contributions</w:t>
      </w:r>
    </w:p>
    <w:p>
      <w:pPr>
        <w:spacing w:line="276" w:lineRule="auto" w:after="120"/>
        <w:jc w:val="both"/>
      </w:pPr>
      <w:r>
        <w:rPr>
          <w:rFonts w:ascii="Times New Roman" w:hAnsi="Times New Roman"/>
          <w:sz w:val="24"/>
        </w:rPr>
        <w:t>This study asked whether graph-attention explanations remain trustworthy when fleet telemetry becomes stale. The main finding is that degradation changes what the explanation attends to without producing a clear warning elsewhere. Attention shifts onto stale vehicle nodes, receiving about one seventh of vehicle-node attention when such a node is visible, while pickups and aggregate faithfulness remain broadly flat. Within episodes, decisions with more stale-node attention are less faithful. This is the form of faithfulness decoupling supported by the experiment: explanation content moves toward outdated information even though the usual summary signals appear stable.</w:t>
      </w:r>
    </w:p>
    <w:p>
      <w:pPr>
        <w:spacing w:line="276" w:lineRule="auto" w:after="120"/>
        <w:jc w:val="both"/>
      </w:pPr>
      <w:r>
        <w:rPr>
          <w:rFonts w:ascii="Times New Roman" w:hAnsi="Times New Roman"/>
          <w:sz w:val="24"/>
        </w:rPr>
        <w:t>Interpreting that result required an audit of the faithfulness measurement. The standard random occlusion baseline often removed passenger requests and therefore removed available actions, whereas the attention explanation more often selected vehicle context. That unfair comparison produced a clean margin-DEF score of -0.541. Matching the random baseline to the same mixture of vehicle and request nodes changed the score to -0.009, showing that built-in attention is approximately uninformative rather than actively worse than random. The correction remains stable across the tested capability range and prevents the measurement artifact from being mistaken for a telemetry effect.</w:t>
      </w:r>
    </w:p>
    <w:p>
      <w:pPr>
        <w:spacing w:line="276" w:lineRule="auto" w:after="120"/>
        <w:jc w:val="both"/>
      </w:pPr>
      <w:r>
        <w:rPr>
          <w:rFonts w:ascii="Times New Roman" w:hAnsi="Times New Roman"/>
          <w:sz w:val="24"/>
        </w:rPr>
        <w:t>Neither tested mitigation solves the problem. Degradation-aware training has no detectable effect on explanation faithfulness. The decoupled explanation head improves clean-telemetry margin-DEF by +0.023, but the improvement is not detectable under degradation. These findings are limited to a low-performing policy in one simulated district. They also establish only a clean-versus-degraded contrast because the nominal AoI ladder did not produce distinct realised severity levels.</w:t>
      </w:r>
    </w:p>
    <w:p>
      <w:pPr>
        <w:spacing w:line="276" w:lineRule="auto" w:after="120"/>
        <w:jc w:val="both"/>
      </w:pPr>
      <w:r>
        <w:rPr>
          <w:rFonts w:ascii="Times New Roman" w:hAnsi="Times New Roman"/>
          <w:sz w:val="24"/>
        </w:rPr>
        <w:t>The practical implication is straightforward. Attention weights should not be presented as trustworthy explanations merely because the architecture exposes them. In fleet systems where telemetry can become stale, explanation quality and explanation content should be monitored separately, and the evaluation protocol itself should be checked before its score is treated as evidence.</w:t>
      </w:r>
    </w:p>
    <w:p>
      <w:pPr>
        <w:pStyle w:val="Heading2"/>
      </w:pPr>
      <w:r>
        <w:rPr>
          <w:rFonts w:ascii="Times New Roman" w:hAnsi="Times New Roman"/>
          <w:sz w:val="24"/>
        </w:rPr>
        <w:t>6.2 Limitations</w:t>
      </w:r>
    </w:p>
    <w:p>
      <w:pPr>
        <w:spacing w:line="276" w:lineRule="auto" w:after="120"/>
        <w:jc w:val="both"/>
      </w:pPr>
      <w:r>
        <w:rPr>
          <w:rFonts w:ascii="Times New Roman" w:hAnsi="Times New Roman"/>
          <w:b/>
          <w:sz w:val="24"/>
        </w:rPr>
        <w:t>Severity was not manipulated as intended.</w:t>
      </w:r>
      <w:r>
        <w:rPr>
          <w:rFonts w:ascii="Times New Roman" w:hAnsi="Times New Roman"/>
          <w:sz w:val="24"/>
        </w:rPr>
        <w:t xml:space="preserve"> Table 5.4 shows no separation in realised AoI between the four nominal degraded levels. H1 is therefore untestable, and H2 can only be read as a clean-versus-degraded contrast. A genuine dose-response study would need a higher AoI encoding cap and a new sweep based on realised rather than nominal severity.</w:t>
      </w:r>
    </w:p>
    <w:p>
      <w:pPr>
        <w:spacing w:line="276" w:lineRule="auto" w:after="120"/>
        <w:jc w:val="both"/>
      </w:pPr>
      <w:r>
        <w:rPr>
          <w:rFonts w:ascii="Times New Roman" w:hAnsi="Times New Roman"/>
          <w:b/>
          <w:sz w:val="24"/>
        </w:rPr>
        <w:t>Corrected DEF is unavailable for the intermediate degraded conditions.</w:t>
      </w:r>
      <w:r>
        <w:rPr>
          <w:rFonts w:ascii="Times New Roman" w:hAnsi="Times New Roman"/>
          <w:sz w:val="24"/>
        </w:rPr>
        <w:t xml:space="preserve"> The type-matched control has been run on clean and tunnel-60 s conditions, but not on the intermediate cells. It requires new counterfactual forward passes and cannot be reconstructed from the saved uniform-DEF scalars. For this reason, Table 5.5 omits DEF and the degradation argument rests primarily on WAMSN, exposure, and the within-episode H4 association. H2 should be treated as secondary evidence.</w:t>
      </w:r>
    </w:p>
    <w:p>
      <w:pPr>
        <w:spacing w:line="276" w:lineRule="auto" w:after="120"/>
        <w:jc w:val="both"/>
      </w:pPr>
      <w:r>
        <w:rPr>
          <w:rFonts w:ascii="Times New Roman" w:hAnsi="Times New Roman"/>
          <w:b/>
          <w:sz w:val="24"/>
        </w:rPr>
        <w:t>The learned policy is far below the greedy baseline.</w:t>
      </w:r>
      <w:r>
        <w:rPr>
          <w:rFonts w:ascii="Times New Roman" w:hAnsi="Times New Roman"/>
          <w:sz w:val="24"/>
        </w:rPr>
        <w:t xml:space="preserve"> Claims are scoped to the learned-policy regime achieved. The capability spectrum in Section 5.2 mitigates this specifically for the metric result, which holds across 1.0 to 11.8 pickups and an untrained checkpoint, but not for the degradation result, which rests on B2.</w:t>
      </w:r>
    </w:p>
    <w:p>
      <w:pPr>
        <w:spacing w:line="276" w:lineRule="auto" w:after="120"/>
        <w:jc w:val="both"/>
      </w:pPr>
      <w:r>
        <w:rPr>
          <w:rFonts w:ascii="Times New Roman" w:hAnsi="Times New Roman"/>
          <w:b/>
          <w:sz w:val="24"/>
        </w:rPr>
        <w:t>Training instability.</w:t>
      </w:r>
      <w:r>
        <w:rPr>
          <w:rFonts w:ascii="Times New Roman" w:hAnsi="Times New Roman"/>
          <w:sz w:val="24"/>
        </w:rPr>
        <w:t xml:space="preserve"> Entropy collapses from 1.56 to 0.03, and best checkpoints land at epochs 17-22 for two of three H5' seeds. Checkpoint selection by rolling mean pickups is a workaround, not a fix; the reward scale (</w:t>
      </w:r>
      <w:r>
        <w:rPr>
          <w:rFonts w:ascii="Courier New" w:hAnsi="Courier New"/>
          <w:sz w:val="22"/>
        </w:rPr>
        <w:t>10 x pickups</w:t>
      </w:r>
      <w:r>
        <w:rPr>
          <w:rFonts w:ascii="Times New Roman" w:hAnsi="Times New Roman"/>
          <w:sz w:val="24"/>
        </w:rPr>
        <w:t xml:space="preserve"> against </w:t>
      </w:r>
      <w:r>
        <w:rPr>
          <w:rFonts w:ascii="Courier New" w:hAnsi="Courier New"/>
          <w:sz w:val="22"/>
        </w:rPr>
        <w:t>0.001 x mean wait</w:t>
      </w:r>
      <w:r>
        <w:rPr>
          <w:rFonts w:ascii="Times New Roman" w:hAnsi="Times New Roman"/>
          <w:sz w:val="24"/>
        </w:rPr>
        <w:t>) leaves the waiting-time term numerically inert between sparse pickup events, which is the likely cause.</w:t>
      </w:r>
    </w:p>
    <w:p>
      <w:pPr>
        <w:spacing w:line="276" w:lineRule="auto" w:after="120"/>
        <w:jc w:val="both"/>
      </w:pPr>
      <w:r>
        <w:rPr>
          <w:rFonts w:ascii="Times New Roman" w:hAnsi="Times New Roman"/>
          <w:b/>
          <w:sz w:val="24"/>
        </w:rPr>
        <w:t>One training seed for the main policy.</w:t>
      </w:r>
      <w:r>
        <w:rPr>
          <w:rFonts w:ascii="Times New Roman" w:hAnsi="Times New Roman"/>
          <w:sz w:val="24"/>
        </w:rPr>
        <w:t xml:space="preserve"> The severity sweeps use eight environment seeds and H5' uses three training seeds, but B2 itself is one run.</w:t>
      </w:r>
    </w:p>
    <w:p>
      <w:pPr>
        <w:spacing w:line="276" w:lineRule="auto" w:after="120"/>
        <w:jc w:val="both"/>
      </w:pPr>
      <w:r>
        <w:rPr>
          <w:rFonts w:ascii="Times New Roman" w:hAnsi="Times New Roman"/>
          <w:b/>
          <w:sz w:val="24"/>
        </w:rPr>
        <w:t>Sparse and geographically constrained exposure.</w:t>
      </w:r>
      <w:r>
        <w:rPr>
          <w:rFonts w:ascii="Times New Roman" w:hAnsi="Times New Roman"/>
          <w:sz w:val="24"/>
        </w:rPr>
        <w:t xml:space="preserve"> Stale-node visibility is 9.8-11.7 % of decisions, and in-tunnel transits dominate. Pooled WAMSN values are correspondingly small, so conditional-on-exposure figures are the informative ones.</w:t>
      </w:r>
    </w:p>
    <w:p>
      <w:pPr>
        <w:spacing w:line="276" w:lineRule="auto" w:after="120"/>
        <w:jc w:val="both"/>
      </w:pPr>
      <w:r>
        <w:rPr>
          <w:rFonts w:ascii="Times New Roman" w:hAnsi="Times New Roman"/>
          <w:b/>
          <w:sz w:val="24"/>
        </w:rPr>
        <w:t>One district, one occlusion operator.</w:t>
      </w:r>
      <w:r>
        <w:rPr>
          <w:rFonts w:ascii="Times New Roman" w:hAnsi="Times New Roman"/>
          <w:sz w:val="24"/>
        </w:rPr>
        <w:t xml:space="preserve"> The benchmark is 20 taxis, 50 requests and 1,200 s episodes in one district of one city. Faithfulness is measured through masking-based occlusion only; gradient and surrogate attributions may show different failure modes, though any method evaluated by perturbation inherits the audit's concern.</w:t>
      </w:r>
    </w:p>
    <w:p>
      <w:pPr>
        <w:pStyle w:val="DMUCaption"/>
        <w:keepNext/>
        <w:jc w:val="center"/>
      </w:pPr>
      <w:r>
        <w:rPr>
          <w:rFonts w:ascii="Times New Roman" w:hAnsi="Times New Roman"/>
          <w:sz w:val="20"/>
        </w:rPr>
        <w:t>Table 6.1: Limitations and Impact</w:t>
      </w:r>
    </w:p>
    <w:tbl>
      <w:tblPr>
        <w:tblW w:type="auto" w:w="0"/>
        <w:jc w:val="center"/>
        <w:tblLayout w:type="fixed"/>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514"/>
        <w:gridCol w:w="4514"/>
      </w:tblGrid>
      <w:tr>
        <w:trPr>
          <w:cantSplit/>
          <w:tblHeader w:val="true"/>
        </w:trPr>
        <w:tc>
          <w:tcPr>
            <w:tcW w:type="dxa" w:w="3234"/>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Limitation</w:t>
            </w:r>
          </w:p>
        </w:tc>
        <w:tc>
          <w:tcPr>
            <w:tcW w:type="dxa" w:w="5722"/>
            <w:vAlign w:val="center"/>
            <w:tcMar>
              <w:top w:w="70" w:type="dxa"/>
              <w:start w:w="90" w:type="dxa"/>
              <w:bottom w:w="70" w:type="dxa"/>
              <w:end w:w="90" w:type="dxa"/>
            </w:tcMar>
            <w:shd w:fill="9E1B45"/>
          </w:tcPr>
          <w:p>
            <w:pPr>
              <w:spacing w:after="0" w:line="240" w:lineRule="auto"/>
              <w:jc w:val="left"/>
            </w:pPr>
            <w:r>
              <w:rPr>
                <w:rFonts w:ascii="Times New Roman" w:hAnsi="Times New Roman"/>
                <w:b/>
                <w:color w:val="FFFFFF"/>
                <w:sz w:val="18"/>
              </w:rPr>
              <w:t>Impact</w:t>
            </w:r>
          </w:p>
        </w:tc>
      </w:tr>
      <w:tr>
        <w:trPr>
          <w:cantSplit/>
        </w:trPr>
        <w:tc>
          <w:tcPr>
            <w:tcW w:type="dxa" w:w="3234"/>
            <w:vAlign w:val="center"/>
            <w:tcMar>
              <w:top w:w="70" w:type="dxa"/>
              <w:start w:w="90" w:type="dxa"/>
              <w:bottom w:w="70" w:type="dxa"/>
              <w:end w:w="90" w:type="dxa"/>
            </w:tcMar>
          </w:tcPr>
          <w:p>
            <w:pPr>
              <w:spacing w:after="0" w:line="240" w:lineRule="auto"/>
              <w:jc w:val="left"/>
            </w:pPr>
            <w:r>
              <w:rPr>
                <w:rFonts w:ascii="Times New Roman" w:hAnsi="Times New Roman"/>
                <w:sz w:val="18"/>
              </w:rPr>
              <w:t>Severity not manipulated (AoI censoring + geography)</w:t>
            </w:r>
          </w:p>
        </w:tc>
        <w:tc>
          <w:tcPr>
            <w:tcW w:type="dxa" w:w="5722"/>
            <w:vAlign w:val="center"/>
            <w:tcMar>
              <w:top w:w="70" w:type="dxa"/>
              <w:start w:w="90" w:type="dxa"/>
              <w:bottom w:w="70" w:type="dxa"/>
              <w:end w:w="90" w:type="dxa"/>
            </w:tcMar>
          </w:tcPr>
          <w:p>
            <w:pPr>
              <w:spacing w:after="0" w:line="240" w:lineRule="auto"/>
              <w:jc w:val="left"/>
            </w:pPr>
            <w:r>
              <w:rPr>
                <w:rFonts w:ascii="Times New Roman" w:hAnsi="Times New Roman"/>
                <w:sz w:val="18"/>
              </w:rPr>
              <w:t>H1 untestable; degradation claims are binary clean-vs-degraded</w:t>
            </w:r>
          </w:p>
        </w:tc>
      </w:tr>
      <w:tr>
        <w:trPr>
          <w:cantSplit/>
        </w:trPr>
        <w:tc>
          <w:tcPr>
            <w:tcW w:type="dxa" w:w="323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Intermediate type-matched DEF unavailable</w:t>
            </w:r>
          </w:p>
        </w:tc>
        <w:tc>
          <w:tcPr>
            <w:tcW w:type="dxa" w:w="5722"/>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Main table omits DEF; a corrected full sweep remains future work</w:t>
            </w:r>
          </w:p>
        </w:tc>
      </w:tr>
      <w:tr>
        <w:trPr>
          <w:cantSplit/>
        </w:trPr>
        <w:tc>
          <w:tcPr>
            <w:tcW w:type="dxa" w:w="3234"/>
            <w:vAlign w:val="center"/>
            <w:tcMar>
              <w:top w:w="70" w:type="dxa"/>
              <w:start w:w="90" w:type="dxa"/>
              <w:bottom w:w="70" w:type="dxa"/>
              <w:end w:w="90" w:type="dxa"/>
            </w:tcMar>
          </w:tcPr>
          <w:p>
            <w:pPr>
              <w:spacing w:after="0" w:line="240" w:lineRule="auto"/>
              <w:jc w:val="left"/>
            </w:pPr>
            <w:r>
              <w:rPr>
                <w:rFonts w:ascii="Times New Roman" w:hAnsi="Times New Roman"/>
                <w:sz w:val="18"/>
              </w:rPr>
              <w:t>Learned policy below greedy baseline</w:t>
            </w:r>
          </w:p>
        </w:tc>
        <w:tc>
          <w:tcPr>
            <w:tcW w:type="dxa" w:w="5722"/>
            <w:vAlign w:val="center"/>
            <w:tcMar>
              <w:top w:w="70" w:type="dxa"/>
              <w:start w:w="90" w:type="dxa"/>
              <w:bottom w:w="70" w:type="dxa"/>
              <w:end w:w="90" w:type="dxa"/>
            </w:tcMar>
          </w:tcPr>
          <w:p>
            <w:pPr>
              <w:spacing w:after="0" w:line="240" w:lineRule="auto"/>
              <w:jc w:val="left"/>
            </w:pPr>
            <w:r>
              <w:rPr>
                <w:rFonts w:ascii="Times New Roman" w:hAnsi="Times New Roman"/>
                <w:sz w:val="18"/>
              </w:rPr>
              <w:t>Degradation claims scoped to low-capability dispatch; metric claims are capability-invariant</w:t>
            </w:r>
          </w:p>
        </w:tc>
      </w:tr>
      <w:tr>
        <w:trPr>
          <w:cantSplit/>
        </w:trPr>
        <w:tc>
          <w:tcPr>
            <w:tcW w:type="dxa" w:w="323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Entropy collapse in training</w:t>
            </w:r>
          </w:p>
        </w:tc>
        <w:tc>
          <w:tcPr>
            <w:tcW w:type="dxa" w:w="5722"/>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Best-checkpoint selection is a workaround; reward scaling likely at fault</w:t>
            </w:r>
          </w:p>
        </w:tc>
      </w:tr>
      <w:tr>
        <w:trPr>
          <w:cantSplit/>
        </w:trPr>
        <w:tc>
          <w:tcPr>
            <w:tcW w:type="dxa" w:w="3234"/>
            <w:vAlign w:val="center"/>
            <w:tcMar>
              <w:top w:w="70" w:type="dxa"/>
              <w:start w:w="90" w:type="dxa"/>
              <w:bottom w:w="70" w:type="dxa"/>
              <w:end w:w="90" w:type="dxa"/>
            </w:tcMar>
          </w:tcPr>
          <w:p>
            <w:pPr>
              <w:spacing w:after="0" w:line="240" w:lineRule="auto"/>
              <w:jc w:val="left"/>
            </w:pPr>
            <w:r>
              <w:rPr>
                <w:rFonts w:ascii="Times New Roman" w:hAnsi="Times New Roman"/>
                <w:sz w:val="18"/>
              </w:rPr>
              <w:t>One main B2 training seed</w:t>
            </w:r>
          </w:p>
        </w:tc>
        <w:tc>
          <w:tcPr>
            <w:tcW w:type="dxa" w:w="5722"/>
            <w:vAlign w:val="center"/>
            <w:tcMar>
              <w:top w:w="70" w:type="dxa"/>
              <w:start w:w="90" w:type="dxa"/>
              <w:bottom w:w="70" w:type="dxa"/>
              <w:end w:w="90" w:type="dxa"/>
            </w:tcMar>
          </w:tcPr>
          <w:p>
            <w:pPr>
              <w:spacing w:after="0" w:line="240" w:lineRule="auto"/>
              <w:jc w:val="left"/>
            </w:pPr>
            <w:r>
              <w:rPr>
                <w:rFonts w:ascii="Times New Roman" w:hAnsi="Times New Roman"/>
                <w:sz w:val="18"/>
              </w:rPr>
              <w:t>Stronger training replication is future work</w:t>
            </w:r>
          </w:p>
        </w:tc>
      </w:tr>
      <w:tr>
        <w:trPr>
          <w:cantSplit/>
        </w:trPr>
        <w:tc>
          <w:tcPr>
            <w:tcW w:type="dxa" w:w="323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Sparse tunnel exposure</w:t>
            </w:r>
          </w:p>
        </w:tc>
        <w:tc>
          <w:tcPr>
            <w:tcW w:type="dxa" w:w="5722"/>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Conditional WAMSN is the informative statistic, not pooled</w:t>
            </w:r>
          </w:p>
        </w:tc>
      </w:tr>
      <w:tr>
        <w:trPr>
          <w:cantSplit/>
        </w:trPr>
        <w:tc>
          <w:tcPr>
            <w:tcW w:type="dxa" w:w="3234"/>
            <w:vAlign w:val="center"/>
            <w:tcMar>
              <w:top w:w="70" w:type="dxa"/>
              <w:start w:w="90" w:type="dxa"/>
              <w:bottom w:w="70" w:type="dxa"/>
              <w:end w:w="90" w:type="dxa"/>
            </w:tcMar>
          </w:tcPr>
          <w:p>
            <w:pPr>
              <w:spacing w:after="0" w:line="240" w:lineRule="auto"/>
              <w:jc w:val="left"/>
            </w:pPr>
            <w:r>
              <w:rPr>
                <w:rFonts w:ascii="Times New Roman" w:hAnsi="Times New Roman"/>
                <w:sz w:val="18"/>
              </w:rPr>
              <w:t>One city district</w:t>
            </w:r>
          </w:p>
        </w:tc>
        <w:tc>
          <w:tcPr>
            <w:tcW w:type="dxa" w:w="5722"/>
            <w:vAlign w:val="center"/>
            <w:tcMar>
              <w:top w:w="70" w:type="dxa"/>
              <w:start w:w="90" w:type="dxa"/>
              <w:bottom w:w="70" w:type="dxa"/>
              <w:end w:w="90" w:type="dxa"/>
            </w:tcMar>
          </w:tcPr>
          <w:p>
            <w:pPr>
              <w:spacing w:after="0" w:line="240" w:lineRule="auto"/>
              <w:jc w:val="left"/>
            </w:pPr>
            <w:r>
              <w:rPr>
                <w:rFonts w:ascii="Times New Roman" w:hAnsi="Times New Roman"/>
                <w:sz w:val="18"/>
              </w:rPr>
              <w:t>Multi-city generality remains open</w:t>
            </w:r>
          </w:p>
        </w:tc>
      </w:tr>
      <w:tr>
        <w:trPr>
          <w:cantSplit/>
        </w:trPr>
        <w:tc>
          <w:tcPr>
            <w:tcW w:type="dxa" w:w="3234"/>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Masking-based occlusion only</w:t>
            </w:r>
          </w:p>
        </w:tc>
        <w:tc>
          <w:tcPr>
            <w:tcW w:type="dxa" w:w="5722"/>
            <w:vAlign w:val="center"/>
            <w:tcMar>
              <w:top w:w="70" w:type="dxa"/>
              <w:start w:w="90" w:type="dxa"/>
              <w:bottom w:w="70" w:type="dxa"/>
              <w:end w:w="90" w:type="dxa"/>
            </w:tcMar>
            <w:shd w:fill="FAFAFA"/>
          </w:tcPr>
          <w:p>
            <w:pPr>
              <w:spacing w:after="0" w:line="240" w:lineRule="auto"/>
              <w:jc w:val="left"/>
            </w:pPr>
            <w:r>
              <w:rPr>
                <w:rFonts w:ascii="Times New Roman" w:hAnsi="Times New Roman"/>
                <w:sz w:val="18"/>
              </w:rPr>
              <w:t>Other attribution operators should be tested</w:t>
            </w:r>
          </w:p>
        </w:tc>
      </w:tr>
    </w:tbl>
    <w:p>
      <w:pPr>
        <w:spacing w:after="0"/>
      </w:pPr>
    </w:p>
    <w:p>
      <w:pPr>
        <w:pStyle w:val="Heading1"/>
        <w:pageBreakBefore/>
      </w:pPr>
      <w:r>
        <w:rPr>
          <w:rFonts w:ascii="Times New Roman" w:hAnsi="Times New Roman"/>
          <w:sz w:val="28"/>
        </w:rPr>
        <w:t>Chapter 7: Future Work</w:t>
      </w:r>
    </w:p>
    <w:p>
      <w:pPr>
        <w:spacing w:line="276" w:lineRule="auto" w:after="120"/>
        <w:jc w:val="both"/>
      </w:pPr>
      <w:r>
        <w:rPr>
          <w:rFonts w:ascii="Times New Roman" w:hAnsi="Times New Roman"/>
          <w:sz w:val="24"/>
        </w:rPr>
        <w:t>Future work should first repeat the degradation experiment with a higher AoI encoding cap and conditions defined by realised, rather than nominal, staleness. This would make a genuine dose-response test possible.</w:t>
      </w:r>
    </w:p>
    <w:p>
      <w:pPr>
        <w:spacing w:line="276" w:lineRule="auto" w:after="120"/>
        <w:jc w:val="both"/>
      </w:pPr>
      <w:r>
        <w:rPr>
          <w:rFonts w:ascii="Times New Roman" w:hAnsi="Times New Roman"/>
          <w:sz w:val="24"/>
        </w:rPr>
        <w:t>The main policy should then be retrained with improved reward scaling and several independent training seeds. A stronger dispatch policy would show whether faithfulness decoupling persists at capability levels closer to the greedy reference.</w:t>
      </w:r>
    </w:p>
    <w:p>
      <w:pPr>
        <w:spacing w:line="276" w:lineRule="auto" w:after="120"/>
        <w:jc w:val="both"/>
      </w:pPr>
      <w:r>
        <w:rPr>
          <w:rFonts w:ascii="Times New Roman" w:hAnsi="Times New Roman"/>
          <w:sz w:val="24"/>
        </w:rPr>
        <w:t>The evaluation should also cover additional districts, traffic patterns and explanation methods. Gradient, surrogate and graph-specific explainers may fail differently from attention, but each method still needs a fair perturbation baseline when input entities define available actions.</w:t>
      </w:r>
    </w:p>
    <w:p>
      <w:pPr>
        <w:spacing w:line="276" w:lineRule="auto" w:after="120"/>
        <w:jc w:val="both"/>
      </w:pPr>
      <w:r>
        <w:rPr>
          <w:rFonts w:ascii="Times New Roman" w:hAnsi="Times New Roman"/>
          <w:sz w:val="24"/>
        </w:rPr>
        <w:t>Finally, an operational study could test a monitoring interface that reports both explanation quality and the share of explanation weight assigned to stale data. This would move the work from diagnosis toward a practical trustworthiness control.</w:t>
      </w:r>
    </w:p>
    <w:p>
      <w:pPr>
        <w:pStyle w:val="Heading1"/>
        <w:pageBreakBefore/>
      </w:pPr>
      <w:r>
        <w:rPr>
          <w:rFonts w:ascii="Times New Roman" w:hAnsi="Times New Roman"/>
          <w:sz w:val="28"/>
        </w:rPr>
        <w:t>List of Publications</w:t>
      </w:r>
    </w:p>
    <w:p>
      <w:pPr>
        <w:spacing w:line="276" w:lineRule="auto" w:after="120"/>
        <w:jc w:val="both"/>
      </w:pPr>
      <w:r>
        <w:rPr>
          <w:rFonts w:ascii="Times New Roman" w:hAnsi="Times New Roman"/>
          <w:sz w:val="24"/>
        </w:rPr>
        <w:t>No publication is claimed in this dissertation draft.</w:t>
      </w:r>
    </w:p>
    <w:p>
      <w:pPr>
        <w:pStyle w:val="Heading1"/>
        <w:pageBreakBefore/>
      </w:pPr>
      <w:r>
        <w:rPr>
          <w:rFonts w:ascii="Times New Roman" w:hAnsi="Times New Roman"/>
          <w:sz w:val="28"/>
        </w:rPr>
        <w:t>References</w:t>
      </w:r>
    </w:p>
    <w:p>
      <w:pPr>
        <w:spacing w:line="240" w:lineRule="auto" w:after="100"/>
        <w:ind w:left="360" w:hanging="360"/>
        <w:jc w:val="both"/>
      </w:pPr>
      <w:r>
        <w:rPr>
          <w:rFonts w:ascii="Times New Roman" w:hAnsi="Times New Roman"/>
          <w:sz w:val="22"/>
        </w:rPr>
        <w:t>Alvarez-Melis, D. and Jaakkola, T.S. (2018) ‘On the robustness of interpretability methods’, arXiv:1806.08049.</w:t>
      </w:r>
    </w:p>
    <w:p>
      <w:pPr>
        <w:spacing w:line="240" w:lineRule="auto" w:after="100"/>
        <w:ind w:left="360" w:hanging="360"/>
        <w:jc w:val="both"/>
      </w:pPr>
      <w:r>
        <w:rPr>
          <w:rFonts w:ascii="Times New Roman" w:hAnsi="Times New Roman"/>
          <w:sz w:val="22"/>
        </w:rPr>
        <w:t xml:space="preserve">DeYoung, J. et al. (2020) ‘ERASER: A benchmark to evaluate rationalized NLP models’, in </w:t>
      </w:r>
      <w:r>
        <w:rPr>
          <w:rFonts w:ascii="Times New Roman" w:hAnsi="Times New Roman"/>
          <w:i/>
          <w:sz w:val="22"/>
        </w:rPr>
        <w:t>Proceedings of the ACL</w:t>
      </w:r>
      <w:r>
        <w:rPr>
          <w:rFonts w:ascii="Times New Roman" w:hAnsi="Times New Roman"/>
          <w:sz w:val="22"/>
        </w:rPr>
        <w:t>, pp. 4443-4458.</w:t>
      </w:r>
    </w:p>
    <w:p>
      <w:pPr>
        <w:spacing w:line="240" w:lineRule="auto" w:after="100"/>
        <w:ind w:left="360" w:hanging="360"/>
        <w:jc w:val="both"/>
      </w:pPr>
      <w:r>
        <w:rPr>
          <w:rFonts w:ascii="Times New Roman" w:hAnsi="Times New Roman"/>
          <w:sz w:val="22"/>
        </w:rPr>
        <w:t xml:space="preserve">Heuillet, A., Couthouis, F. and Diaz-Rodriguez, N. (2021) ‘Explainability in deep reinforcement learning’, </w:t>
      </w:r>
      <w:r>
        <w:rPr>
          <w:rFonts w:ascii="Times New Roman" w:hAnsi="Times New Roman"/>
          <w:i/>
          <w:sz w:val="22"/>
        </w:rPr>
        <w:t>Knowledge-Based Systems</w:t>
      </w:r>
      <w:r>
        <w:rPr>
          <w:rFonts w:ascii="Times New Roman" w:hAnsi="Times New Roman"/>
          <w:sz w:val="22"/>
        </w:rPr>
        <w:t>, vol. 214.</w:t>
      </w:r>
    </w:p>
    <w:p>
      <w:pPr>
        <w:spacing w:line="240" w:lineRule="auto" w:after="100"/>
        <w:ind w:left="360" w:hanging="360"/>
        <w:jc w:val="both"/>
      </w:pPr>
      <w:r>
        <w:rPr>
          <w:rFonts w:ascii="Times New Roman" w:hAnsi="Times New Roman"/>
          <w:sz w:val="22"/>
        </w:rPr>
        <w:t>Hu, Y., Feng, S. and Li, S. (2025) ‘BMG-Q: Localized bipartite match graph attention Q-learning for ride-pooling order dispatch’, arXiv:2501.13448.</w:t>
      </w:r>
    </w:p>
    <w:p>
      <w:pPr>
        <w:spacing w:line="240" w:lineRule="auto" w:after="100"/>
        <w:ind w:left="360" w:hanging="360"/>
        <w:jc w:val="both"/>
      </w:pPr>
      <w:r>
        <w:rPr>
          <w:rFonts w:ascii="Times New Roman" w:hAnsi="Times New Roman"/>
          <w:sz w:val="22"/>
        </w:rPr>
        <w:t xml:space="preserve">Iqbal, S. and Sha, F. (2019) ‘Actor-Attention-Critic for Multi-Agent Reinforcement Learning’, in </w:t>
      </w:r>
      <w:r>
        <w:rPr>
          <w:rFonts w:ascii="Times New Roman" w:hAnsi="Times New Roman"/>
          <w:i/>
          <w:sz w:val="22"/>
        </w:rPr>
        <w:t>Proceedings of the International Conference on Machine Learning</w:t>
      </w:r>
      <w:r>
        <w:rPr>
          <w:rFonts w:ascii="Times New Roman" w:hAnsi="Times New Roman"/>
          <w:sz w:val="22"/>
        </w:rPr>
        <w:t>.</w:t>
      </w:r>
    </w:p>
    <w:p>
      <w:pPr>
        <w:spacing w:line="240" w:lineRule="auto" w:after="100"/>
        <w:ind w:left="360" w:hanging="360"/>
        <w:jc w:val="both"/>
      </w:pPr>
      <w:r>
        <w:rPr>
          <w:rFonts w:ascii="Times New Roman" w:hAnsi="Times New Roman"/>
          <w:sz w:val="22"/>
        </w:rPr>
        <w:t xml:space="preserve">Jacovi, A. and Goldberg, Y. (2020) ‘Towards faithfully interpretable NLP systems: How should we define and evaluate faithfulness?’, in </w:t>
      </w:r>
      <w:r>
        <w:rPr>
          <w:rFonts w:ascii="Times New Roman" w:hAnsi="Times New Roman"/>
          <w:i/>
          <w:sz w:val="22"/>
        </w:rPr>
        <w:t>Proceedings of the ACL</w:t>
      </w:r>
      <w:r>
        <w:rPr>
          <w:rFonts w:ascii="Times New Roman" w:hAnsi="Times New Roman"/>
          <w:sz w:val="22"/>
        </w:rPr>
        <w:t>, pp. 4198-4205.</w:t>
      </w:r>
    </w:p>
    <w:p>
      <w:pPr>
        <w:spacing w:line="240" w:lineRule="auto" w:after="100"/>
        <w:ind w:left="360" w:hanging="360"/>
        <w:jc w:val="both"/>
      </w:pPr>
      <w:r>
        <w:rPr>
          <w:rFonts w:ascii="Times New Roman" w:hAnsi="Times New Roman"/>
          <w:sz w:val="22"/>
        </w:rPr>
        <w:t xml:space="preserve">Jain, S. and Wallace, B.C. (2019) ‘Attention is not Explanation’, in </w:t>
      </w:r>
      <w:r>
        <w:rPr>
          <w:rFonts w:ascii="Times New Roman" w:hAnsi="Times New Roman"/>
          <w:i/>
          <w:sz w:val="22"/>
        </w:rPr>
        <w:t>Proceedings of the NAACL-HLT</w:t>
      </w:r>
      <w:r>
        <w:rPr>
          <w:rFonts w:ascii="Times New Roman" w:hAnsi="Times New Roman"/>
          <w:sz w:val="22"/>
        </w:rPr>
        <w:t>, pp. 3543-3556.</w:t>
      </w:r>
    </w:p>
    <w:p>
      <w:pPr>
        <w:spacing w:line="240" w:lineRule="auto" w:after="100"/>
        <w:ind w:left="360" w:hanging="360"/>
        <w:jc w:val="both"/>
      </w:pPr>
      <w:r>
        <w:rPr>
          <w:rFonts w:ascii="Times New Roman" w:hAnsi="Times New Roman"/>
          <w:sz w:val="22"/>
        </w:rPr>
        <w:t xml:space="preserve">Kaul, S., Yates, R. and Gruteser, M. (2012) ‘Real-time status: How often should one update?’, in </w:t>
      </w:r>
      <w:r>
        <w:rPr>
          <w:rFonts w:ascii="Times New Roman" w:hAnsi="Times New Roman"/>
          <w:i/>
          <w:sz w:val="22"/>
        </w:rPr>
        <w:t>Proceedings of the IEEE INFOCOM</w:t>
      </w:r>
      <w:r>
        <w:rPr>
          <w:rFonts w:ascii="Times New Roman" w:hAnsi="Times New Roman"/>
          <w:sz w:val="22"/>
        </w:rPr>
        <w:t>, pp. 2731-2735.</w:t>
      </w:r>
    </w:p>
    <w:p>
      <w:pPr>
        <w:spacing w:line="240" w:lineRule="auto" w:after="100"/>
        <w:ind w:left="360" w:hanging="360"/>
        <w:jc w:val="both"/>
      </w:pPr>
      <w:r>
        <w:rPr>
          <w:rFonts w:ascii="Times New Roman" w:hAnsi="Times New Roman"/>
          <w:sz w:val="22"/>
        </w:rPr>
        <w:t xml:space="preserve">Lin, K., Zhao, R., Xu, Z. and Zhou, J. (2018) ‘Efficient large-scale fleet management via multi-agent deep reinforcement learning’, in </w:t>
      </w:r>
      <w:r>
        <w:rPr>
          <w:rFonts w:ascii="Times New Roman" w:hAnsi="Times New Roman"/>
          <w:i/>
          <w:sz w:val="22"/>
        </w:rPr>
        <w:t>Proceedings of the ACM SIGKDD Int. Conf. Knowledge Discovery and Data Mining</w:t>
      </w:r>
      <w:r>
        <w:rPr>
          <w:rFonts w:ascii="Times New Roman" w:hAnsi="Times New Roman"/>
          <w:sz w:val="22"/>
        </w:rPr>
        <w:t>, pp. 1774-1783.</w:t>
      </w:r>
    </w:p>
    <w:p>
      <w:pPr>
        <w:spacing w:line="240" w:lineRule="auto" w:after="100"/>
        <w:ind w:left="360" w:hanging="360"/>
        <w:jc w:val="both"/>
      </w:pPr>
      <w:r>
        <w:rPr>
          <w:rFonts w:ascii="Times New Roman" w:hAnsi="Times New Roman"/>
          <w:sz w:val="22"/>
        </w:rPr>
        <w:t xml:space="preserve">Lipton, Z.C. (2018) ‘The mythos of model interpretability’, </w:t>
      </w:r>
      <w:r>
        <w:rPr>
          <w:rFonts w:ascii="Times New Roman" w:hAnsi="Times New Roman"/>
          <w:i/>
          <w:sz w:val="22"/>
        </w:rPr>
        <w:t>Queue</w:t>
      </w:r>
      <w:r>
        <w:rPr>
          <w:rFonts w:ascii="Times New Roman" w:hAnsi="Times New Roman"/>
          <w:sz w:val="22"/>
        </w:rPr>
        <w:t>, vol. 16, no. 3, pp. 31-57.</w:t>
      </w:r>
    </w:p>
    <w:p>
      <w:pPr>
        <w:spacing w:line="240" w:lineRule="auto" w:after="100"/>
        <w:ind w:left="360" w:hanging="360"/>
        <w:jc w:val="both"/>
      </w:pPr>
      <w:r>
        <w:rPr>
          <w:rFonts w:ascii="Times New Roman" w:hAnsi="Times New Roman"/>
          <w:sz w:val="22"/>
        </w:rPr>
        <w:t xml:space="preserve">Liu, Y. et al. (2022) ‘Rethinking attention-model explainability through faithfulness violation test’, in </w:t>
      </w:r>
      <w:r>
        <w:rPr>
          <w:rFonts w:ascii="Times New Roman" w:hAnsi="Times New Roman"/>
          <w:i/>
          <w:sz w:val="22"/>
        </w:rPr>
        <w:t>Proceedings of the ICML</w:t>
      </w:r>
      <w:r>
        <w:rPr>
          <w:rFonts w:ascii="Times New Roman" w:hAnsi="Times New Roman"/>
          <w:sz w:val="22"/>
        </w:rPr>
        <w:t>.</w:t>
      </w:r>
    </w:p>
    <w:p>
      <w:pPr>
        <w:spacing w:line="240" w:lineRule="auto" w:after="100"/>
        <w:ind w:left="360" w:hanging="360"/>
        <w:jc w:val="both"/>
      </w:pPr>
      <w:r>
        <w:rPr>
          <w:rFonts w:ascii="Times New Roman" w:hAnsi="Times New Roman"/>
          <w:sz w:val="22"/>
        </w:rPr>
        <w:t xml:space="preserve">Lopez, P.A. et al. (2018) ‘Microscopic traffic simulation using SUMO’, in </w:t>
      </w:r>
      <w:r>
        <w:rPr>
          <w:rFonts w:ascii="Times New Roman" w:hAnsi="Times New Roman"/>
          <w:i/>
          <w:sz w:val="22"/>
        </w:rPr>
        <w:t>Proceedings of the IEEE International Conference on Intelligent Transportation Systems</w:t>
      </w:r>
      <w:r>
        <w:rPr>
          <w:rFonts w:ascii="Times New Roman" w:hAnsi="Times New Roman"/>
          <w:sz w:val="22"/>
        </w:rPr>
        <w:t>, pp. 2575-2582.</w:t>
      </w:r>
    </w:p>
    <w:p>
      <w:pPr>
        <w:spacing w:line="240" w:lineRule="auto" w:after="100"/>
        <w:ind w:left="360" w:hanging="360"/>
        <w:jc w:val="both"/>
      </w:pPr>
      <w:r>
        <w:rPr>
          <w:rFonts w:ascii="Times New Roman" w:hAnsi="Times New Roman"/>
          <w:sz w:val="22"/>
        </w:rPr>
        <w:t xml:space="preserve">Lowe, R. et al. (2017) ‘Multi-Agent Actor-Critic for Mixed Cooperative-Competitive Environments’, in </w:t>
      </w:r>
      <w:r>
        <w:rPr>
          <w:rFonts w:ascii="Times New Roman" w:hAnsi="Times New Roman"/>
          <w:i/>
          <w:sz w:val="22"/>
        </w:rPr>
        <w:t>Advances in Neural Information Processing Systems</w:t>
      </w:r>
      <w:r>
        <w:rPr>
          <w:rFonts w:ascii="Times New Roman" w:hAnsi="Times New Roman"/>
          <w:sz w:val="22"/>
        </w:rPr>
        <w:t>.</w:t>
      </w:r>
    </w:p>
    <w:p>
      <w:pPr>
        <w:spacing w:line="240" w:lineRule="auto" w:after="100"/>
        <w:ind w:left="360" w:hanging="360"/>
        <w:jc w:val="both"/>
      </w:pPr>
      <w:r>
        <w:rPr>
          <w:rFonts w:ascii="Times New Roman" w:hAnsi="Times New Roman"/>
          <w:sz w:val="22"/>
        </w:rPr>
        <w:t xml:space="preserve">Luo, D. et al. (2020) ‘Parameterized explainer for graph neural network’, in </w:t>
      </w:r>
      <w:r>
        <w:rPr>
          <w:rFonts w:ascii="Times New Roman" w:hAnsi="Times New Roman"/>
          <w:i/>
          <w:sz w:val="22"/>
        </w:rPr>
        <w:t>Advances in Neural Information Processing Systems</w:t>
      </w:r>
      <w:r>
        <w:rPr>
          <w:rFonts w:ascii="Times New Roman" w:hAnsi="Times New Roman"/>
          <w:sz w:val="22"/>
        </w:rPr>
        <w:t>, pp. 19620-19631.</w:t>
      </w:r>
    </w:p>
    <w:p>
      <w:pPr>
        <w:spacing w:line="240" w:lineRule="auto" w:after="100"/>
        <w:ind w:left="360" w:hanging="360"/>
        <w:jc w:val="both"/>
      </w:pPr>
      <w:r>
        <w:rPr>
          <w:rFonts w:ascii="Times New Roman" w:hAnsi="Times New Roman"/>
          <w:sz w:val="22"/>
        </w:rPr>
        <w:t xml:space="preserve">Madumal, P., Miller, T., Sonenberg, L. and Vetere, F. (2020) ‘Explainable reinforcement learning through a causal lens’, in </w:t>
      </w:r>
      <w:r>
        <w:rPr>
          <w:rFonts w:ascii="Times New Roman" w:hAnsi="Times New Roman"/>
          <w:i/>
          <w:sz w:val="22"/>
        </w:rPr>
        <w:t>Proceedings of the AAAI Conference on Artificial Intelligence</w:t>
      </w:r>
      <w:r>
        <w:rPr>
          <w:rFonts w:ascii="Times New Roman" w:hAnsi="Times New Roman"/>
          <w:sz w:val="22"/>
        </w:rPr>
        <w:t>.</w:t>
      </w:r>
    </w:p>
    <w:p>
      <w:pPr>
        <w:spacing w:line="240" w:lineRule="auto" w:after="100"/>
        <w:ind w:left="360" w:hanging="360"/>
        <w:jc w:val="both"/>
      </w:pPr>
      <w:r>
        <w:rPr>
          <w:rFonts w:ascii="Times New Roman" w:hAnsi="Times New Roman"/>
          <w:sz w:val="22"/>
        </w:rPr>
        <w:t xml:space="preserve">Qin, Z., Zhu, H. and Ye, J. (2022) ‘Reinforcement learning for ridesharing: An extended survey’, </w:t>
      </w:r>
      <w:r>
        <w:rPr>
          <w:rFonts w:ascii="Times New Roman" w:hAnsi="Times New Roman"/>
          <w:i/>
          <w:sz w:val="22"/>
        </w:rPr>
        <w:t>Transportation Research Part C: Emerging Technologies</w:t>
      </w:r>
      <w:r>
        <w:rPr>
          <w:rFonts w:ascii="Times New Roman" w:hAnsi="Times New Roman"/>
          <w:sz w:val="22"/>
        </w:rPr>
        <w:t>, vol. 144.</w:t>
      </w:r>
    </w:p>
    <w:p>
      <w:pPr>
        <w:spacing w:line="240" w:lineRule="auto" w:after="100"/>
        <w:ind w:left="360" w:hanging="360"/>
        <w:jc w:val="both"/>
      </w:pPr>
      <w:r>
        <w:rPr>
          <w:rFonts w:ascii="Times New Roman" w:hAnsi="Times New Roman"/>
          <w:sz w:val="22"/>
        </w:rPr>
        <w:t xml:space="preserve">Rashid, T. et al. (2020) ‘Monotonic value function factorisation for deep multi-agent reinforcement learning’, </w:t>
      </w:r>
      <w:r>
        <w:rPr>
          <w:rFonts w:ascii="Times New Roman" w:hAnsi="Times New Roman"/>
          <w:i/>
          <w:sz w:val="22"/>
        </w:rPr>
        <w:t>Journal of Machine Learning Research</w:t>
      </w:r>
      <w:r>
        <w:rPr>
          <w:rFonts w:ascii="Times New Roman" w:hAnsi="Times New Roman"/>
          <w:sz w:val="22"/>
        </w:rPr>
        <w:t>, vol. 21, no. 178, pp. 1-51.</w:t>
      </w:r>
    </w:p>
    <w:p>
      <w:pPr>
        <w:spacing w:line="240" w:lineRule="auto" w:after="100"/>
        <w:ind w:left="360" w:hanging="360"/>
        <w:jc w:val="both"/>
      </w:pPr>
      <w:r>
        <w:rPr>
          <w:rFonts w:ascii="Times New Roman" w:hAnsi="Times New Roman"/>
          <w:sz w:val="22"/>
        </w:rPr>
        <w:t xml:space="preserve">Ribeiro, M.T., Singh, S. and Guestrin, C. (2016) ‘'Why should I trust you?': Explaining the predictions of any classifier’, in </w:t>
      </w:r>
      <w:r>
        <w:rPr>
          <w:rFonts w:ascii="Times New Roman" w:hAnsi="Times New Roman"/>
          <w:i/>
          <w:sz w:val="22"/>
        </w:rPr>
        <w:t>Proceedings of the ACM SIGKDD</w:t>
      </w:r>
      <w:r>
        <w:rPr>
          <w:rFonts w:ascii="Times New Roman" w:hAnsi="Times New Roman"/>
          <w:sz w:val="22"/>
        </w:rPr>
        <w:t>, pp. 1135-1144.</w:t>
      </w:r>
    </w:p>
    <w:p>
      <w:pPr>
        <w:spacing w:line="240" w:lineRule="auto" w:after="100"/>
        <w:ind w:left="360" w:hanging="360"/>
        <w:jc w:val="both"/>
      </w:pPr>
      <w:r>
        <w:rPr>
          <w:rFonts w:ascii="Times New Roman" w:hAnsi="Times New Roman"/>
          <w:sz w:val="22"/>
        </w:rPr>
        <w:t xml:space="preserve">Scarselli, F., Gori, M., Tsoi, A.C., Hagenbuchner, M. and Monfardini, G. (2009) ‘The graph neural network model’, </w:t>
      </w:r>
      <w:r>
        <w:rPr>
          <w:rFonts w:ascii="Times New Roman" w:hAnsi="Times New Roman"/>
          <w:i/>
          <w:sz w:val="22"/>
        </w:rPr>
        <w:t>IEEE Transactions on Neural Networks</w:t>
      </w:r>
      <w:r>
        <w:rPr>
          <w:rFonts w:ascii="Times New Roman" w:hAnsi="Times New Roman"/>
          <w:sz w:val="22"/>
        </w:rPr>
        <w:t>, vol. 20, no. 1, pp. 61-80.</w:t>
      </w:r>
    </w:p>
    <w:p>
      <w:pPr>
        <w:spacing w:line="240" w:lineRule="auto" w:after="100"/>
        <w:ind w:left="360" w:hanging="360"/>
        <w:jc w:val="both"/>
      </w:pPr>
      <w:r>
        <w:rPr>
          <w:rFonts w:ascii="Times New Roman" w:hAnsi="Times New Roman"/>
          <w:sz w:val="22"/>
        </w:rPr>
        <w:t xml:space="preserve">Serrano, S. and Smith, N.A. (2019) ‘Is attention interpretable?’, in </w:t>
      </w:r>
      <w:r>
        <w:rPr>
          <w:rFonts w:ascii="Times New Roman" w:hAnsi="Times New Roman"/>
          <w:i/>
          <w:sz w:val="22"/>
        </w:rPr>
        <w:t>Proceedings of the ACL</w:t>
      </w:r>
      <w:r>
        <w:rPr>
          <w:rFonts w:ascii="Times New Roman" w:hAnsi="Times New Roman"/>
          <w:sz w:val="22"/>
        </w:rPr>
        <w:t>, pp. 2931-2951.</w:t>
      </w:r>
    </w:p>
    <w:p>
      <w:pPr>
        <w:spacing w:line="240" w:lineRule="auto" w:after="100"/>
        <w:ind w:left="360" w:hanging="360"/>
        <w:jc w:val="both"/>
      </w:pPr>
      <w:r>
        <w:rPr>
          <w:rFonts w:ascii="Times New Roman" w:hAnsi="Times New Roman"/>
          <w:sz w:val="22"/>
        </w:rPr>
        <w:t xml:space="preserve">Sha, J. et al. (2026) ‘A multi-agent reinforcement learning scheduling algorithm integrating state graph and task graph structural modeling for ride-sharing dispatching’, </w:t>
      </w:r>
      <w:r>
        <w:rPr>
          <w:rFonts w:ascii="Times New Roman" w:hAnsi="Times New Roman"/>
          <w:i/>
          <w:sz w:val="22"/>
        </w:rPr>
        <w:t>Scientific Reports</w:t>
      </w:r>
      <w:r>
        <w:rPr>
          <w:rFonts w:ascii="Times New Roman" w:hAnsi="Times New Roman"/>
          <w:sz w:val="22"/>
        </w:rPr>
        <w:t>, vol. 16, art. no. 5461.</w:t>
      </w:r>
    </w:p>
    <w:p>
      <w:pPr>
        <w:spacing w:line="240" w:lineRule="auto" w:after="100"/>
        <w:ind w:left="360" w:hanging="360"/>
        <w:jc w:val="both"/>
      </w:pPr>
      <w:r>
        <w:rPr>
          <w:rFonts w:ascii="Times New Roman" w:hAnsi="Times New Roman"/>
          <w:sz w:val="22"/>
        </w:rPr>
        <w:t xml:space="preserve">Vaswani, A. et al. (2017) ‘Attention is all you need’, in </w:t>
      </w:r>
      <w:r>
        <w:rPr>
          <w:rFonts w:ascii="Times New Roman" w:hAnsi="Times New Roman"/>
          <w:i/>
          <w:sz w:val="22"/>
        </w:rPr>
        <w:t>Advances in Neural Information Processing Systems</w:t>
      </w:r>
      <w:r>
        <w:rPr>
          <w:rFonts w:ascii="Times New Roman" w:hAnsi="Times New Roman"/>
          <w:sz w:val="22"/>
        </w:rPr>
        <w:t>.</w:t>
      </w:r>
    </w:p>
    <w:p>
      <w:pPr>
        <w:spacing w:line="240" w:lineRule="auto" w:after="100"/>
        <w:ind w:left="360" w:hanging="360"/>
        <w:jc w:val="both"/>
      </w:pPr>
      <w:r>
        <w:rPr>
          <w:rFonts w:ascii="Times New Roman" w:hAnsi="Times New Roman"/>
          <w:sz w:val="22"/>
        </w:rPr>
        <w:t xml:space="preserve">Velickovic, P. et al. (2018) ‘Graph Attention Networks’, in </w:t>
      </w:r>
      <w:r>
        <w:rPr>
          <w:rFonts w:ascii="Times New Roman" w:hAnsi="Times New Roman"/>
          <w:i/>
          <w:sz w:val="22"/>
        </w:rPr>
        <w:t>Proceedings of the International Conference on Learning Representations</w:t>
      </w:r>
      <w:r>
        <w:rPr>
          <w:rFonts w:ascii="Times New Roman" w:hAnsi="Times New Roman"/>
          <w:sz w:val="22"/>
        </w:rPr>
        <w:t>.</w:t>
      </w:r>
    </w:p>
    <w:p>
      <w:pPr>
        <w:spacing w:line="240" w:lineRule="auto" w:after="100"/>
        <w:ind w:left="360" w:hanging="360"/>
        <w:jc w:val="both"/>
      </w:pPr>
      <w:r>
        <w:rPr>
          <w:rFonts w:ascii="Times New Roman" w:hAnsi="Times New Roman"/>
          <w:sz w:val="22"/>
        </w:rPr>
        <w:t xml:space="preserve">Wang, J. et al. (2025) ‘CoopRide: Cooperate all grids in city-scale ride-hailing dispatching with multi-agent reinforcement learning’, in </w:t>
      </w:r>
      <w:r>
        <w:rPr>
          <w:rFonts w:ascii="Times New Roman" w:hAnsi="Times New Roman"/>
          <w:i/>
          <w:sz w:val="22"/>
        </w:rPr>
        <w:t>Proceedings of the 31st ACM SIGKDD Conference on Knowledge Discovery and Data Mining</w:t>
      </w:r>
      <w:r>
        <w:rPr>
          <w:rFonts w:ascii="Times New Roman" w:hAnsi="Times New Roman"/>
          <w:sz w:val="22"/>
        </w:rPr>
        <w:t>, pp. 1457-1468.</w:t>
      </w:r>
    </w:p>
    <w:p>
      <w:pPr>
        <w:spacing w:line="240" w:lineRule="auto" w:after="100"/>
        <w:ind w:left="360" w:hanging="360"/>
        <w:jc w:val="both"/>
      </w:pPr>
      <w:r>
        <w:rPr>
          <w:rFonts w:ascii="Times New Roman" w:hAnsi="Times New Roman"/>
          <w:sz w:val="22"/>
        </w:rPr>
        <w:t xml:space="preserve">Wiegreffe, S. and Pinter, Y. (2019) ‘Attention is not not Explanation’, in </w:t>
      </w:r>
      <w:r>
        <w:rPr>
          <w:rFonts w:ascii="Times New Roman" w:hAnsi="Times New Roman"/>
          <w:i/>
          <w:sz w:val="22"/>
        </w:rPr>
        <w:t>Proceedings of the EMNLP-IJCNLP</w:t>
      </w:r>
      <w:r>
        <w:rPr>
          <w:rFonts w:ascii="Times New Roman" w:hAnsi="Times New Roman"/>
          <w:sz w:val="22"/>
        </w:rPr>
        <w:t>, pp. 11-20.</w:t>
      </w:r>
    </w:p>
    <w:p>
      <w:pPr>
        <w:spacing w:line="240" w:lineRule="auto" w:after="100"/>
        <w:ind w:left="360" w:hanging="360"/>
        <w:jc w:val="both"/>
      </w:pPr>
      <w:r>
        <w:rPr>
          <w:rFonts w:ascii="Times New Roman" w:hAnsi="Times New Roman"/>
          <w:sz w:val="22"/>
        </w:rPr>
        <w:t xml:space="preserve">Ying, R., Bourgeois, D., You, J., Zitnik, M. and Leskovec, J. (2019) ‘GNNExplainer: Generating explanations for graph neural networks’, in </w:t>
      </w:r>
      <w:r>
        <w:rPr>
          <w:rFonts w:ascii="Times New Roman" w:hAnsi="Times New Roman"/>
          <w:i/>
          <w:sz w:val="22"/>
        </w:rPr>
        <w:t>Advances in Neural Information Processing Systems</w:t>
      </w:r>
      <w:r>
        <w:rPr>
          <w:rFonts w:ascii="Times New Roman" w:hAnsi="Times New Roman"/>
          <w:sz w:val="22"/>
        </w:rPr>
        <w:t>, pp. 9240-9251.</w:t>
      </w:r>
    </w:p>
    <w:p>
      <w:pPr>
        <w:spacing w:line="240" w:lineRule="auto" w:after="100"/>
        <w:ind w:left="360" w:hanging="360"/>
        <w:jc w:val="both"/>
      </w:pPr>
      <w:r>
        <w:rPr>
          <w:rFonts w:ascii="Times New Roman" w:hAnsi="Times New Roman"/>
          <w:sz w:val="22"/>
        </w:rPr>
        <w:t xml:space="preserve">Yu, C. et al. (2022) ‘The surprising effectiveness of PPO in cooperative multi-agent games’, in </w:t>
      </w:r>
      <w:r>
        <w:rPr>
          <w:rFonts w:ascii="Times New Roman" w:hAnsi="Times New Roman"/>
          <w:i/>
          <w:sz w:val="22"/>
        </w:rPr>
        <w:t>Advances in Neural Information Processing Systems</w:t>
      </w:r>
      <w:r>
        <w:rPr>
          <w:rFonts w:ascii="Times New Roman" w:hAnsi="Times New Roman"/>
          <w:sz w:val="22"/>
        </w:rPr>
        <w:t>.</w:t>
      </w:r>
    </w:p>
    <w:p>
      <w:pPr>
        <w:spacing w:line="240" w:lineRule="auto" w:after="100"/>
        <w:ind w:left="360" w:hanging="360"/>
        <w:jc w:val="both"/>
      </w:pPr>
      <w:r>
        <w:rPr>
          <w:rFonts w:ascii="Times New Roman" w:hAnsi="Times New Roman"/>
          <w:sz w:val="22"/>
        </w:rPr>
        <w:t xml:space="preserve">Yuan, H., Yu, H., Gui, S. and Ji, S. (2023) ‘Explainability in graph neural networks: A taxonomic survey’, </w:t>
      </w:r>
      <w:r>
        <w:rPr>
          <w:rFonts w:ascii="Times New Roman" w:hAnsi="Times New Roman"/>
          <w:i/>
          <w:sz w:val="22"/>
        </w:rPr>
        <w:t>IEEE Transactions on Pattern Analysis and Machine Intelligence</w:t>
      </w:r>
      <w:r>
        <w:rPr>
          <w:rFonts w:ascii="Times New Roman" w:hAnsi="Times New Roman"/>
          <w:sz w:val="22"/>
        </w:rPr>
        <w:t>, vol. 45, no. 5, pp. 5782-5799.</w:t>
      </w:r>
    </w:p>
    <w:p>
      <w:pPr>
        <w:pStyle w:val="Heading1"/>
        <w:pageBreakBefore/>
      </w:pPr>
      <w:r>
        <w:rPr>
          <w:rFonts w:ascii="Times New Roman" w:hAnsi="Times New Roman"/>
          <w:sz w:val="28"/>
        </w:rPr>
        <w:t>Appendices</w:t>
      </w:r>
    </w:p>
    <w:p>
      <w:pPr>
        <w:pStyle w:val="Heading2"/>
      </w:pPr>
      <w:r>
        <w:rPr>
          <w:rFonts w:ascii="Times New Roman" w:hAnsi="Times New Roman"/>
          <w:sz w:val="24"/>
        </w:rPr>
        <w:t>Appendix A: Experiment Reproduction</w:t>
      </w:r>
    </w:p>
    <w:p>
      <w:pPr>
        <w:spacing w:line="276" w:lineRule="auto" w:after="120"/>
        <w:jc w:val="both"/>
      </w:pPr>
      <w:r>
        <w:rPr>
          <w:rFonts w:ascii="Times New Roman" w:hAnsi="Times New Roman"/>
          <w:sz w:val="24"/>
        </w:rPr>
        <w:t>The complete reproduction procedure is provided in REPRODUCE_EXPERIMENTS.md in the project repository. It records environment setup, model checkpoints, experiment commands and expected outputs.</w:t>
      </w:r>
    </w:p>
    <w:p>
      <w:pPr>
        <w:pStyle w:val="Heading2"/>
      </w:pPr>
      <w:r>
        <w:rPr>
          <w:rFonts w:ascii="Times New Roman" w:hAnsi="Times New Roman"/>
          <w:sz w:val="24"/>
        </w:rPr>
        <w:t>Appendix B: Supporting Artefacts</w:t>
      </w:r>
    </w:p>
    <w:p>
      <w:pPr>
        <w:spacing w:line="276" w:lineRule="auto" w:after="120"/>
        <w:jc w:val="both"/>
      </w:pPr>
      <w:r>
        <w:rPr>
          <w:rFonts w:ascii="Times New Roman" w:hAnsi="Times New Roman"/>
          <w:sz w:val="24"/>
        </w:rPr>
        <w:t>The project repository contains the experiment scripts, trained checkpoints, result tables and figure sources used in this dissertation. Large raw outputs and code listings are kept outside the dissertation so that the main document remains readable.</w:t>
      </w:r>
    </w:p>
    <w:sectPr w:rsidR="001B5148">
      <w:footerReference w:type="default" r:id="rId19"/>
      <w:pgSz w:w="11909" w:h="16834"/>
      <w:pgMar w:top="850" w:right="1440" w:bottom="1483" w:left="1440" w:header="720" w:footer="720" w:gutter="0"/>
      <w:pgNumType w:start="1" w:fmt="decimal"/>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669433" w14:textId="77777777" w:rsidR="004C3B32" w:rsidRDefault="004C3B32">
      <w:pPr>
        <w:spacing w:after="0" w:line="240" w:lineRule="auto"/>
      </w:pPr>
      <w:r>
        <w:separator/>
      </w:r>
    </w:p>
  </w:endnote>
  <w:endnote w:type="continuationSeparator" w:id="0">
    <w:p w14:paraId="010FBB60" w14:textId="77777777" w:rsidR="004C3B32" w:rsidRDefault="004C3B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0A5C41" w14:textId="77777777" w:rsidR="001B5148" w:rsidRDefault="00000000">
    <w:pPr>
      <w:spacing w:after="0" w:line="259" w:lineRule="auto"/>
      <w:ind w:left="0" w:right="4" w:firstLine="0"/>
      <w:jc w:val="right"/>
    </w:pPr>
    <w:r>
      <w:fldChar w:fldCharType="begin"/>
    </w:r>
    <w:r>
      <w:instrText xml:space="preserve"> PAGE   \* MERGEFORMAT </w:instrText>
    </w:r>
    <w:r>
      <w:fldChar w:fldCharType="separate"/>
    </w:r>
    <w:r>
      <w:t>i</w:t>
    </w:r>
    <w:proofErr w:type="spellStart"/>
    <w:r>
      <w:t>i</w:t>
    </w:r>
    <w:proofErr w:type="spellEnd"/>
    <w:r>
      <w:fldChar w:fldCharType="end"/>
    </w:r>
    <w:r>
      <w:t xml:space="preserve"> </w:t>
    </w:r>
  </w:p>
  <w:p w14:paraId="3E81D84B" w14:textId="77777777" w:rsidR="001B5148" w:rsidRDefault="00000000">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93A5EF" w14:textId="77777777" w:rsidR="001B5148" w:rsidRDefault="00000000">
    <w:pPr>
      <w:spacing w:after="0" w:line="259" w:lineRule="auto"/>
      <w:ind w:left="0" w:right="4" w:firstLine="0"/>
      <w:jc w:val="right"/>
    </w:pPr>
    <w:r>
      <w:fldChar w:fldCharType="begin"/>
    </w:r>
    <w:r>
      <w:instrText xml:space="preserve"> PAGE   \* MERGEFORMAT </w:instrText>
    </w:r>
    <w:r>
      <w:fldChar w:fldCharType="separate"/>
    </w:r>
    <w:r>
      <w:t>i</w:t>
    </w:r>
    <w:proofErr w:type="spellStart"/>
    <w:r>
      <w:t>i</w:t>
    </w:r>
    <w:proofErr w:type="spellEnd"/>
    <w:r>
      <w:fldChar w:fldCharType="end"/>
    </w:r>
    <w:r>
      <w:t xml:space="preserve"> </w:t>
    </w:r>
  </w:p>
  <w:p w14:paraId="7E517812" w14:textId="77777777" w:rsidR="001B5148" w:rsidRDefault="00000000">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03CD5D" w14:textId="77777777" w:rsidR="001B5148" w:rsidRDefault="001B5148">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AC981A" w14:textId="77777777" w:rsidR="001B5148" w:rsidRDefault="0000000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14:textId="77777777" w:rsidR="001B5148" w:rsidRDefault="00000000">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FBD0C8" w14:textId="77777777" w:rsidR="001B5148" w:rsidRDefault="00000000">
    <w:pPr>
      <w:spacing w:after="0" w:line="259" w:lineRule="auto"/>
      <w:ind w:left="0" w:right="8" w:firstLine="0"/>
      <w:jc w:val="right"/>
    </w:pPr>
  </w:p>
  <w:p w14:paraId="35857886" w14:textId="77777777" w:rsidR="001B5148" w:rsidRDefault="00000000">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E82150" w14:textId="77777777" w:rsidR="001B5148" w:rsidRDefault="0000000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14:textId="77777777" w:rsidR="001B5148" w:rsidRDefault="00000000">
    <w:pPr>
      <w:spacing w:after="0" w:line="259" w:lineRule="auto"/>
      <w:ind w:left="0" w:right="0" w:firstLine="0"/>
      <w:jc w:val="left"/>
    </w:pPr>
    <w:r>
      <w:t xml:space="preserve"> </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791E45" w14:textId="77777777" w:rsidR="004C3B32" w:rsidRDefault="004C3B32">
      <w:pPr>
        <w:spacing w:after="0" w:line="240" w:lineRule="auto"/>
      </w:pPr>
      <w:r>
        <w:separator/>
      </w:r>
    </w:p>
  </w:footnote>
  <w:footnote w:type="continuationSeparator" w:id="0">
    <w:p w14:paraId="526DBA4A" w14:textId="77777777" w:rsidR="004C3B32" w:rsidRDefault="004C3B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EE12BD"/>
    <w:multiLevelType w:val="hybridMultilevel"/>
    <w:tmpl w:val="2A18294C"/>
    <w:lvl w:ilvl="0" w:tplc="9F7CE12A">
      <w:start w:val="1"/>
      <w:numFmt w:val="bullet"/>
      <w:lvlText w:val="–"/>
      <w:lvlJc w:val="left"/>
      <w:pPr>
        <w:ind w:left="1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6CC312E">
      <w:start w:val="1"/>
      <w:numFmt w:val="bullet"/>
      <w:lvlText w:val="o"/>
      <w:lvlJc w:val="left"/>
      <w:pPr>
        <w:ind w:left="11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CC811CC">
      <w:start w:val="1"/>
      <w:numFmt w:val="bullet"/>
      <w:lvlText w:val="▪"/>
      <w:lvlJc w:val="left"/>
      <w:pPr>
        <w:ind w:left="18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566B90">
      <w:start w:val="1"/>
      <w:numFmt w:val="bullet"/>
      <w:lvlText w:val="•"/>
      <w:lvlJc w:val="left"/>
      <w:pPr>
        <w:ind w:left="25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34401A0">
      <w:start w:val="1"/>
      <w:numFmt w:val="bullet"/>
      <w:lvlText w:val="o"/>
      <w:lvlJc w:val="left"/>
      <w:pPr>
        <w:ind w:left="32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D29A52">
      <w:start w:val="1"/>
      <w:numFmt w:val="bullet"/>
      <w:lvlText w:val="▪"/>
      <w:lvlJc w:val="left"/>
      <w:pPr>
        <w:ind w:left="40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CCE71B6">
      <w:start w:val="1"/>
      <w:numFmt w:val="bullet"/>
      <w:lvlText w:val="•"/>
      <w:lvlJc w:val="left"/>
      <w:pPr>
        <w:ind w:left="47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C20BDD0">
      <w:start w:val="1"/>
      <w:numFmt w:val="bullet"/>
      <w:lvlText w:val="o"/>
      <w:lvlJc w:val="left"/>
      <w:pPr>
        <w:ind w:left="54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1661B4">
      <w:start w:val="1"/>
      <w:numFmt w:val="bullet"/>
      <w:lvlText w:val="▪"/>
      <w:lvlJc w:val="left"/>
      <w:pPr>
        <w:ind w:left="61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12F73DD"/>
    <w:multiLevelType w:val="hybridMultilevel"/>
    <w:tmpl w:val="59769402"/>
    <w:lvl w:ilvl="0" w:tplc="8BF0E2EA">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C30AE6E">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9E55D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B56BA4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58F29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40913A">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6F01B9E">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F604DB8">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B5CEB1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6B81D72"/>
    <w:multiLevelType w:val="hybridMultilevel"/>
    <w:tmpl w:val="C616C022"/>
    <w:lvl w:ilvl="0" w:tplc="739235A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7481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4E76D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372C2F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D3675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33412F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5DA2FF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3D6136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AB47B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70DD1338"/>
    <w:multiLevelType w:val="hybridMultilevel"/>
    <w:tmpl w:val="F4B42760"/>
    <w:lvl w:ilvl="0" w:tplc="F336EDF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A8CC8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2F8CF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8BAA5B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2BA0D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2E20A3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74C559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AD0ED2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CA4FAF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24213610">
    <w:abstractNumId w:val="0"/>
  </w:num>
  <w:num w:numId="2" w16cid:durableId="537591870">
    <w:abstractNumId w:val="1"/>
  </w:num>
  <w:num w:numId="3" w16cid:durableId="1855000502">
    <w:abstractNumId w:val="3"/>
  </w:num>
  <w:num w:numId="4" w16cid:durableId="20166087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5148"/>
    <w:rsid w:val="001B5148"/>
    <w:rsid w:val="003F4D13"/>
    <w:rsid w:val="004C3B32"/>
    <w:rsid w:val="006313D7"/>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1E6E8477"/>
  <w15:docId w15:val="{82B5CE86-B3F0-4849-AA85-0542049E37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ind w:left="0" w:right="9" w:firstLine="0"/>
      <w:jc w:val="both"/>
    </w:pPr>
    <w:rPr>
      <w:rFonts w:ascii="Times New Roman" w:eastAsia="Times New Roman" w:hAnsi="Times New Roman" w:cs="Times New Roman"/>
      <w:color w:val="000000"/>
      <w:sz w:val="24"/>
      <w:lang w:val="en-US" w:bidi="en-US"/>
    </w:rPr>
  </w:style>
  <w:style w:type="paragraph" w:styleId="Heading1">
    <w:name w:val="heading 1"/>
    <w:next w:val="Normal"/>
    <w:link w:val="Heading1Char"/>
    <w:uiPriority w:val="9"/>
    <w:qFormat/>
    <w:pPr>
      <w:keepNext/>
      <w:keepLines/>
      <w:spacing w:after="120" w:line="267" w:lineRule="auto" w:before="0"/>
      <w:ind w:left="0" w:firstLine="0"/>
      <w:jc w:val="center"/>
      <w:outlineLvl w:val="0"/>
    </w:pPr>
    <w:rPr>
      <w:rFonts w:ascii="Times New Roman" w:eastAsia="Times New Roman" w:hAnsi="Times New Roman" w:cs="Times New Roman"/>
      <w:b/>
      <w:i w:val="0"/>
      <w:color w:val="000000"/>
      <w:sz w:val="28"/>
    </w:rPr>
  </w:style>
  <w:style w:type="paragraph" w:styleId="Heading2">
    <w:name w:val="heading 2"/>
    <w:next w:val="Normal"/>
    <w:link w:val="Heading2Char"/>
    <w:uiPriority w:val="9"/>
    <w:unhideWhenUsed/>
    <w:qFormat/>
    <w:pPr>
      <w:keepNext/>
      <w:keepLines/>
      <w:spacing w:after="120" w:line="267" w:lineRule="auto" w:before="240"/>
      <w:ind w:left="0" w:firstLine="0"/>
      <w:jc w:val="left"/>
      <w:outlineLvl w:val="1"/>
    </w:pPr>
    <w:rPr>
      <w:rFonts w:ascii="Times New Roman" w:eastAsia="Times New Roman" w:hAnsi="Times New Roman" w:cs="Times New Roman"/>
      <w:b/>
      <w:i w:val="0"/>
      <w:color w:val="000000"/>
      <w:sz w:val="24"/>
    </w:rPr>
  </w:style>
  <w:style w:type="paragraph" w:styleId="Heading3">
    <w:name w:val="heading 3"/>
    <w:next w:val="Normal"/>
    <w:link w:val="Heading3Char"/>
    <w:uiPriority w:val="9"/>
    <w:unhideWhenUsed/>
    <w:qFormat/>
    <w:pPr>
      <w:keepNext/>
      <w:keepLines/>
      <w:spacing w:after="120" w:line="259" w:lineRule="auto" w:before="240"/>
      <w:ind w:left="0" w:right="9" w:firstLine="0"/>
      <w:jc w:val="left"/>
      <w:outlineLvl w:val="2"/>
    </w:pPr>
    <w:rPr>
      <w:rFonts w:ascii="Times New Roman" w:eastAsia="Times New Roman" w:hAnsi="Times New Roman" w:cs="Times New Roman"/>
      <w:b/>
      <w:i/>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color w:val="000000"/>
      <w:sz w:val="24"/>
    </w:rPr>
  </w:style>
  <w:style w:type="character" w:customStyle="1" w:styleId="Heading1Char">
    <w:name w:val="Heading 1 Char"/>
    <w:link w:val="Heading1"/>
    <w:rPr>
      <w:rFonts w:ascii="Times New Roman" w:eastAsia="Times New Roman" w:hAnsi="Times New Roman" w:cs="Times New Roman"/>
      <w:b/>
      <w:color w:val="000000"/>
      <w:sz w:val="28"/>
    </w:rPr>
  </w:style>
  <w:style w:type="paragraph" w:styleId="TOC1">
    <w:name w:val="toc 1"/>
    <w:hidden/>
    <w:pPr>
      <w:spacing w:after="290" w:line="259" w:lineRule="auto"/>
      <w:ind w:left="25" w:right="351" w:hanging="10"/>
    </w:pPr>
    <w:rPr>
      <w:rFonts w:ascii="Times New Roman" w:eastAsia="Times New Roman" w:hAnsi="Times New Roman" w:cs="Times New Roman"/>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DMUCaption">
    <w:name w:val="DMU Caption"/>
    <w:pPr>
      <w:keepLines/>
      <w:spacing w:before="60" w:after="180"/>
      <w:jc w:val="center"/>
    </w:pPr>
    <w:rPr>
      <w:rFonts w:ascii="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5" Type="http://schemas.openxmlformats.org/officeDocument/2006/relationships/footnotes" Target="footnotes.xml"/><Relationship Id="rId15" Type="http://schemas.openxmlformats.org/officeDocument/2006/relationships/footer" Target="footer6.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5.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19</Pages>
  <Words>2537</Words>
  <Characters>14461</Characters>
  <Application>Microsoft Office Word</Application>
  <DocSecurity>0</DocSecurity>
  <Lines>120</Lines>
  <Paragraphs>33</Paragraphs>
  <ScaleCrop>false</ScaleCrop>
  <Company/>
  <LinksUpToDate>false</LinksUpToDate>
  <CharactersWithSpaces>16965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Explanations Outlive Their Data: Faithfulness Decoupling in Graph-Attention MARL Fleet Dispatch under Telemetry Degradation</dc:title>
  <dc:subject>MSc dissertation on explanation faithfulness under stale telemetry</dc:subject>
  <dc:creator>Hongwei Lin</dc:creator>
  <cp:keywords>faithfulness, graph attention, MARL, telemetry degradation, SUMO</cp:keywords>
  <cp:lastModifiedBy>Masoumeh Tajvidi</cp:lastModifiedBy>
  <cp:revision>2</cp:revision>
  <dcterms:created xsi:type="dcterms:W3CDTF">2026-07-13T08:19:00Z</dcterms:created>
  <dcterms:modified xsi:type="dcterms:W3CDTF">2026-07-13T08:19:00Z</dcterms:modified>
</cp:coreProperties>
</file>