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When Explanations Outlive Their Data: Faithfulness Decoupling in Graph-Attention Multi-Agent Reinforcement Learning for Fleet Dispatch under Telemetry Degradation</w:t>
      </w:r>
    </w:p>
    <w:p>
      <w:pPr>
        <w:spacing w:after="20"/>
        <w:jc w:val="center"/>
      </w:pPr>
      <w:r>
        <w:rPr>
          <w:rFonts w:ascii="Arial" w:cs="Arial" w:eastAsia="Arial" w:hAnsi="Arial"/>
          <w:sz w:val="22"/>
          <w:szCs w:val="22"/>
        </w:rPr>
        <w:t xml:space="preserve">Hongwei Lin</w:t>
      </w:r>
    </w:p>
    <w:p>
      <w:pPr>
        <w:spacing w:after="20"/>
        <w:jc w:val="center"/>
      </w:pPr>
      <w:r>
        <w:rPr>
          <w:rFonts w:ascii="Arial" w:cs="Arial" w:eastAsia="Arial" w:hAnsi="Arial"/>
          <w:sz w:val="20"/>
          <w:szCs w:val="20"/>
        </w:rPr>
        <w:t xml:space="preserve">P2982757@my365.dmu.ac.uk</w:t>
      </w:r>
    </w:p>
    <w:p>
      <w:pPr>
        <w:spacing w:after="20"/>
        <w:jc w:val="center"/>
      </w:pPr>
      <w:r>
        <w:rPr>
          <w:rFonts w:ascii="Arial" w:cs="Arial" w:eastAsia="Arial" w:hAnsi="Arial"/>
          <w:sz w:val="20"/>
          <w:szCs w:val="20"/>
        </w:rPr>
        <w:t xml:space="preserve">MSc Dissertation — De Montfort University, Dubai</w:t>
      </w:r>
    </w:p>
    <w:p>
      <w:pPr>
        <w:spacing w:after="160"/>
        <w:jc w:val="center"/>
      </w:pPr>
      <w:r>
        <w:rPr>
          <w:rFonts w:ascii="Arial" w:cs="Arial" w:eastAsia="Arial" w:hAnsi="Arial"/>
          <w:sz w:val="20"/>
          <w:szCs w:val="20"/>
        </w:rPr>
        <w:t xml:space="preserve">Supervisor: Farhan Ujager  ·  17 June 2026</w:t>
      </w:r>
    </w:p>
    <w:p>
      <w:pPr>
        <w:pStyle w:val="Heading1"/>
        <w:spacing w:after="64" w:before="130"/>
      </w:pPr>
      <w:r>
        <w:rPr>
          <w:rFonts w:ascii="Arial" w:cs="Arial" w:eastAsia="Arial" w:hAnsi="Arial"/>
          <w:b/>
          <w:bCs/>
          <w:color w:val="1F3864"/>
          <w:sz w:val="26"/>
          <w:szCs w:val="26"/>
        </w:rPr>
        <w:t xml:space="preserve">1. Summary</w:t>
      </w:r>
    </w:p>
    <w:p>
      <w:pPr>
        <w:spacing w:after="78" w:line="242"/>
        <w:jc w:val="both"/>
      </w:pPr>
      <w:r>
        <w:rPr>
          <w:rFonts w:ascii="Arial" w:cs="Arial" w:eastAsia="Arial" w:hAnsi="Arial"/>
          <w:b w:val="false"/>
          <w:bCs w:val="false"/>
          <w:i w:val="false"/>
          <w:iCs w:val="false"/>
          <w:sz w:val="22"/>
          <w:szCs w:val="22"/>
        </w:rPr>
        <w:t xml:space="preserve">Modern fleet-dispatch platforms increasingly use graph-attention multi-agent reinforcement learning (GAT-MARL), in which vehicles are agents on a spatial graph and learned attention weights are surfaced as built-in explanations of dispatch decisions. In real IoT-enabled operations, telemetry feeding these models — GPS, velocity, occupancy and network heartbeats — degrades through outages, latency, packet loss and sensor failure, so observations become stale. This proposal investigates a largely uncharacterised failure mode termed faithfulness decoupling: as telemetry ages, explanations may continue to appear plausible and confident even though they no longer reflect the true reasoning process, so explanations “outlive” their data and mislead operators. The research formalises decoupling using the Age of Information (AoI), builds a reproducible GAT-MAPPO dispatch benchmark with controllable AoI staleness from signal loss (e.g. vehicles entering tunnels), introduces two formally defined evaluation instruments — Dispatch Explanation Faithfulness (DEF) and Weighted Attention Mass on Stale Nodes (WAMSN) — and tests whether telemetry-awareness mitigates decoupling. All experiments are sized for free/low-cost Google Colab GPUs.</w:t>
      </w:r>
    </w:p>
    <w:p>
      <w:pPr>
        <w:pStyle w:val="Heading1"/>
        <w:spacing w:after="64" w:before="130"/>
      </w:pPr>
      <w:r>
        <w:rPr>
          <w:rFonts w:ascii="Arial" w:cs="Arial" w:eastAsia="Arial" w:hAnsi="Arial"/>
          <w:b/>
          <w:bCs/>
          <w:color w:val="1F3864"/>
          <w:sz w:val="26"/>
          <w:szCs w:val="26"/>
        </w:rPr>
        <w:t xml:space="preserve">2. Background</w:t>
      </w:r>
    </w:p>
    <w:p>
      <w:pPr>
        <w:spacing w:after="78" w:line="242"/>
        <w:jc w:val="both"/>
      </w:pPr>
      <w:r>
        <w:rPr>
          <w:rFonts w:ascii="Arial" w:cs="Arial" w:eastAsia="Arial" w:hAnsi="Arial"/>
          <w:b w:val="false"/>
          <w:bCs w:val="false"/>
          <w:i w:val="false"/>
          <w:iCs w:val="false"/>
          <w:sz w:val="22"/>
          <w:szCs w:val="22"/>
        </w:rPr>
        <w:t xml:space="preserve">Reinforcement learning (RL) is now a leading approach to large-scale fleet management and order dispatching. Lin et al. [1] framed city-scale repositioning as a contextual multi-agent problem with strong gains in response rate and utilisation on real ride-hailing data, and surveys confirm RL as state of the art for ridesharing operations [2]. Because dispatch is relational — agents interact through shared roads, demand and neighbouring vehicles — cooperative multi-agent RL methods such as MADDPG [3], QMIX [4] and MAPPO [5] are widely used, with MAPPO a strong, simple backbone.</w:t>
      </w:r>
    </w:p>
    <w:p>
      <w:pPr>
        <w:spacing w:after="78" w:line="242"/>
        <w:jc w:val="both"/>
      </w:pPr>
      <w:r>
        <w:rPr>
          <w:rFonts w:ascii="Arial" w:cs="Arial" w:eastAsia="Arial" w:hAnsi="Arial"/>
          <w:b w:val="false"/>
          <w:bCs w:val="false"/>
          <w:i w:val="false"/>
          <w:iCs w:val="false"/>
          <w:sz w:val="22"/>
          <w:szCs w:val="22"/>
        </w:rPr>
        <w:t xml:space="preserve">Graph neural networks encode this spatial structure naturally [6], and graph attention networks (GAT) [7] additionally learn, per agent, a weighting over graph neighbours; attention-based MARL such as MAAC [8] uses the same mechanism for inter-agent reasoning. Operators increasingly treat these weights — like the self-attention of the Transformer [9] — as explanations indicating which vehicles or regions drove a decision. Explainable RL more broadly has grown rapidly [10], including causal and counterfactual accounts of agent behaviour [11].</w:t>
      </w:r>
    </w:p>
    <w:p>
      <w:pPr>
        <w:spacing w:after="78" w:line="242"/>
        <w:jc w:val="both"/>
      </w:pPr>
      <w:r>
        <w:rPr>
          <w:rFonts w:ascii="Arial" w:cs="Arial" w:eastAsia="Arial" w:hAnsi="Arial"/>
          <w:b w:val="false"/>
          <w:bCs w:val="false"/>
          <w:i w:val="false"/>
          <w:iCs w:val="false"/>
          <w:sz w:val="22"/>
          <w:szCs w:val="22"/>
        </w:rPr>
        <w:t xml:space="preserve">Whether attention is a faithful explanation is contested. Jain and Wallace [12] showed attention is often uncorrelated with gradient-based importance and that different attention maps can yield identical predictions; Wiegreffe and Pinter [13] replied that the verdict depends on definition and testing, and Serrano and Smith [14] were similarly cautious. Perturbation-based faithfulness tests have since been proposed for attention models [15], alongside comprehensiveness/sufficiency in ERASER [16], the principle that faithfulness must be defined and evaluated rather than assumed [17], reference attributions such as LIME [18], and studies of interpretability robustness [19] and its limits [20].</w:t>
      </w:r>
    </w:p>
    <w:p>
      <w:pPr>
        <w:spacing w:after="78" w:line="242"/>
        <w:jc w:val="both"/>
      </w:pPr>
      <w:r>
        <w:rPr>
          <w:rFonts w:ascii="Arial" w:cs="Arial" w:eastAsia="Arial" w:hAnsi="Arial"/>
          <w:b w:val="false"/>
          <w:bCs w:val="false"/>
          <w:i w:val="false"/>
          <w:iCs w:val="false"/>
          <w:sz w:val="22"/>
          <w:szCs w:val="22"/>
        </w:rPr>
        <w:t xml:space="preserve">A separate literature on the Age of Information (AoI) [21] quantifies data freshness as the time since the last update and studies how staleness harms control. Yet these strands remain separate: GAT-MARL is effective for dispatch, attention faithfulness is fragile even on clean data, and AoI captures staleness — but no work asks what happens to explanation faithfulness when the telemetry itself ages. That intersection is the focus here.</w:t>
      </w:r>
    </w:p>
    <w:p>
      <w:pPr>
        <w:pStyle w:val="Heading1"/>
        <w:spacing w:after="64" w:before="130"/>
      </w:pPr>
      <w:r>
        <w:rPr>
          <w:rFonts w:ascii="Arial" w:cs="Arial" w:eastAsia="Arial" w:hAnsi="Arial"/>
          <w:b/>
          <w:bCs/>
          <w:color w:val="1F3864"/>
          <w:sz w:val="26"/>
          <w:szCs w:val="26"/>
        </w:rPr>
        <w:t xml:space="preserve">3. Research Gap</w:t>
      </w:r>
    </w:p>
    <w:p>
      <w:pPr>
        <w:spacing w:after="78" w:line="242"/>
        <w:jc w:val="both"/>
      </w:pPr>
      <w:r>
        <w:rPr>
          <w:rFonts w:ascii="Arial" w:cs="Arial" w:eastAsia="Arial" w:hAnsi="Arial"/>
          <w:b w:val="false"/>
          <w:bCs w:val="false"/>
          <w:i w:val="false"/>
          <w:iCs w:val="false"/>
          <w:sz w:val="22"/>
          <w:szCs w:val="22"/>
        </w:rPr>
        <w:t xml:space="preserve">Existing explainable-RL studies assume reliable observations, while telemetry-degradation research evaluates performance, communication reliability and network robustness but rarely explanation faithfulness, attention reliability or operator trust under stale data. Three concrete gaps follow. First, there is no formal definition or metric for the divergence between an explanation’s apparent stability/confidence and its actual faithfulness as data age — faithfulness decoupling. Second, no public benchmark couples a GAT-MARL dispatch environment with controllable, AoI-based degradation, so the effect cannot be measured. Third, no mitigation ties explanation trust to live data freshness. This proposal addresses all three.</w:t>
      </w:r>
    </w:p>
    <w:p>
      <w:pPr>
        <w:pStyle w:val="Heading1"/>
        <w:spacing w:after="64" w:before="130"/>
      </w:pPr>
      <w:r>
        <w:rPr>
          <w:rFonts w:ascii="Arial" w:cs="Arial" w:eastAsia="Arial" w:hAnsi="Arial"/>
          <w:b/>
          <w:bCs/>
          <w:color w:val="1F3864"/>
          <w:sz w:val="26"/>
          <w:szCs w:val="26"/>
        </w:rPr>
        <w:t xml:space="preserve">4. Aims and Objectives</w:t>
      </w:r>
    </w:p>
    <w:p>
      <w:pPr>
        <w:spacing w:after="78" w:line="242"/>
        <w:jc w:val="both"/>
      </w:pPr>
      <w:r>
        <w:rPr>
          <w:rFonts w:ascii="Arial" w:cs="Arial" w:eastAsia="Arial" w:hAnsi="Arial"/>
          <w:b/>
          <w:bCs/>
          <w:i w:val="false"/>
          <w:iCs w:val="false"/>
          <w:sz w:val="22"/>
          <w:szCs w:val="22"/>
        </w:rPr>
        <w:t xml:space="preserve">Aim: </w:t>
      </w:r>
      <w:r>
        <w:rPr>
          <w:rFonts w:ascii="Arial" w:cs="Arial" w:eastAsia="Arial" w:hAnsi="Arial"/>
          <w:b w:val="false"/>
          <w:bCs w:val="false"/>
          <w:i w:val="false"/>
          <w:iCs w:val="false"/>
          <w:sz w:val="22"/>
          <w:szCs w:val="22"/>
        </w:rPr>
        <w:t xml:space="preserve">To determine whether, and characterise how, attention-based explanations in GAT-MARL fleet dispatch lose faithfulness under telemetry degradation, and to develop a telemetry-aware method that detects and mitigates this decoupling without harming dispatch performance.</w:t>
      </w:r>
    </w:p>
    <w:p>
      <w:pPr>
        <w:spacing w:after="78" w:line="242"/>
        <w:jc w:val="both"/>
      </w:pPr>
      <w:r>
        <w:rPr>
          <w:rFonts w:ascii="Arial" w:cs="Arial" w:eastAsia="Arial" w:hAnsi="Arial"/>
          <w:b/>
          <w:bCs/>
          <w:i w:val="false"/>
          <w:iCs w:val="false"/>
          <w:sz w:val="22"/>
          <w:szCs w:val="22"/>
        </w:rPr>
        <w:t xml:space="preserve">Objectives:</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Develop a graph-attention multi-agent RL (GAT-MAPPO) dispatcher for fleet dispatch (WP2, WP3).</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Design a telemetry-degradation framework, parameterised by Age of Information, that simulates realistic signal loss — for example when vehicles enter tunnels (WP2).</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Develop a faithfulness evaluation protocol — Dispatch Explanation Faithfulness (DEF) — for graph-attention explanations (WP3).</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Measure how explanation faithfulness changes under increasing telemetry degradation (WP4).</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Identify whether graph attention increasingly focuses on stale telemetry, via the Weighted Attention Mass on Stale Nodes (WAMSN) metric and attention drift (WP4).</w:t>
      </w:r>
    </w:p>
    <w:p>
      <w:pPr>
        <w:pStyle w:val="ListParagraph"/>
        <w:numPr>
          <w:ilvl w:val="0"/>
          <w:numId w:val="2"/>
        </w:numPr>
        <w:spacing w:after="38" w:line="242"/>
        <w:jc w:val="both"/>
      </w:pPr>
      <w:r>
        <w:rPr>
          <w:rFonts w:ascii="Arial" w:cs="Arial" w:eastAsia="Arial" w:hAnsi="Arial"/>
          <w:b w:val="false"/>
          <w:bCs w:val="false"/>
          <w:i w:val="false"/>
          <w:iCs w:val="false"/>
          <w:sz w:val="22"/>
          <w:szCs w:val="22"/>
        </w:rPr>
        <w:t xml:space="preserve">Evaluate mitigation strategies based on telemetry-awareness and release the benchmark and an IEEE paper (WP5, WP6).</w:t>
      </w:r>
    </w:p>
    <w:p>
      <w:pPr>
        <w:pStyle w:val="Heading1"/>
        <w:spacing w:after="64" w:before="130"/>
      </w:pPr>
      <w:r>
        <w:rPr>
          <w:rFonts w:ascii="Arial" w:cs="Arial" w:eastAsia="Arial" w:hAnsi="Arial"/>
          <w:b/>
          <w:bCs/>
          <w:color w:val="1F3864"/>
          <w:sz w:val="26"/>
          <w:szCs w:val="26"/>
        </w:rPr>
        <w:t xml:space="preserve">5. Research Questions</w:t>
      </w:r>
    </w:p>
    <w:p>
      <w:pPr>
        <w:pStyle w:val="ListParagraph"/>
        <w:numPr>
          <w:ilvl w:val="0"/>
          <w:numId w:val="3"/>
        </w:numPr>
        <w:spacing w:after="38" w:line="242"/>
        <w:jc w:val="both"/>
      </w:pPr>
      <w:r>
        <w:rPr>
          <w:rFonts w:ascii="Arial" w:cs="Arial" w:eastAsia="Arial" w:hAnsi="Arial"/>
          <w:b/>
          <w:bCs/>
          <w:i w:val="false"/>
          <w:iCs w:val="false"/>
          <w:sz w:val="22"/>
          <w:szCs w:val="22"/>
        </w:rPr>
        <w:t xml:space="preserve">RQ1. </w:t>
      </w:r>
      <w:r>
        <w:rPr>
          <w:rFonts w:ascii="Arial" w:cs="Arial" w:eastAsia="Arial" w:hAnsi="Arial"/>
          <w:b w:val="false"/>
          <w:bCs w:val="false"/>
          <w:i w:val="false"/>
          <w:iCs w:val="false"/>
          <w:sz w:val="22"/>
          <w:szCs w:val="22"/>
        </w:rPr>
        <w:t xml:space="preserve">How does explanation faithfulness change as telemetry degradation increases?</w:t>
      </w:r>
    </w:p>
    <w:p>
      <w:pPr>
        <w:pStyle w:val="ListParagraph"/>
        <w:numPr>
          <w:ilvl w:val="0"/>
          <w:numId w:val="3"/>
        </w:numPr>
        <w:spacing w:after="38" w:line="242"/>
        <w:jc w:val="both"/>
      </w:pPr>
      <w:r>
        <w:rPr>
          <w:rFonts w:ascii="Arial" w:cs="Arial" w:eastAsia="Arial" w:hAnsi="Arial"/>
          <w:b/>
          <w:bCs/>
          <w:i w:val="false"/>
          <w:iCs w:val="false"/>
          <w:sz w:val="22"/>
          <w:szCs w:val="22"/>
        </w:rPr>
        <w:t xml:space="preserve">RQ1a. </w:t>
      </w:r>
      <w:r>
        <w:rPr>
          <w:rFonts w:ascii="Arial" w:cs="Arial" w:eastAsia="Arial" w:hAnsi="Arial"/>
          <w:b w:val="false"/>
          <w:bCs w:val="false"/>
          <w:i w:val="false"/>
          <w:iCs w:val="false"/>
          <w:sz w:val="22"/>
          <w:szCs w:val="22"/>
        </w:rPr>
        <w:t xml:space="preserve">Are the attention-based explanations reasonably faithful on clean telemetry to begin with — establishing a baseline before any degradation?</w:t>
      </w:r>
    </w:p>
    <w:p>
      <w:pPr>
        <w:pStyle w:val="ListParagraph"/>
        <w:numPr>
          <w:ilvl w:val="0"/>
          <w:numId w:val="3"/>
        </w:numPr>
        <w:spacing w:after="38" w:line="242"/>
        <w:jc w:val="both"/>
      </w:pPr>
      <w:r>
        <w:rPr>
          <w:rFonts w:ascii="Arial" w:cs="Arial" w:eastAsia="Arial" w:hAnsi="Arial"/>
          <w:b/>
          <w:bCs/>
          <w:i w:val="false"/>
          <w:iCs w:val="false"/>
          <w:sz w:val="22"/>
          <w:szCs w:val="22"/>
        </w:rPr>
        <w:t xml:space="preserve">RQ2. </w:t>
      </w:r>
      <w:r>
        <w:rPr>
          <w:rFonts w:ascii="Arial" w:cs="Arial" w:eastAsia="Arial" w:hAnsi="Arial"/>
          <w:b w:val="false"/>
          <w:bCs w:val="false"/>
          <w:i w:val="false"/>
          <w:iCs w:val="false"/>
          <w:sz w:val="22"/>
          <w:szCs w:val="22"/>
        </w:rPr>
        <w:t xml:space="preserve">Does faithfulness degrade faster than dispatch performance, leading to faithfulness decoupling?</w:t>
      </w:r>
    </w:p>
    <w:p>
      <w:pPr>
        <w:pStyle w:val="ListParagraph"/>
        <w:numPr>
          <w:ilvl w:val="0"/>
          <w:numId w:val="3"/>
        </w:numPr>
        <w:spacing w:after="38" w:line="242"/>
        <w:jc w:val="both"/>
      </w:pPr>
      <w:r>
        <w:rPr>
          <w:rFonts w:ascii="Arial" w:cs="Arial" w:eastAsia="Arial" w:hAnsi="Arial"/>
          <w:b/>
          <w:bCs/>
          <w:i w:val="false"/>
          <w:iCs w:val="false"/>
          <w:sz w:val="22"/>
          <w:szCs w:val="22"/>
        </w:rPr>
        <w:t xml:space="preserve">RQ3. </w:t>
      </w:r>
      <w:r>
        <w:rPr>
          <w:rFonts w:ascii="Arial" w:cs="Arial" w:eastAsia="Arial" w:hAnsi="Arial"/>
          <w:b w:val="false"/>
          <w:bCs w:val="false"/>
          <w:i w:val="false"/>
          <w:iCs w:val="false"/>
          <w:sz w:val="22"/>
          <w:szCs w:val="22"/>
        </w:rPr>
        <w:t xml:space="preserve">What mechanisms drive faithfulness decoupling in graph-attention MARL dispatch systems?</w:t>
      </w:r>
    </w:p>
    <w:p>
      <w:pPr>
        <w:pStyle w:val="ListParagraph"/>
        <w:numPr>
          <w:ilvl w:val="0"/>
          <w:numId w:val="3"/>
        </w:numPr>
        <w:spacing w:after="38" w:line="242"/>
        <w:jc w:val="both"/>
      </w:pPr>
      <w:r>
        <w:rPr>
          <w:rFonts w:ascii="Arial" w:cs="Arial" w:eastAsia="Arial" w:hAnsi="Arial"/>
          <w:b/>
          <w:bCs/>
          <w:i w:val="false"/>
          <w:iCs w:val="false"/>
          <w:sz w:val="22"/>
          <w:szCs w:val="22"/>
        </w:rPr>
        <w:t xml:space="preserve">RQ4. </w:t>
      </w:r>
      <w:r>
        <w:rPr>
          <w:rFonts w:ascii="Arial" w:cs="Arial" w:eastAsia="Arial" w:hAnsi="Arial"/>
          <w:b w:val="false"/>
          <w:bCs w:val="false"/>
          <w:i w:val="false"/>
          <w:iCs w:val="false"/>
          <w:sz w:val="22"/>
          <w:szCs w:val="22"/>
        </w:rPr>
        <w:t xml:space="preserve">Can telemetry-awareness reduce explanation-faithfulness decoupling?</w:t>
      </w:r>
    </w:p>
    <w:p>
      <w:pPr>
        <w:spacing w:after="78" w:line="242"/>
        <w:jc w:val="both"/>
      </w:pPr>
      <w:r>
        <w:rPr>
          <w:rFonts w:ascii="Arial" w:cs="Arial" w:eastAsia="Arial" w:hAnsi="Arial"/>
          <w:b/>
          <w:bCs/>
          <w:i w:val="false"/>
          <w:iCs w:val="false"/>
          <w:sz w:val="22"/>
          <w:szCs w:val="22"/>
        </w:rPr>
        <w:t xml:space="preserve">Hypotheses.</w:t>
      </w:r>
    </w:p>
    <w:p>
      <w:pPr>
        <w:pStyle w:val="ListParagraph"/>
        <w:numPr>
          <w:ilvl w:val="0"/>
          <w:numId w:val="3"/>
        </w:numPr>
        <w:spacing w:after="38" w:line="242"/>
        <w:jc w:val="both"/>
      </w:pPr>
      <w:r>
        <w:rPr>
          <w:rFonts w:ascii="Arial" w:cs="Arial" w:eastAsia="Arial" w:hAnsi="Arial"/>
          <w:b/>
          <w:bCs/>
          <w:i w:val="false"/>
          <w:iCs w:val="false"/>
          <w:sz w:val="22"/>
          <w:szCs w:val="22"/>
        </w:rPr>
        <w:t xml:space="preserve">H1. </w:t>
      </w:r>
      <w:r>
        <w:rPr>
          <w:rFonts w:ascii="Arial" w:cs="Arial" w:eastAsia="Arial" w:hAnsi="Arial"/>
          <w:b w:val="false"/>
          <w:bCs w:val="false"/>
          <w:i w:val="false"/>
          <w:iCs w:val="false"/>
          <w:sz w:val="22"/>
          <w:szCs w:val="22"/>
        </w:rPr>
        <w:t xml:space="preserve">Increasing telemetry degradation reduces explanation faithfulness (DEF).</w:t>
      </w:r>
    </w:p>
    <w:p>
      <w:pPr>
        <w:pStyle w:val="ListParagraph"/>
        <w:numPr>
          <w:ilvl w:val="0"/>
          <w:numId w:val="3"/>
        </w:numPr>
        <w:spacing w:after="38" w:line="242"/>
        <w:jc w:val="both"/>
      </w:pPr>
      <w:r>
        <w:rPr>
          <w:rFonts w:ascii="Arial" w:cs="Arial" w:eastAsia="Arial" w:hAnsi="Arial"/>
          <w:b/>
          <w:bCs/>
          <w:i w:val="false"/>
          <w:iCs w:val="false"/>
          <w:sz w:val="22"/>
          <w:szCs w:val="22"/>
        </w:rPr>
        <w:t xml:space="preserve">H2. </w:t>
      </w:r>
      <w:r>
        <w:rPr>
          <w:rFonts w:ascii="Arial" w:cs="Arial" w:eastAsia="Arial" w:hAnsi="Arial"/>
          <w:b w:val="false"/>
          <w:bCs w:val="false"/>
          <w:i w:val="false"/>
          <w:iCs w:val="false"/>
          <w:sz w:val="22"/>
          <w:szCs w:val="22"/>
        </w:rPr>
        <w:t xml:space="preserve">Under increasing degradation, DEF declines faster than dispatch performance (faithfulness decoupling).</w:t>
      </w:r>
    </w:p>
    <w:p>
      <w:pPr>
        <w:pStyle w:val="ListParagraph"/>
        <w:numPr>
          <w:ilvl w:val="0"/>
          <w:numId w:val="3"/>
        </w:numPr>
        <w:spacing w:after="38" w:line="242"/>
        <w:jc w:val="both"/>
      </w:pPr>
      <w:r>
        <w:rPr>
          <w:rFonts w:ascii="Arial" w:cs="Arial" w:eastAsia="Arial" w:hAnsi="Arial"/>
          <w:b/>
          <w:bCs/>
          <w:i w:val="false"/>
          <w:iCs w:val="false"/>
          <w:sz w:val="22"/>
          <w:szCs w:val="22"/>
        </w:rPr>
        <w:t xml:space="preserve">H3. </w:t>
      </w:r>
      <w:r>
        <w:rPr>
          <w:rFonts w:ascii="Arial" w:cs="Arial" w:eastAsia="Arial" w:hAnsi="Arial"/>
          <w:b w:val="false"/>
          <w:bCs w:val="false"/>
          <w:i w:val="false"/>
          <w:iCs w:val="false"/>
          <w:sz w:val="22"/>
          <w:szCs w:val="22"/>
        </w:rPr>
        <w:t xml:space="preserve">Increasing telemetry degradation increases attention allocation to stale telemetry (WAMSN).</w:t>
      </w:r>
    </w:p>
    <w:p>
      <w:pPr>
        <w:pStyle w:val="ListParagraph"/>
        <w:numPr>
          <w:ilvl w:val="0"/>
          <w:numId w:val="3"/>
        </w:numPr>
        <w:spacing w:after="38" w:line="242"/>
        <w:jc w:val="both"/>
      </w:pPr>
      <w:r>
        <w:rPr>
          <w:rFonts w:ascii="Arial" w:cs="Arial" w:eastAsia="Arial" w:hAnsi="Arial"/>
          <w:b/>
          <w:bCs/>
          <w:i w:val="false"/>
          <w:iCs w:val="false"/>
          <w:sz w:val="22"/>
          <w:szCs w:val="22"/>
        </w:rPr>
        <w:t xml:space="preserve">H4. </w:t>
      </w:r>
      <w:r>
        <w:rPr>
          <w:rFonts w:ascii="Arial" w:cs="Arial" w:eastAsia="Arial" w:hAnsi="Arial"/>
          <w:b w:val="false"/>
          <w:bCs w:val="false"/>
          <w:i w:val="false"/>
          <w:iCs w:val="false"/>
          <w:sz w:val="22"/>
          <w:szCs w:val="22"/>
        </w:rPr>
        <w:t xml:space="preserve">WAMSN is negatively correlated with DEF across degradation severities.</w:t>
      </w:r>
    </w:p>
    <w:p>
      <w:pPr>
        <w:pStyle w:val="ListParagraph"/>
        <w:numPr>
          <w:ilvl w:val="0"/>
          <w:numId w:val="3"/>
        </w:numPr>
        <w:spacing w:after="38" w:line="242"/>
        <w:jc w:val="both"/>
      </w:pPr>
      <w:r>
        <w:rPr>
          <w:rFonts w:ascii="Arial" w:cs="Arial" w:eastAsia="Arial" w:hAnsi="Arial"/>
          <w:b/>
          <w:bCs/>
          <w:i w:val="false"/>
          <w:iCs w:val="false"/>
          <w:sz w:val="22"/>
          <w:szCs w:val="22"/>
        </w:rPr>
        <w:t xml:space="preserve">H5. </w:t>
      </w:r>
      <w:r>
        <w:rPr>
          <w:rFonts w:ascii="Arial" w:cs="Arial" w:eastAsia="Arial" w:hAnsi="Arial"/>
          <w:b w:val="false"/>
          <w:bCs w:val="false"/>
          <w:i w:val="false"/>
          <w:iCs w:val="false"/>
          <w:sz w:val="22"/>
          <w:szCs w:val="22"/>
        </w:rPr>
        <w:t xml:space="preserve">AoI-aware training influences the relationship between telemetry degradation and explanation faithfulness (the results may support or reject a mitigation effect).</w:t>
      </w:r>
    </w:p>
    <w:p>
      <w:pPr>
        <w:spacing w:after="40" w:before="60"/>
        <w:jc w:val="center"/>
      </w:pPr>
      <w:r>
        <w:drawing>
          <wp:inline distT="0" distB="0" distL="0" distR="0">
            <wp:extent cx="2381250" cy="3409950"/>
            <wp:effectExtent t="0" r="0" b="0" l="0"/>
            <wp:docPr id="1" name="CausalChain" descr="Telemetry degradation to faithfulness decoupling" title="Caus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3409950"/>
                    </a:xfrm>
                    <a:prstGeom prst="rect">
                      <a:avLst/>
                    </a:prstGeom>
                  </pic:spPr>
                </pic:pic>
              </a:graphicData>
            </a:graphic>
          </wp:inline>
        </w:drawing>
      </w:r>
    </w:p>
    <w:p>
      <w:pPr>
        <w:spacing w:after="80"/>
        <w:jc w:val="center"/>
      </w:pPr>
      <w:r>
        <w:rPr>
          <w:rFonts w:ascii="Arial" w:cs="Arial" w:eastAsia="Arial" w:hAnsi="Arial"/>
          <w:i/>
          <w:iCs/>
          <w:sz w:val="18"/>
          <w:szCs w:val="18"/>
        </w:rPr>
        <w:t xml:space="preserve">Figure 1. Conceptual causal framework: telemetry degradation raises AoI, which causes attention drift and concentrates attention on stale nodes (WAMSN), lowering faithfulness (DEF) and producing faithfulness decoupling.</w:t>
      </w:r>
    </w:p>
    <w:p>
      <w:pPr>
        <w:pStyle w:val="Heading1"/>
        <w:spacing w:after="64" w:before="130"/>
      </w:pPr>
      <w:r>
        <w:rPr>
          <w:rFonts w:ascii="Arial" w:cs="Arial" w:eastAsia="Arial" w:hAnsi="Arial"/>
          <w:b/>
          <w:bCs/>
          <w:color w:val="1F3864"/>
          <w:sz w:val="26"/>
          <w:szCs w:val="26"/>
        </w:rPr>
        <w:t xml:space="preserve">6. Rationale</w:t>
      </w:r>
    </w:p>
    <w:p>
      <w:pPr>
        <w:spacing w:after="78" w:line="242"/>
        <w:jc w:val="both"/>
      </w:pPr>
      <w:r>
        <w:rPr>
          <w:rFonts w:ascii="Arial" w:cs="Arial" w:eastAsia="Arial" w:hAnsi="Arial"/>
          <w:b w:val="false"/>
          <w:bCs w:val="false"/>
          <w:i w:val="false"/>
          <w:iCs w:val="false"/>
          <w:sz w:val="22"/>
          <w:szCs w:val="22"/>
        </w:rPr>
        <w:t xml:space="preserve">The work is timely. Connected and increasingly autonomous fleets are deployed at scale, and operators rely on dashboards that present attention as the system’s reasoning to justify interventions and audits. Transparency obligations for high-risk AI — for example under the EU AI Act — make the validity of such explanations a compliance issue, not a convenience. The danger is specific: an explanation that stays confident while its data age gives a false sense of accountability precisely when conditions are worst. Existing faithfulness research assumes clean inputs and robustness research ignores explanations, so neither community has examined this interaction. By naming, measuring and mitigating faithfulness decoupling — and grounding it in the established AoI framework — the project fills the gap and yields a reusable benchmark. An academic study is the right instrument: it can isolate the effect under controlled degradation, define rigorous metrics, and release reproducible artefacts, which proprietary operator data and internal white papers cannot.</w:t>
      </w:r>
    </w:p>
    <w:p>
      <w:pPr>
        <w:pStyle w:val="Heading1"/>
        <w:spacing w:after="64" w:before="130"/>
      </w:pPr>
      <w:r>
        <w:rPr>
          <w:rFonts w:ascii="Arial" w:cs="Arial" w:eastAsia="Arial" w:hAnsi="Arial"/>
          <w:b/>
          <w:bCs/>
          <w:color w:val="1F3864"/>
          <w:sz w:val="26"/>
          <w:szCs w:val="26"/>
        </w:rPr>
        <w:t xml:space="preserve">7. Methodology</w:t>
      </w:r>
    </w:p>
    <w:p>
      <w:pPr>
        <w:spacing w:after="78" w:line="242"/>
        <w:jc w:val="both"/>
      </w:pPr>
      <w:r>
        <w:rPr>
          <w:rFonts w:ascii="Arial" w:cs="Arial" w:eastAsia="Arial" w:hAnsi="Arial"/>
          <w:b w:val="false"/>
          <w:bCs w:val="false"/>
          <w:i w:val="false"/>
          <w:iCs w:val="false"/>
          <w:sz w:val="22"/>
          <w:szCs w:val="22"/>
        </w:rPr>
        <w:t xml:space="preserve">The study is quantitative and computational. Because the central question links a controlled cause (telemetry degradation) to a measurable effect (explanation faithfulness), a simulation experiment with systematically varied degradation gives ground-truth control that real operational data cannot. The pipeline runs end-to-end within Google Colab limits.</w:t>
      </w:r>
    </w:p>
    <w:p>
      <w:pPr>
        <w:pStyle w:val="Heading2"/>
        <w:spacing w:after="36" w:before="80"/>
      </w:pPr>
      <w:r>
        <w:rPr>
          <w:rFonts w:ascii="Arial" w:cs="Arial" w:eastAsia="Arial" w:hAnsi="Arial"/>
          <w:b/>
          <w:bCs/>
          <w:color w:val="2E5496"/>
          <w:sz w:val="23"/>
          <w:szCs w:val="23"/>
        </w:rPr>
        <w:t xml:space="preserve">7.1 System architecture</w:t>
      </w:r>
    </w:p>
    <w:p>
      <w:pPr>
        <w:spacing w:after="78" w:line="242"/>
        <w:jc w:val="both"/>
      </w:pPr>
      <w:r>
        <w:rPr>
          <w:rFonts w:ascii="Arial" w:cs="Arial" w:eastAsia="Arial" w:hAnsi="Arial"/>
          <w:b w:val="false"/>
          <w:bCs w:val="false"/>
          <w:i w:val="false"/>
          <w:iCs w:val="false"/>
          <w:sz w:val="22"/>
          <w:szCs w:val="22"/>
        </w:rPr>
        <w:t>Fleet environment. Vehicle movement is simulated in SUMO (Simulation of Urban MObility) [22], the standard microscopic traffic simulator, on a real OpenStreetMap road network. SUMO is driven in-process through libsumo/TraCI, and its built-in taxi (dispatch) device supplies order reservations, assignment and pickup/drop-off, so the dispatch layer need not be rebuilt. We adopt a decentralised fleet-dispatch formulation [1, 5]: rather than a central dispatcher computing a global matching each step, every idle vehicle chooses independently whether to accept one of its K nearest pending reservations. Idle vehicles are agents that each step either stay idle or accept one of the K nearest pending reservations, giving an action space of Discrete(K+1). No explicit zone partition or learned repositioning is used; idle taxis default to the SUMO taxi device's randomCircling behaviour and become available for dispatch again on the next step. Each vehicle carries features: position, velocity, availability and Age of Information (AoI). Per-agent heterogeneous graph. For each acting vehicle, a small graph is constructed with three node types: self, K nearest neighbouring vehicles (to model fleet coordination) and K nearest pending reservations (the candidate assignments). Edges are implicit — the GAT layer attends over all valid nodes with a masked softmax, and edge weights are learned rather than pre-computed. Relative distance is provided as a node feature (Δx, Δy, ‖Δ‖ from self) rather than as an explicit edge attribute. Dispatcher: a MAPPO [5] backbone with a GAT [7] encoder that captures fleet interactions, producing the attention distributions used as explanations. Implementation uses Python, SUMO driven through the in-process libsumo backend, PyTorch and PettingZoo. The graph attention layer is a hand-rolled multi-head scaled dot-product attention rather than PyTorch Geometric's GATConv, so that attention weights are first-class return values of the forward pass and can be consumed directly by the faithfulness pipeline. This per-agent, decentralised graph is chosen deliberately: attention rows are then in one-to-one correspondence with a single vehicle's dispatch decision, allowing DEF and WAMSN to be evaluated on each decision independently rather than on an aggregate dispatcher output; AoI is likewise a per-agent quantity, matching the summands in the WAMSN definition (Section 7.4). A known drawback of decentralised dispatch is that multiple vehicles can converge on the same reservation without explicit coordination; the GAT's attention over neighbouring vehicles gives each agent implicit awareness of peers likely to compete for the same order, allowing coordination to emerge from the learned policy — whether that coordination signal is faithfully explained by attention is itself one of the questions DEF is designed to answer.</w:t>
      </w:r>
    </w:p>
    <w:p>
      <w:pPr>
        <w:spacing w:after="78" w:line="242"/>
        <w:jc w:val="both"/>
      </w:pPr>
      <w:r>
        <w:rPr>
          <w:rFonts w:ascii="Arial" w:cs="Arial" w:eastAsia="Arial" w:hAnsi="Arial"/>
          <w:b/>
          <w:bCs/>
          <w:i w:val="false"/>
          <w:iCs w:val="false"/>
          <w:sz w:val="22"/>
          <w:szCs w:val="22"/>
        </w:rPr>
        <w:t xml:space="preserve">Scope note. </w:t>
      </w:r>
      <w:r>
        <w:rPr>
          <w:rFonts w:ascii="Arial" w:cs="Arial" w:eastAsia="Arial" w:hAnsi="Arial"/>
          <w:b w:val="false"/>
          <w:bCs w:val="false"/>
          <w:i w:val="false"/>
          <w:iCs w:val="false"/>
          <w:sz w:val="22"/>
          <w:szCs w:val="22"/>
        </w:rPr>
        <w:t xml:space="preserve">SUMO is used strictly as an experimental platform for generating realistic fleet telemetry, not as a contribution of this work. Likewise, this study does not aim to develop a new MARL algorithm; GAT-MAPPO serves as an experimental vehicle for studying explanation faithfulness under telemetry degradation. The contributions are conceptual and methodological — faithfulness decoupling and the DEF and WAMSN metrics — and are independent of the particular simulator or RL backbone used.</w:t>
      </w:r>
    </w:p>
    <w:p>
      <w:pPr>
        <w:pStyle w:val="Heading2"/>
        <w:spacing w:after="36" w:before="80"/>
      </w:pPr>
      <w:r>
        <w:rPr>
          <w:rFonts w:ascii="Arial" w:cs="Arial" w:eastAsia="Arial" w:hAnsi="Arial"/>
          <w:b/>
          <w:bCs/>
          <w:color w:val="2E5496"/>
          <w:sz w:val="23"/>
          <w:szCs w:val="23"/>
        </w:rPr>
        <w:t xml:space="preserve">7.2 Telemetry-degradation framework</w:t>
      </w:r>
    </w:p>
    <w:p>
      <w:pPr>
        <w:spacing w:after="78" w:line="242"/>
        <w:jc w:val="both"/>
      </w:pPr>
      <w:r>
        <w:rPr>
          <w:rFonts w:ascii="Arial" w:cs="Arial" w:eastAsia="Arial" w:hAnsi="Arial"/>
          <w:b w:val="false"/>
          <w:bCs w:val="false"/>
          <w:i w:val="false"/>
          <w:iCs w:val="false"/>
          <w:sz w:val="22"/>
          <w:szCs w:val="22"/>
        </w:rPr>
        <w:t>To keep the study focused and computationally tractable, telemetry degradation is restricted to a single axis — Age-of-Information (AoI) staleness, where AoI = current time − last update time — instantiated through one realistic mechanism: loss of signal when a vehicle enters a tunnel or other shadow zone. Selected edges of the SUMO road network are designated as tunnel/shadow zones; whenever a vehicle traverses such an edge it stops transmitting and its telemetry freezes, so agents must act on the last known state, whose AoI grows for the transit duration until the vehicle re-emerges. This grounds staleness geographically and produces bursty, realistic degradation, with severity controlled by the maximum AoI reached. Because tunnel transit time is fixed by network geography once the map is chosen, each severity level is operationalised as a signal-outage duration: after the trigger, the signal stays lost until the vehicle's AoI reaches the level (physically, receiver re-acquisition delay), so the level bounds the maximum AoI directly while long transits are reported via the empirical AoI distribution. Tunnel-induced signal loss is adopted as a representative and controllable source of telemetry staleness, not as the only possible degradation mechanism — the same AoI framework extends to other causes (urban canyons, congestion-related backhaul delay, sensor faults), which are left to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 xml:space="preserve">Level</w:t>
            </w:r>
          </w:p>
        </w:tc>
        <w:tc>
          <w:tcPr>
            <w:tcW w:type="dxa" w:w="636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Maximum AoI (signal-outage duration)</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Clean</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0 s — continuous signal</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Mild</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5 s</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Moderate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15 s</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Severe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30 s</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Extreme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60 s</w:t>
            </w:r>
          </w:p>
        </w:tc>
      </w:tr>
    </w:tbl>
    <w:p>
      <w:pPr>
        <w:spacing w:after="80"/>
      </w:pPr>
    </w:p>
    <w:p>
      <w:pPr>
        <w:pStyle w:val="Heading2"/>
        <w:spacing w:after="36" w:before="80"/>
      </w:pPr>
      <w:r>
        <w:rPr>
          <w:rFonts w:ascii="Arial" w:cs="Arial" w:eastAsia="Arial" w:hAnsi="Arial"/>
          <w:b/>
          <w:bCs/>
          <w:color w:val="2E5496"/>
          <w:sz w:val="23"/>
          <w:szCs w:val="23"/>
        </w:rPr>
        <w:t xml:space="preserve">7.3 Explanation framework</w:t>
      </w:r>
    </w:p>
    <w:p>
      <w:pPr>
        <w:spacing w:after="78" w:line="242"/>
        <w:jc w:val="both"/>
      </w:pPr>
      <w:r>
        <w:rPr>
          <w:rFonts w:ascii="Arial" w:cs="Arial" w:eastAsia="Arial" w:hAnsi="Arial"/>
          <w:b w:val="false"/>
          <w:bCs w:val="false"/>
          <w:i w:val="false"/>
          <w:iCs w:val="false"/>
          <w:sz w:val="22"/>
          <w:szCs w:val="22"/>
        </w:rPr>
        <w:t xml:space="preserve">Following the critique that attention need not be faithful [12], attention weights are treated as </w:t>
      </w:r>
      <w:r>
        <w:rPr>
          <w:rFonts w:ascii="Arial" w:cs="Arial" w:eastAsia="Arial" w:hAnsi="Arial"/>
          <w:b/>
          <w:bCs/>
          <w:i w:val="false"/>
          <w:iCs w:val="false"/>
          <w:sz w:val="22"/>
          <w:szCs w:val="22"/>
        </w:rPr>
        <w:t xml:space="preserve">candidate explanations rather than assumed faithful a priori</w:t>
      </w:r>
      <w:r>
        <w:rPr>
          <w:rFonts w:ascii="Arial" w:cs="Arial" w:eastAsia="Arial" w:hAnsi="Arial"/>
          <w:b w:val="false"/>
          <w:bCs w:val="false"/>
          <w:i w:val="false"/>
          <w:iCs w:val="false"/>
          <w:sz w:val="22"/>
          <w:szCs w:val="22"/>
        </w:rPr>
        <w:t xml:space="preserve">; their faithfulness is assessed independently through the perturbation-based protocol of §7.4. Two complementary explainers are used. Method A — attention-based: graph-attention weights are read as a candidate account of why a vehicle was selected. Method B — node occlusion: each node is masked individually and the change in the selected-action probability ΔP(a*) = π(a*|G) − π(a*|G without node i) is measured (a policy-based effect, consistent with the actor–critic setting, rather than a Q-value change). Method B both validates Method A and provides a model-agnostic importance reference, reducing dependence on a single explanation mechanism.</w:t>
      </w:r>
    </w:p>
    <w:p>
      <w:pPr>
        <w:pStyle w:val="Heading2"/>
        <w:spacing w:after="36" w:before="80"/>
      </w:pPr>
      <w:r>
        <w:rPr>
          <w:rFonts w:ascii="Arial" w:cs="Arial" w:eastAsia="Arial" w:hAnsi="Arial"/>
          <w:b/>
          <w:bCs/>
          <w:color w:val="2E5496"/>
          <w:sz w:val="23"/>
          <w:szCs w:val="23"/>
        </w:rPr>
        <w:t xml:space="preserve">7.4 Faithfulness evaluation protocol (DEF, attention drift, WAMSN)</w:t>
      </w:r>
    </w:p>
    <w:p>
      <w:pPr>
        <w:spacing w:after="78" w:line="242"/>
        <w:jc w:val="both"/>
      </w:pPr>
      <w:r>
        <w:rPr>
          <w:rFonts w:ascii="Arial" w:cs="Arial" w:eastAsia="Arial" w:hAnsi="Arial"/>
          <w:b/>
          <w:bCs/>
          <w:i w:val="false"/>
          <w:iCs w:val="false"/>
          <w:sz w:val="22"/>
          <w:szCs w:val="22"/>
        </w:rPr>
        <w:t xml:space="preserve">Dispatch Explanation Faithfulness (DEF). </w:t>
      </w:r>
      <w:r>
        <w:rPr>
          <w:rFonts w:ascii="Arial" w:cs="Arial" w:eastAsia="Arial" w:hAnsi="Arial"/>
          <w:b w:val="false"/>
          <w:bCs w:val="false"/>
          <w:i w:val="false"/>
          <w:iCs w:val="false"/>
          <w:sz w:val="22"/>
          <w:szCs w:val="22"/>
        </w:rPr>
        <w:t xml:space="preserve">For a decision, let π(a*) be the probability the policy assigns to its selected action a* on the full graph G — a policy-based quantity appropriate to the actor–critic setting, used in place of any Q-value — and let R_k be the top-k nodes by attention. Comprehensiveness is the confidence drop when those nodes are removed; sufficiency is the drop when only those nodes are kept:</w:t>
      </w:r>
    </w:p>
    <w:p>
      <w:pPr>
        <w:spacing w:after="80" w:before="40"/>
        <w:jc w:val="center"/>
      </w:pPr>
      <w:r>
        <w:rPr>
          <w:rFonts w:ascii="Arial" w:cs="Arial" w:eastAsia="Arial" w:hAnsi="Arial"/>
          <w:b w:val="false"/>
          <w:bCs w:val="false"/>
          <w:i/>
          <w:iCs/>
          <w:sz w:val="22"/>
          <w:szCs w:val="22"/>
        </w:rPr>
        <w:t xml:space="preserve">Comp = π(a*|G) − π(a*|G \ R</w:t>
      </w:r>
      <w:r>
        <w:rPr>
          <w:rFonts w:ascii="Arial" w:cs="Arial" w:eastAsia="Arial" w:hAnsi="Arial"/>
          <w:b w:val="false"/>
          <w:bCs w:val="false"/>
          <w:i/>
          <w:iCs/>
          <w:sz w:val="22"/>
          <w:szCs w:val="22"/>
          <w:vertAlign w:val="subscript"/>
        </w:rPr>
        <w:t xml:space="preserve">k</w:t>
      </w:r>
      <w:r>
        <w:rPr>
          <w:rFonts w:ascii="Arial" w:cs="Arial" w:eastAsia="Arial" w:hAnsi="Arial"/>
          <w:b w:val="false"/>
          <w:bCs w:val="false"/>
          <w:i/>
          <w:iCs/>
          <w:sz w:val="22"/>
          <w:szCs w:val="22"/>
        </w:rPr>
        <w:t xml:space="preserve">)        Suff = π(a*|G) − π(a*|R</w:t>
      </w:r>
      <w:r>
        <w:rPr>
          <w:rFonts w:ascii="Arial" w:cs="Arial" w:eastAsia="Arial" w:hAnsi="Arial"/>
          <w:b w:val="false"/>
          <w:bCs w:val="false"/>
          <w:i/>
          <w:iCs/>
          <w:sz w:val="22"/>
          <w:szCs w:val="22"/>
          <w:vertAlign w:val="subscript"/>
        </w:rPr>
        <w:t xml:space="preserve">k</w:t>
      </w:r>
      <w:r>
        <w:rPr>
          <w:rFonts w:ascii="Arial" w:cs="Arial" w:eastAsia="Arial" w:hAnsi="Arial"/>
          <w:b w:val="false"/>
          <w:bCs w:val="false"/>
          <w:i/>
          <w:iCs/>
          <w:sz w:val="22"/>
          <w:szCs w:val="22"/>
        </w:rPr>
        <w:t xml:space="preserve">)</w:t>
      </w:r>
    </w:p>
    <w:p>
      <w:pPr>
        <w:spacing w:after="78" w:line="242"/>
        <w:jc w:val="both"/>
      </w:pPr>
      <w:r>
        <w:rPr>
          <w:rFonts w:ascii="Arial" w:cs="Arial" w:eastAsia="Arial" w:hAnsi="Arial"/>
          <w:b w:val="false"/>
          <w:bCs w:val="false"/>
          <w:i w:val="false"/>
          <w:iCs w:val="false"/>
          <w:sz w:val="22"/>
          <w:szCs w:val="22"/>
        </w:rPr>
        <w:t xml:space="preserve">A faithful explanation has high comprehensiveness and low sufficiency. To prevent an aggregate from masking opposing component behaviour, each criterion is expressed as a normalised gain over a random explanation of equal size, and DEF is their mean:</w:t>
      </w:r>
    </w:p>
    <w:p>
      <w:pPr>
        <w:spacing w:after="80" w:before="40"/>
        <w:jc w:val="center"/>
      </w:pPr>
      <w:r>
        <w:rPr>
          <w:rFonts w:ascii="Arial" w:cs="Arial" w:eastAsia="Arial" w:hAnsi="Arial"/>
          <w:b w:val="false"/>
          <w:bCs w:val="false"/>
          <w:i/>
          <w:iCs/>
          <w:sz w:val="22"/>
          <w:szCs w:val="22"/>
        </w:rPr>
        <w:t xml:space="preserve">g</w:t>
      </w:r>
      <w:r>
        <w:rPr>
          <w:rFonts w:ascii="Arial" w:cs="Arial" w:eastAsia="Arial" w:hAnsi="Arial"/>
          <w:b w:val="false"/>
          <w:bCs w:val="false"/>
          <w:i/>
          <w:iCs/>
          <w:sz w:val="22"/>
          <w:szCs w:val="22"/>
          <w:vertAlign w:val="subscript"/>
        </w:rPr>
        <w:t xml:space="preserve">comp</w:t>
      </w:r>
      <w:r>
        <w:rPr>
          <w:rFonts w:ascii="Arial" w:cs="Arial" w:eastAsia="Arial" w:hAnsi="Arial"/>
          <w:b w:val="false"/>
          <w:bCs w:val="false"/>
          <w:i/>
          <w:iCs/>
          <w:sz w:val="22"/>
          <w:szCs w:val="22"/>
        </w:rPr>
        <w:t xml:space="preserve"> = Comp − Comp</w:t>
      </w:r>
      <w:r>
        <w:rPr>
          <w:rFonts w:ascii="Arial" w:cs="Arial" w:eastAsia="Arial" w:hAnsi="Arial"/>
          <w:b w:val="false"/>
          <w:bCs w:val="false"/>
          <w:i/>
          <w:iCs/>
          <w:sz w:val="22"/>
          <w:szCs w:val="22"/>
          <w:vertAlign w:val="subscript"/>
        </w:rPr>
        <w:t xml:space="preserve">rand</w:t>
      </w:r>
      <w:r>
        <w:rPr>
          <w:rFonts w:ascii="Arial" w:cs="Arial" w:eastAsia="Arial" w:hAnsi="Arial"/>
          <w:b w:val="false"/>
          <w:bCs w:val="false"/>
          <w:i/>
          <w:iCs/>
          <w:sz w:val="22"/>
          <w:szCs w:val="22"/>
        </w:rPr>
        <w:t xml:space="preserve"> ,    g</w:t>
      </w:r>
      <w:r>
        <w:rPr>
          <w:rFonts w:ascii="Arial" w:cs="Arial" w:eastAsia="Arial" w:hAnsi="Arial"/>
          <w:b w:val="false"/>
          <w:bCs w:val="false"/>
          <w:i/>
          <w:iCs/>
          <w:sz w:val="22"/>
          <w:szCs w:val="22"/>
          <w:vertAlign w:val="subscript"/>
        </w:rPr>
        <w:t xml:space="preserve">suff</w:t>
      </w:r>
      <w:r>
        <w:rPr>
          <w:rFonts w:ascii="Arial" w:cs="Arial" w:eastAsia="Arial" w:hAnsi="Arial"/>
          <w:b w:val="false"/>
          <w:bCs w:val="false"/>
          <w:i/>
          <w:iCs/>
          <w:sz w:val="22"/>
          <w:szCs w:val="22"/>
        </w:rPr>
        <w:t xml:space="preserve"> = Suff</w:t>
      </w:r>
      <w:r>
        <w:rPr>
          <w:rFonts w:ascii="Arial" w:cs="Arial" w:eastAsia="Arial" w:hAnsi="Arial"/>
          <w:b w:val="false"/>
          <w:bCs w:val="false"/>
          <w:i/>
          <w:iCs/>
          <w:sz w:val="22"/>
          <w:szCs w:val="22"/>
          <w:vertAlign w:val="subscript"/>
        </w:rPr>
        <w:t xml:space="preserve">rand</w:t>
      </w:r>
      <w:r>
        <w:rPr>
          <w:rFonts w:ascii="Arial" w:cs="Arial" w:eastAsia="Arial" w:hAnsi="Arial"/>
          <w:b w:val="false"/>
          <w:bCs w:val="false"/>
          <w:i/>
          <w:iCs/>
          <w:sz w:val="22"/>
          <w:szCs w:val="22"/>
        </w:rPr>
        <w:t xml:space="preserve"> − Suff</w:t>
      </w:r>
    </w:p>
    <w:p>
      <w:pPr>
        <w:spacing w:after="80" w:before="40"/>
        <w:jc w:val="center"/>
      </w:pPr>
      <w:r>
        <w:rPr>
          <w:rFonts w:ascii="Arial" w:cs="Arial" w:eastAsia="Arial" w:hAnsi="Arial"/>
          <w:b w:val="false"/>
          <w:bCs w:val="false"/>
          <w:i/>
          <w:iCs/>
          <w:sz w:val="22"/>
          <w:szCs w:val="22"/>
        </w:rPr>
        <w:t xml:space="preserve">DEF = ½ ( g</w:t>
      </w:r>
      <w:r>
        <w:rPr>
          <w:rFonts w:ascii="Arial" w:cs="Arial" w:eastAsia="Arial" w:hAnsi="Arial"/>
          <w:b w:val="false"/>
          <w:bCs w:val="false"/>
          <w:i/>
          <w:iCs/>
          <w:sz w:val="22"/>
          <w:szCs w:val="22"/>
          <w:vertAlign w:val="subscript"/>
        </w:rPr>
        <w:t xml:space="preserve">comp</w:t>
      </w:r>
      <w:r>
        <w:rPr>
          <w:rFonts w:ascii="Arial" w:cs="Arial" w:eastAsia="Arial" w:hAnsi="Arial"/>
          <w:b w:val="false"/>
          <w:bCs w:val="false"/>
          <w:i/>
          <w:iCs/>
          <w:sz w:val="22"/>
          <w:szCs w:val="22"/>
        </w:rPr>
        <w:t xml:space="preserve"> + g</w:t>
      </w:r>
      <w:r>
        <w:rPr>
          <w:rFonts w:ascii="Arial" w:cs="Arial" w:eastAsia="Arial" w:hAnsi="Arial"/>
          <w:b w:val="false"/>
          <w:bCs w:val="false"/>
          <w:i/>
          <w:iCs/>
          <w:sz w:val="22"/>
          <w:szCs w:val="22"/>
          <w:vertAlign w:val="subscript"/>
        </w:rPr>
        <w:t xml:space="preserve">suff</w:t>
      </w:r>
      <w:r>
        <w:rPr>
          <w:rFonts w:ascii="Arial" w:cs="Arial" w:eastAsia="Arial" w:hAnsi="Arial"/>
          <w:b w:val="false"/>
          <w:bCs w:val="false"/>
          <w:i/>
          <w:iCs/>
          <w:sz w:val="22"/>
          <w:szCs w:val="22"/>
        </w:rPr>
        <w:t xml:space="preserve"> )</w:t>
      </w:r>
    </w:p>
    <w:p>
      <w:pPr>
        <w:spacing w:after="78" w:line="242"/>
        <w:jc w:val="both"/>
      </w:pPr>
      <w:r>
        <w:rPr>
          <w:rFonts w:ascii="Arial" w:cs="Arial" w:eastAsia="Arial" w:hAnsi="Arial"/>
          <w:b w:val="false"/>
          <w:bCs w:val="false"/>
          <w:i w:val="false"/>
          <w:iCs w:val="false"/>
          <w:sz w:val="22"/>
          <w:szCs w:val="22"/>
        </w:rPr>
        <w:t xml:space="preserve">Both gains lie in [−1, 1], so DEF ∈ [−1, 1], and DEF &gt; 0 exactly when attention is, on average across the two complementary criteria, more faithful than a random explanation. Interpretation: higher DEF values indicate that the explanation identifies information that is both necessary (high comprehensiveness) and sufficient (low sufficiency) for the dispatch decision; values close to zero indicate weak explanatory power; negative values indicate explanations no better than random attribution. The components g</w:t>
      </w:r>
      <w:r>
        <w:rPr>
          <w:rFonts w:ascii="Arial" w:cs="Arial" w:eastAsia="Arial" w:hAnsi="Arial"/>
          <w:b w:val="false"/>
          <w:bCs w:val="false"/>
          <w:i w:val="false"/>
          <w:iCs w:val="false"/>
          <w:sz w:val="22"/>
          <w:szCs w:val="22"/>
        </w:rPr>
        <w:t xml:space="preserve">comp</w:t>
      </w:r>
      <w:r>
        <w:rPr>
          <w:rFonts w:ascii="Arial" w:cs="Arial" w:eastAsia="Arial" w:hAnsi="Arial"/>
          <w:b w:val="false"/>
          <w:bCs w:val="false"/>
          <w:i w:val="false"/>
          <w:iCs w:val="false"/>
          <w:sz w:val="22"/>
          <w:szCs w:val="22"/>
        </w:rPr>
        <w:t xml:space="preserve"> and g</w:t>
      </w:r>
      <w:r>
        <w:rPr>
          <w:rFonts w:ascii="Arial" w:cs="Arial" w:eastAsia="Arial" w:hAnsi="Arial"/>
          <w:b w:val="false"/>
          <w:bCs w:val="false"/>
          <w:i w:val="false"/>
          <w:iCs w:val="false"/>
          <w:sz w:val="22"/>
          <w:szCs w:val="22"/>
        </w:rPr>
        <w:t xml:space="preserve">suff</w:t>
      </w:r>
      <w:r>
        <w:rPr>
          <w:rFonts w:ascii="Arial" w:cs="Arial" w:eastAsia="Arial" w:hAnsi="Arial"/>
          <w:b w:val="false"/>
          <w:bCs w:val="false"/>
          <w:i w:val="false"/>
          <w:iCs w:val="false"/>
          <w:sz w:val="22"/>
          <w:szCs w:val="22"/>
        </w:rPr>
        <w:t xml:space="preserve"> are always reported alongside DEF so divergent behaviour stays visible; all quantities are averaged over k and over sampled decisions.</w:t>
      </w:r>
    </w:p>
    <w:p>
      <w:pPr>
        <w:spacing w:after="78" w:line="242"/>
        <w:jc w:val="both"/>
      </w:pPr>
      <w:r>
        <w:rPr>
          <w:rFonts w:ascii="Arial" w:cs="Arial" w:eastAsia="Arial" w:hAnsi="Arial"/>
          <w:b/>
          <w:bCs/>
          <w:i w:val="false"/>
          <w:iCs w:val="false"/>
          <w:sz w:val="22"/>
          <w:szCs w:val="22"/>
        </w:rPr>
        <w:t xml:space="preserve">Attention drift. </w:t>
      </w:r>
      <w:r>
        <w:rPr>
          <w:rFonts w:ascii="Arial" w:cs="Arial" w:eastAsia="Arial" w:hAnsi="Arial"/>
          <w:b w:val="false"/>
          <w:bCs w:val="false"/>
          <w:i w:val="false"/>
          <w:iCs w:val="false"/>
          <w:sz w:val="22"/>
          <w:szCs w:val="22"/>
        </w:rPr>
        <w:t xml:space="preserve">Attention drift is the phenomenon whereby the attention distribution deviates from its clean-data baseline as telemetry becomes stale. Its magnitude is captured by the Jensen–Shannon divergence between the attention distributions for the same decision on clean and degraded telemetry:</w:t>
      </w:r>
    </w:p>
    <w:p>
      <w:pPr>
        <w:spacing w:after="80" w:before="40"/>
        <w:jc w:val="center"/>
      </w:pPr>
      <w:r>
        <w:rPr>
          <w:rFonts w:ascii="Arial" w:cs="Arial" w:eastAsia="Arial" w:hAnsi="Arial"/>
          <w:b w:val="false"/>
          <w:bCs w:val="false"/>
          <w:i/>
          <w:iCs/>
          <w:sz w:val="22"/>
          <w:szCs w:val="22"/>
        </w:rPr>
        <w:t xml:space="preserve">AttentionDrift = JS( α</w:t>
      </w:r>
      <w:r>
        <w:rPr>
          <w:rFonts w:ascii="Arial" w:cs="Arial" w:eastAsia="Arial" w:hAnsi="Arial"/>
          <w:b w:val="false"/>
          <w:bCs w:val="false"/>
          <w:i/>
          <w:iCs/>
          <w:sz w:val="22"/>
          <w:szCs w:val="22"/>
          <w:vertAlign w:val="subscript"/>
        </w:rPr>
        <w:t xml:space="preserve">clean</w:t>
      </w:r>
      <w:r>
        <w:rPr>
          <w:rFonts w:ascii="Arial" w:cs="Arial" w:eastAsia="Arial" w:hAnsi="Arial"/>
          <w:b w:val="false"/>
          <w:bCs w:val="false"/>
          <w:i/>
          <w:iCs/>
          <w:sz w:val="22"/>
          <w:szCs w:val="22"/>
        </w:rPr>
        <w:t xml:space="preserve"> , α</w:t>
      </w:r>
      <w:r>
        <w:rPr>
          <w:rFonts w:ascii="Arial" w:cs="Arial" w:eastAsia="Arial" w:hAnsi="Arial"/>
          <w:b w:val="false"/>
          <w:bCs w:val="false"/>
          <w:i/>
          <w:iCs/>
          <w:sz w:val="22"/>
          <w:szCs w:val="22"/>
          <w:vertAlign w:val="subscript"/>
        </w:rPr>
        <w:t xml:space="preserve">degraded</w:t>
      </w:r>
      <w:r>
        <w:rPr>
          <w:rFonts w:ascii="Arial" w:cs="Arial" w:eastAsia="Arial" w:hAnsi="Arial"/>
          <w:b w:val="false"/>
          <w:bCs w:val="false"/>
          <w:i/>
          <w:iCs/>
          <w:sz w:val="22"/>
          <w:szCs w:val="22"/>
        </w:rPr>
        <w:t xml:space="preserve"> )</w:t>
      </w:r>
    </w:p>
    <w:p>
      <w:pPr>
        <w:spacing w:after="78" w:line="242"/>
        <w:jc w:val="both"/>
      </w:pPr>
      <w:r>
        <w:rPr>
          <w:rFonts w:ascii="Arial" w:cs="Arial" w:eastAsia="Arial" w:hAnsi="Arial"/>
          <w:b w:val="false"/>
          <w:bCs w:val="false"/>
          <w:i w:val="false"/>
          <w:iCs w:val="false"/>
          <w:sz w:val="22"/>
          <w:szCs w:val="22"/>
        </w:rPr>
        <w:t xml:space="preserve">bounded in [0, 1] (base-2 logarithm); larger values mean the explanation shifted more as data aged.</w:t>
      </w:r>
    </w:p>
    <w:p>
      <w:pPr>
        <w:spacing w:after="78" w:line="242"/>
        <w:jc w:val="both"/>
      </w:pPr>
      <w:r>
        <w:rPr>
          <w:rFonts w:ascii="Arial" w:cs="Arial" w:eastAsia="Arial" w:hAnsi="Arial"/>
          <w:b/>
          <w:bCs/>
          <w:i w:val="false"/>
          <w:iCs w:val="false"/>
          <w:sz w:val="22"/>
          <w:szCs w:val="22"/>
        </w:rPr>
        <w:t xml:space="preserve">Weighted Attention Mass on Stale Nodes (WAMSN). </w:t>
      </w:r>
      <w:r>
        <w:rPr>
          <w:rFonts w:ascii="Arial" w:cs="Arial" w:eastAsia="Arial" w:hAnsi="Arial"/>
          <w:b w:val="false"/>
          <w:bCs w:val="false"/>
          <w:i w:val="false"/>
          <w:iCs w:val="false"/>
          <w:sz w:val="22"/>
          <w:szCs w:val="22"/>
        </w:rPr>
        <w:t xml:space="preserve">WAMSN operationalises the consequence of this drift by quantifying the proportion of attention allocated to stale telemetry: whereas the JS divergence measures how much the distribution changed, WAMSN measures where the degraded attention is placed. Rather than thresholding AoI to label nodes “stale” (an arbitrary cut-off), staleness is graded continuously, with attention weight α_i and Age of Information AoI_i on node i:</w:t>
      </w:r>
    </w:p>
    <w:p>
      <w:pPr>
        <w:spacing w:after="80" w:before="40"/>
        <w:jc w:val="center"/>
      </w:pPr>
      <w:r>
        <w:rPr>
          <w:rFonts w:ascii="Arial" w:cs="Arial" w:eastAsia="Arial" w:hAnsi="Arial"/>
          <w:b w:val="false"/>
          <w:bCs w:val="false"/>
          <w:i/>
          <w:iCs/>
          <w:sz w:val="22"/>
          <w:szCs w:val="22"/>
        </w:rPr>
        <w:t xml:space="preserve">WAMSN = ( Σ</w:t>
      </w:r>
      <w:r>
        <w:rPr>
          <w:rFonts w:ascii="Arial" w:cs="Arial" w:eastAsia="Arial" w:hAnsi="Arial"/>
          <w:b w:val="false"/>
          <w:bCs w:val="false"/>
          <w:i/>
          <w:iCs/>
          <w:sz w:val="22"/>
          <w:szCs w:val="22"/>
          <w:vertAlign w:val="subscript"/>
        </w:rPr>
        <w:t xml:space="preserve">i</w:t>
      </w:r>
      <w:r>
        <w:rPr>
          <w:rFonts w:ascii="Arial" w:cs="Arial" w:eastAsia="Arial" w:hAnsi="Arial"/>
          <w:b w:val="false"/>
          <w:bCs w:val="false"/>
          <w:i/>
          <w:iCs/>
          <w:sz w:val="22"/>
          <w:szCs w:val="22"/>
        </w:rPr>
        <w:t xml:space="preserve"> α</w:t>
      </w:r>
      <w:r>
        <w:rPr>
          <w:rFonts w:ascii="Arial" w:cs="Arial" w:eastAsia="Arial" w:hAnsi="Arial"/>
          <w:b w:val="false"/>
          <w:bCs w:val="false"/>
          <w:i/>
          <w:iCs/>
          <w:sz w:val="22"/>
          <w:szCs w:val="22"/>
          <w:vertAlign w:val="subscript"/>
        </w:rPr>
        <w:t xml:space="preserve">i</w:t>
      </w:r>
      <w:r>
        <w:rPr>
          <w:rFonts w:ascii="Arial" w:cs="Arial" w:eastAsia="Arial" w:hAnsi="Arial"/>
          <w:b w:val="false"/>
          <w:bCs w:val="false"/>
          <w:i/>
          <w:iCs/>
          <w:sz w:val="22"/>
          <w:szCs w:val="22"/>
        </w:rPr>
        <w:t xml:space="preserve"> · (AoI</w:t>
      </w:r>
      <w:r>
        <w:rPr>
          <w:rFonts w:ascii="Arial" w:cs="Arial" w:eastAsia="Arial" w:hAnsi="Arial"/>
          <w:b w:val="false"/>
          <w:bCs w:val="false"/>
          <w:i/>
          <w:iCs/>
          <w:sz w:val="22"/>
          <w:szCs w:val="22"/>
          <w:vertAlign w:val="subscript"/>
        </w:rPr>
        <w:t xml:space="preserve">i</w:t>
      </w:r>
      <w:r>
        <w:rPr>
          <w:rFonts w:ascii="Arial" w:cs="Arial" w:eastAsia="Arial" w:hAnsi="Arial"/>
          <w:b w:val="false"/>
          <w:bCs w:val="false"/>
          <w:i/>
          <w:iCs/>
          <w:sz w:val="22"/>
          <w:szCs w:val="22"/>
        </w:rPr>
        <w:t xml:space="preserve"> / AoI</w:t>
      </w:r>
      <w:r>
        <w:rPr>
          <w:rFonts w:ascii="Arial" w:cs="Arial" w:eastAsia="Arial" w:hAnsi="Arial"/>
          <w:b w:val="false"/>
          <w:bCs w:val="false"/>
          <w:i/>
          <w:iCs/>
          <w:sz w:val="22"/>
          <w:szCs w:val="22"/>
          <w:vertAlign w:val="subscript"/>
        </w:rPr>
        <w:t xml:space="preserve">max</w:t>
      </w:r>
      <w:r>
        <w:rPr>
          <w:rFonts w:ascii="Arial" w:cs="Arial" w:eastAsia="Arial" w:hAnsi="Arial"/>
          <w:b w:val="false"/>
          <w:bCs w:val="false"/>
          <w:i/>
          <w:iCs/>
          <w:sz w:val="22"/>
          <w:szCs w:val="22"/>
        </w:rPr>
        <w:t xml:space="preserve">) ) / ( Σ</w:t>
      </w:r>
      <w:r>
        <w:rPr>
          <w:rFonts w:ascii="Arial" w:cs="Arial" w:eastAsia="Arial" w:hAnsi="Arial"/>
          <w:b w:val="false"/>
          <w:bCs w:val="false"/>
          <w:i/>
          <w:iCs/>
          <w:sz w:val="22"/>
          <w:szCs w:val="22"/>
          <w:vertAlign w:val="subscript"/>
        </w:rPr>
        <w:t xml:space="preserve">i</w:t>
      </w:r>
      <w:r>
        <w:rPr>
          <w:rFonts w:ascii="Arial" w:cs="Arial" w:eastAsia="Arial" w:hAnsi="Arial"/>
          <w:b w:val="false"/>
          <w:bCs w:val="false"/>
          <w:i/>
          <w:iCs/>
          <w:sz w:val="22"/>
          <w:szCs w:val="22"/>
        </w:rPr>
        <w:t xml:space="preserve"> α</w:t>
      </w:r>
      <w:r>
        <w:rPr>
          <w:rFonts w:ascii="Arial" w:cs="Arial" w:eastAsia="Arial" w:hAnsi="Arial"/>
          <w:b w:val="false"/>
          <w:bCs w:val="false"/>
          <w:i/>
          <w:iCs/>
          <w:sz w:val="22"/>
          <w:szCs w:val="22"/>
          <w:vertAlign w:val="subscript"/>
        </w:rPr>
        <w:t xml:space="preserve">i</w:t>
      </w:r>
      <w:r>
        <w:rPr>
          <w:rFonts w:ascii="Arial" w:cs="Arial" w:eastAsia="Arial" w:hAnsi="Arial"/>
          <w:b w:val="false"/>
          <w:bCs w:val="false"/>
          <w:i/>
          <w:iCs/>
          <w:sz w:val="22"/>
          <w:szCs w:val="22"/>
        </w:rPr>
        <w:t xml:space="preserve"> )</w:t>
      </w:r>
    </w:p>
    <w:p>
      <w:pPr>
        <w:spacing w:after="78" w:line="242"/>
        <w:jc w:val="both"/>
      </w:pPr>
      <w:r>
        <w:rPr>
          <w:rFonts w:ascii="Arial" w:cs="Arial" w:eastAsia="Arial" w:hAnsi="Arial"/>
          <w:b w:val="false"/>
          <w:bCs w:val="false"/>
          <w:i w:val="false"/>
          <w:iCs w:val="false"/>
          <w:sz w:val="22"/>
          <w:szCs w:val="22"/>
        </w:rPr>
        <w:t>WAMSN ∈ [0, 1]: 0 when attention falls entirely on fresh nodes, approaching 1 as it concentrates on maximally stale ones. Faithfulness decoupling is then operationalised two ways: (i) the gap between the Performance Degradation Rate and the (larger) DEF Degradation Rate across severity levels, and (ii) a significant negative correlation between WAMSN and DEF (testing H4).</w:t>
      </w:r>
    </w:p>
    <w:p>
      <w:pPr>
        <w:pStyle w:val="Heading2"/>
        <w:spacing w:after="36" w:before="80"/>
      </w:pPr>
      <w:r>
        <w:rPr>
          <w:rFonts w:ascii="Arial" w:cs="Arial" w:eastAsia="Arial" w:hAnsi="Arial"/>
          <w:b/>
          <w:bCs/>
          <w:color w:val="2E5496"/>
          <w:sz w:val="23"/>
          <w:szCs w:val="23"/>
        </w:rPr>
        <w:t xml:space="preserve">7.5 Experimental design and metrics</w:t>
      </w:r>
    </w:p>
    <w:p>
      <w:pPr>
        <w:spacing w:after="78" w:line="242"/>
        <w:jc w:val="both"/>
      </w:pPr>
      <w:r>
        <w:rPr>
          <w:rFonts w:ascii="Arial" w:cs="Arial" w:eastAsia="Arial" w:hAnsi="Arial"/>
          <w:b w:val="false"/>
          <w:bCs w:val="false"/>
          <w:i w:val="false"/>
          <w:iCs w:val="false"/>
          <w:sz w:val="22"/>
          <w:szCs w:val="22"/>
        </w:rPr>
        <w:t>Four conditions isolate each factor: B0 greedy dispatch (a non-learned industrial heuristic — assign the nearest available / shortest-travel-time vehicle); B1 MAPPO + MLP (no graph); B2 GAT-MAPPO (proposed); and B3 GAT-MAPPO without the AoI feature (ablation / AoI-unaware). B0 establishes that the learned policy actually beats a simple heuristic, while B1–B3 isolate the contributions of the graph encoder and the freshness signal. Metrics span dispatch performance (completed pickups per episode, mean pending-rider waiting time, episode reward), faithfulness (DEF, comprehensiveness, sufficiency), explanation reliability (WAMSN, attention-drift rate), and robustness (performance- and faithfulness-degradation rates). The expected mechanism is staleness ↑ → attention drift ↑ → WAMSN ↑ → DEF ↓, with the AoI-aware model showing lower WAMSN and higher DEF. The clean (severity-0) condition additionally serves as a faithfulness baseline — establishing whether attention is faithful at all before degradation — against which every degraded measurement is compared (RQ1a); if clean-data DEF is itself near zero, decoupling is reinterpreted accordingly.</w:t>
      </w:r>
    </w:p>
    <w:p>
      <w:pPr>
        <w:pStyle w:val="Heading2"/>
        <w:spacing w:after="36" w:before="80"/>
      </w:pPr>
      <w:r>
        <w:rPr>
          <w:rFonts w:ascii="Arial" w:cs="Arial" w:eastAsia="Arial" w:hAnsi="Arial"/>
          <w:b/>
          <w:bCs/>
          <w:color w:val="2E5496"/>
          <w:sz w:val="23"/>
          <w:szCs w:val="23"/>
        </w:rPr>
        <w:t xml:space="preserve">7.6 Dataset creation (step-by-step)</w:t>
      </w:r>
    </w:p>
    <w:p>
      <w:pPr>
        <w:spacing w:after="78" w:line="242"/>
        <w:jc w:val="both"/>
      </w:pPr>
      <w:r>
        <w:rPr>
          <w:rFonts w:ascii="Arial" w:cs="Arial" w:eastAsia="Arial" w:hAnsi="Arial"/>
          <w:b w:val="false"/>
          <w:bCs w:val="false"/>
          <w:i w:val="false"/>
          <w:iCs w:val="false"/>
          <w:sz w:val="22"/>
          <w:szCs w:val="22"/>
        </w:rPr>
        <w:t xml:space="preserve">A fully synthetic, simulator-generated dataset keeps the work reproducible and licence-free:</w:t>
      </w:r>
    </w:p>
    <w:p>
      <w:pPr>
        <w:pStyle w:val="ListParagraph"/>
        <w:numPr>
          <w:ilvl w:val="0"/>
          <w:numId w:val="4"/>
        </w:numPr>
        <w:spacing w:after="38" w:line="242"/>
        <w:jc w:val="both"/>
      </w:pPr>
      <w:r>
        <w:rPr>
          <w:rFonts w:ascii="Arial" w:cs="Arial" w:eastAsia="Arial" w:hAnsi="Arial"/>
          <w:b/>
          <w:bCs/>
          <w:i w:val="false"/>
          <w:iCs w:val="false"/>
          <w:sz w:val="22"/>
          <w:szCs w:val="22"/>
        </w:rPr>
        <w:t xml:space="preserve">Road network. </w:t>
      </w:r>
      <w:r>
        <w:rPr>
          <w:rFonts w:ascii="Arial" w:cs="Arial" w:eastAsia="Arial" w:hAnsi="Arial"/>
          <w:b w:val="false"/>
          <w:bCs w:val="false"/>
          <w:i w:val="false"/>
          <w:iCs w:val="false"/>
          <w:sz w:val="22"/>
          <w:szCs w:val="22"/>
        </w:rPr>
        <w:t xml:space="preserve">Import a real-city road network from OpenStreetMap into SUMO via netconvert / osmWebWizard, keeping a compact sub-network so simulation stays fast on Colab. Mark selected edges as tunnel/shadow zones (7.2).</w:t>
      </w:r>
    </w:p>
    <w:p>
      <w:pPr>
        <w:pStyle w:val="ListParagraph"/>
        <w:numPr>
          <w:ilvl w:val="0"/>
          <w:numId w:val="4"/>
        </w:numPr>
        <w:spacing w:after="38" w:line="242"/>
        <w:jc w:val="both"/>
      </w:pPr>
      <w:r>
        <w:rPr>
          <w:rFonts w:ascii="Arial" w:cs="Arial" w:eastAsia="Arial" w:hAnsi="Arial"/>
          <w:b/>
          <w:bCs/>
          <w:i w:val="false"/>
          <w:iCs w:val="false"/>
          <w:sz w:val="22"/>
          <w:szCs w:val="22"/>
        </w:rPr>
        <w:t xml:space="preserve">Generate demand in SUMO. </w:t>
      </w:r>
      <w:r>
        <w:rPr>
          <w:rFonts w:ascii="Arial" w:cs="Arial" w:eastAsia="Arial" w:hAnsi="Arial"/>
          <w:b w:val="false"/>
          <w:bCs w:val="false"/>
          <w:i w:val="false"/>
          <w:iCs w:val="false"/>
          <w:sz w:val="22"/>
          <w:szCs w:val="22"/>
        </w:rPr>
        <w:t xml:space="preserve">Synthesise origin–destination ride requests (taxi reservations) with randomTrips.py, with intensity and spatial hotspots set to mimic realistic rush-hour patterns. Demand is fully reproducible from a seed; its time-of-day profile can optionally be calibrated to public NYC TLC aggregates, without importing individual trips.</w:t>
      </w:r>
    </w:p>
    <w:p>
      <w:pPr>
        <w:pStyle w:val="ListParagraph"/>
        <w:numPr>
          <w:ilvl w:val="0"/>
          <w:numId w:val="4"/>
        </w:numPr>
        <w:spacing w:after="38" w:line="242"/>
        <w:jc w:val="both"/>
      </w:pPr>
      <w:r>
        <w:rPr>
          <w:rFonts w:ascii="Arial" w:cs="Arial" w:eastAsia="Arial" w:hAnsi="Arial"/>
          <w:b/>
          <w:bCs/>
          <w:i w:val="false"/>
          <w:iCs w:val="false"/>
          <w:sz w:val="22"/>
          <w:szCs w:val="22"/>
        </w:rPr>
        <w:t xml:space="preserve">Clean telemetry layer. </w:t>
      </w:r>
      <w:r>
        <w:rPr>
          <w:rFonts w:ascii="Arial" w:cs="Arial" w:eastAsia="Arial" w:hAnsi="Arial"/>
          <w:b w:val="false"/>
          <w:bCs w:val="false"/>
          <w:i w:val="false"/>
          <w:iCs w:val="false"/>
          <w:sz w:val="22"/>
          <w:szCs w:val="22"/>
        </w:rPr>
        <w:t xml:space="preserve">Run SUMO with N vehicles under the taxi device; each simulation step, log clean ground-truth telemetry per vehicle (position, velocity, occupancy, timestamp, heartbeat) through libsumo. This is the ground truth against which faithfulness and AoI are judged.</w:t>
      </w:r>
    </w:p>
    <w:p>
      <w:pPr>
        <w:pStyle w:val="ListParagraph"/>
        <w:numPr>
          <w:ilvl w:val="0"/>
          <w:numId w:val="4"/>
        </w:numPr>
        <w:spacing w:after="38" w:line="242"/>
        <w:jc w:val="both"/>
      </w:pPr>
      <w:r>
        <w:rPr>
          <w:rFonts w:ascii="Arial" w:cs="Arial" w:eastAsia="Arial" w:hAnsi="Arial"/>
          <w:b/>
          <w:bCs/>
          <w:i w:val="false"/>
          <w:iCs w:val="false"/>
          <w:sz w:val="22"/>
          <w:szCs w:val="22"/>
        </w:rPr>
        <w:t xml:space="preserve">Episode assembly. </w:t>
      </w:r>
      <w:r>
        <w:rPr>
          <w:rFonts w:ascii="Arial" w:cs="Arial" w:eastAsia="Arial" w:hAnsi="Arial"/>
          <w:b w:val="false"/>
          <w:bCs w:val="false"/>
          <w:i w:val="false"/>
          <w:iCs w:val="false"/>
          <w:sz w:val="22"/>
          <w:szCs w:val="22"/>
        </w:rPr>
        <w:t xml:space="preserve">Slice logs into fixed-length episodes (e.g. 1 simulated hour) and split chronologically into train/val/test (70/15/15) to avoid temporal leakage.</w:t>
      </w:r>
    </w:p>
    <w:p>
      <w:pPr>
        <w:pStyle w:val="ListParagraph"/>
        <w:numPr>
          <w:ilvl w:val="0"/>
          <w:numId w:val="4"/>
        </w:numPr>
        <w:spacing w:after="38" w:line="242"/>
        <w:jc w:val="both"/>
      </w:pPr>
      <w:r>
        <w:rPr>
          <w:rFonts w:ascii="Arial" w:cs="Arial" w:eastAsia="Arial" w:hAnsi="Arial"/>
          <w:b/>
          <w:bCs/>
          <w:i w:val="false"/>
          <w:iCs w:val="false"/>
          <w:sz w:val="22"/>
          <w:szCs w:val="22"/>
        </w:rPr>
        <w:t xml:space="preserve">Degraded variants. </w:t>
      </w:r>
      <w:r>
        <w:rPr>
          <w:rFonts w:ascii="Arial" w:cs="Arial" w:eastAsia="Arial" w:hAnsi="Arial"/>
          <w:b w:val="false"/>
          <w:bCs w:val="false"/>
          <w:i w:val="false"/>
          <w:iCs w:val="false"/>
          <w:sz w:val="22"/>
          <w:szCs w:val="22"/>
        </w:rPr>
        <w:t>Apply the AoI staleness operator (7.2) — freezing telemetry on tunnel edges — live at the observation boundary at each severity; because the simulator state itself is never corrupted, every degraded observation has an exact clean twin generated in the same step, giving paired clean/degraded comparisons per decision while also capturing the policy's closed-loop behaviour under degradation (which offline replay of logged episodes cannot).</w:t>
      </w:r>
    </w:p>
    <w:p>
      <w:pPr>
        <w:pStyle w:val="ListParagraph"/>
        <w:numPr>
          <w:ilvl w:val="0"/>
          <w:numId w:val="4"/>
        </w:numPr>
        <w:spacing w:after="38" w:line="242"/>
        <w:jc w:val="both"/>
      </w:pPr>
      <w:r>
        <w:rPr>
          <w:rFonts w:ascii="Arial" w:cs="Arial" w:eastAsia="Arial" w:hAnsi="Arial"/>
          <w:b/>
          <w:bCs/>
          <w:i w:val="false"/>
          <w:iCs w:val="false"/>
          <w:sz w:val="22"/>
          <w:szCs w:val="22"/>
        </w:rPr>
        <w:t xml:space="preserve">Versioning. </w:t>
      </w:r>
      <w:r>
        <w:rPr>
          <w:rFonts w:ascii="Arial" w:cs="Arial" w:eastAsia="Arial" w:hAnsi="Arial"/>
          <w:b w:val="false"/>
          <w:bCs w:val="false"/>
          <w:i w:val="false"/>
          <w:iCs w:val="false"/>
          <w:sz w:val="22"/>
          <w:szCs w:val="22"/>
        </w:rPr>
        <w:t>Store the SUMO network/config, demand variants and their chronological splits, and per-sweep settings as versioned JSON manifests (seed, parameters, git revision) so any result regenerates exactly.</w:t>
      </w:r>
    </w:p>
    <w:p>
      <w:pPr>
        <w:pStyle w:val="Heading2"/>
        <w:spacing w:after="36" w:before="80"/>
      </w:pPr>
      <w:r>
        <w:rPr>
          <w:rFonts w:ascii="Arial" w:cs="Arial" w:eastAsia="Arial" w:hAnsi="Arial"/>
          <w:b/>
          <w:bCs/>
          <w:color w:val="2E5496"/>
          <w:sz w:val="23"/>
          <w:szCs w:val="23"/>
        </w:rPr>
        <w:t xml:space="preserve">7.7 Training procedure</w:t>
      </w:r>
    </w:p>
    <w:p>
      <w:pPr>
        <w:spacing w:after="78" w:line="242"/>
        <w:jc w:val="both"/>
      </w:pPr>
      <w:r>
        <w:rPr>
          <w:rFonts w:ascii="Arial" w:cs="Arial" w:eastAsia="Arial" w:hAnsi="Arial"/>
          <w:b w:val="false"/>
          <w:bCs w:val="false"/>
          <w:i w:val="false"/>
          <w:iCs w:val="false"/>
          <w:sz w:val="22"/>
          <w:szCs w:val="22"/>
        </w:rPr>
        <w:t xml:space="preserve">SUMO serves as a high-fidelity fleet simulation environment that generates real-time vehicle telemetry and dispatch interactions. The proposed GAT-MAPPO dispatcher is trained online through interaction with the simulator, while telemetry degradation is injected during evaluation to study faithfulness decoupling.</w:t>
      </w:r>
    </w:p>
    <w:p>
      <w:pPr>
        <w:spacing w:after="78" w:line="242"/>
        <w:jc w:val="both"/>
      </w:pPr>
      <w:r>
        <w:rPr>
          <w:rFonts w:ascii="Arial" w:cs="Arial" w:eastAsia="Arial" w:hAnsi="Arial"/>
          <w:b w:val="false"/>
          <w:bCs w:val="false"/>
          <w:i w:val="false"/>
          <w:iCs w:val="false"/>
          <w:sz w:val="22"/>
          <w:szCs w:val="22"/>
        </w:rPr>
        <w:t>The dispatcher is trained with MAPPO under centralised-training / decentralised-execution. All vehicles share one GAT actor π(a_i | o_i) — a hand-rolled multi-head attention encoder over the per-agent heterogeneous graph (self + K nearest neighbouring vehicles + K nearest pending reservations) feeding an action head of Discrete(K+1) — either stay idle or accept one of the K candidate reservations — with invalid-reservation masking — while a centralised critic V(s) is used only in training to cut variance and dropped at deployment. Each iteration collects rollouts from SUMO (one environment, the fleet supplying a batch of agent samples per step, since SUMO stepping not the GPU is the bottleneck), computes GAE advantages (γ = 0.99, λ = 0.95), and updates both networks with the clipped PPO objective (ε = 0.2) plus value and entropy terms until episode reward plateaus. Reward shaping encourages cooperation: positive per completed pickup and per successful dispatch attempt, negative in proportion to the mean pending-rider waiting time. No repositioning penalty is used because repositioning is not part of the action space. Attention is read out for explanation, not optimised. To isolate the phenomenon, B0–B3 are obtained on clean telemetry and evaluated on clean and degraded episodes (RQ1–RQ3); the AoI-aware mitigation adds the freshness signal and sees tunnel degradation during training (RQ4). The MAPPO training loop and the multi-head attention encoder are implemented from scratch in `src/dispatch_marl/` so that attention weights remain first-class outputs of the policy's forward pass — a requirement for the faithfulness pipeline of §7.4 rather than a design preference.</w:t>
      </w:r>
    </w:p>
    <w:p>
      <w:pPr>
        <w:pStyle w:val="Heading2"/>
        <w:spacing w:after="36" w:before="80"/>
      </w:pPr>
      <w:r>
        <w:rPr>
          <w:rFonts w:ascii="Arial" w:cs="Arial" w:eastAsia="Arial" w:hAnsi="Arial"/>
          <w:b/>
          <w:bCs/>
          <w:color w:val="2E5496"/>
          <w:sz w:val="23"/>
          <w:szCs w:val="23"/>
        </w:rPr>
        <w:t xml:space="preserve">7.8 Computational resources — Google Colab</w:t>
      </w:r>
    </w:p>
    <w:p>
      <w:pPr>
        <w:spacing w:after="78" w:line="242"/>
        <w:jc w:val="both"/>
      </w:pPr>
      <w:r>
        <w:rPr>
          <w:rFonts w:ascii="Arial" w:cs="Arial" w:eastAsia="Arial" w:hAnsi="Arial"/>
          <w:b w:val="false"/>
          <w:bCs w:val="false"/>
          <w:i w:val="false"/>
          <w:iCs w:val="false"/>
          <w:sz w:val="22"/>
          <w:szCs w:val="22"/>
        </w:rPr>
        <w:t xml:space="preserve">All training and evaluation are sized for Google Colab (free tier, or Pro for longer sessions) with an NVIDIA T4/L4 GPU. The workflow is:</w:t>
      </w:r>
    </w:p>
    <w:p>
      <w:pPr>
        <w:pStyle w:val="ListParagraph"/>
        <w:numPr>
          <w:ilvl w:val="0"/>
          <w:numId w:val="5"/>
        </w:numPr>
        <w:spacing w:after="38" w:line="242"/>
        <w:jc w:val="both"/>
      </w:pPr>
      <w:r>
        <w:rPr>
          <w:rFonts w:ascii="Arial" w:cs="Arial" w:eastAsia="Arial" w:hAnsi="Arial"/>
          <w:b/>
          <w:bCs/>
          <w:i w:val="false"/>
          <w:iCs w:val="false"/>
          <w:sz w:val="22"/>
          <w:szCs w:val="22"/>
        </w:rPr>
        <w:t xml:space="preserve">Setup. </w:t>
      </w:r>
      <w:r>
        <w:rPr>
          <w:rFonts w:ascii="Arial" w:cs="Arial" w:eastAsia="Arial" w:hAnsi="Arial"/>
          <w:b w:val="false"/>
          <w:bCs w:val="false"/>
          <w:i w:val="false"/>
          <w:iCs w:val="false"/>
          <w:sz w:val="22"/>
          <w:szCs w:val="22"/>
        </w:rPr>
        <w:t>Open a GPU runtime (Runtime → Change runtime type → GPU). In the first cell install pinned dependencies: eclipse-sumo, libsumo, traci, torch, pettingzoo, pandas, pyarrow, numpy, matplotlib; set the SUMO_HOME environment variable.</w:t>
      </w:r>
    </w:p>
    <w:p>
      <w:pPr>
        <w:pStyle w:val="ListParagraph"/>
        <w:numPr>
          <w:ilvl w:val="0"/>
          <w:numId w:val="5"/>
        </w:numPr>
        <w:spacing w:after="38" w:line="242"/>
        <w:jc w:val="both"/>
      </w:pPr>
      <w:r>
        <w:rPr>
          <w:rFonts w:ascii="Arial" w:cs="Arial" w:eastAsia="Arial" w:hAnsi="Arial"/>
          <w:b/>
          <w:bCs/>
          <w:i w:val="false"/>
          <w:iCs w:val="false"/>
          <w:sz w:val="22"/>
          <w:szCs w:val="22"/>
        </w:rPr>
        <w:t xml:space="preserve">Run SUMO headless and fast. </w:t>
      </w:r>
      <w:r>
        <w:rPr>
          <w:rFonts w:ascii="Arial" w:cs="Arial" w:eastAsia="Arial" w:hAnsi="Arial"/>
          <w:b w:val="false"/>
          <w:bCs w:val="false"/>
          <w:i w:val="false"/>
          <w:iCs w:val="false"/>
          <w:sz w:val="22"/>
          <w:szCs w:val="22"/>
        </w:rPr>
        <w:t xml:space="preserve">Use libsumo (in-process, no GUI and no TraCI socket) for maximum speed, since SUMO stepping — not the GPU — is the bottleneck; keep the network and fleet small and step at a coarse resolution.</w:t>
      </w:r>
    </w:p>
    <w:p>
      <w:pPr>
        <w:pStyle w:val="ListParagraph"/>
        <w:numPr>
          <w:ilvl w:val="0"/>
          <w:numId w:val="5"/>
        </w:numPr>
        <w:spacing w:after="38" w:line="242"/>
        <w:jc w:val="both"/>
      </w:pPr>
      <w:r>
        <w:rPr>
          <w:rFonts w:ascii="Arial" w:cs="Arial" w:eastAsia="Arial" w:hAnsi="Arial"/>
          <w:b/>
          <w:bCs/>
          <w:i w:val="false"/>
          <w:iCs w:val="false"/>
          <w:sz w:val="22"/>
          <w:szCs w:val="22"/>
        </w:rPr>
        <w:t xml:space="preserve">Persist to Drive. </w:t>
      </w:r>
      <w:r>
        <w:rPr>
          <w:rFonts w:ascii="Arial" w:cs="Arial" w:eastAsia="Arial" w:hAnsi="Arial"/>
          <w:b w:val="false"/>
          <w:bCs w:val="false"/>
          <w:i w:val="false"/>
          <w:iCs w:val="false"/>
          <w:sz w:val="22"/>
          <w:szCs w:val="22"/>
        </w:rPr>
        <w:t xml:space="preserve">Mount Google Drive and point all data, checkpoint and log paths at a Drive folder so artefacts survive runtime resets.</w:t>
      </w:r>
    </w:p>
    <w:p>
      <w:pPr>
        <w:pStyle w:val="ListParagraph"/>
        <w:numPr>
          <w:ilvl w:val="0"/>
          <w:numId w:val="5"/>
        </w:numPr>
        <w:spacing w:after="38" w:line="242"/>
        <w:jc w:val="both"/>
      </w:pPr>
      <w:r>
        <w:rPr>
          <w:rFonts w:ascii="Arial" w:cs="Arial" w:eastAsia="Arial" w:hAnsi="Arial"/>
          <w:b/>
          <w:bCs/>
          <w:i w:val="false"/>
          <w:iCs w:val="false"/>
          <w:sz w:val="22"/>
          <w:szCs w:val="22"/>
        </w:rPr>
        <w:t xml:space="preserve">Prep once. </w:t>
      </w:r>
      <w:r>
        <w:rPr>
          <w:rFonts w:ascii="Arial" w:cs="Arial" w:eastAsia="Arial" w:hAnsi="Arial"/>
          <w:b w:val="false"/>
          <w:bCs w:val="false"/>
          <w:i w:val="false"/>
          <w:iCs w:val="false"/>
          <w:sz w:val="22"/>
          <w:szCs w:val="22"/>
        </w:rPr>
        <w:t xml:space="preserve">Run dataset creation (7.6) in a separate notebook and cache the processed SUMO logs/episodes to Drive; training notebooks then load them directly rather than re-running SUMO.</w:t>
      </w:r>
    </w:p>
    <w:p>
      <w:pPr>
        <w:pStyle w:val="ListParagraph"/>
        <w:numPr>
          <w:ilvl w:val="0"/>
          <w:numId w:val="5"/>
        </w:numPr>
        <w:spacing w:after="38" w:line="242"/>
        <w:jc w:val="both"/>
      </w:pPr>
      <w:r>
        <w:rPr>
          <w:rFonts w:ascii="Arial" w:cs="Arial" w:eastAsia="Arial" w:hAnsi="Arial"/>
          <w:b/>
          <w:bCs/>
          <w:i w:val="false"/>
          <w:iCs w:val="false"/>
          <w:sz w:val="22"/>
          <w:szCs w:val="22"/>
        </w:rPr>
        <w:t xml:space="preserve">Checkpoint often. </w:t>
      </w:r>
      <w:r>
        <w:rPr>
          <w:rFonts w:ascii="Arial" w:cs="Arial" w:eastAsia="Arial" w:hAnsi="Arial"/>
          <w:b w:val="false"/>
          <w:bCs w:val="false"/>
          <w:i w:val="false"/>
          <w:iCs w:val="false"/>
          <w:sz w:val="22"/>
          <w:szCs w:val="22"/>
        </w:rPr>
        <w:t xml:space="preserve">Save model and optimiser state to Drive every K episodes and resume from the latest checkpoint — essential given free-Colab idle/12-hour disconnects.</w:t>
      </w:r>
    </w:p>
    <w:p>
      <w:pPr>
        <w:pStyle w:val="ListParagraph"/>
        <w:numPr>
          <w:ilvl w:val="0"/>
          <w:numId w:val="5"/>
        </w:numPr>
        <w:spacing w:after="38" w:line="242"/>
        <w:jc w:val="both"/>
      </w:pPr>
      <w:r>
        <w:rPr>
          <w:rFonts w:ascii="Arial" w:cs="Arial" w:eastAsia="Arial" w:hAnsi="Arial"/>
          <w:b/>
          <w:bCs/>
          <w:i w:val="false"/>
          <w:iCs w:val="false"/>
          <w:sz w:val="22"/>
          <w:szCs w:val="22"/>
        </w:rPr>
        <w:t xml:space="preserve">Batch experiments. </w:t>
      </w:r>
      <w:r>
        <w:rPr>
          <w:rFonts w:ascii="Arial" w:cs="Arial" w:eastAsia="Arial" w:hAnsi="Arial"/>
          <w:b w:val="false"/>
          <w:bCs w:val="false"/>
          <w:i w:val="false"/>
          <w:iCs w:val="false"/>
          <w:sz w:val="22"/>
          <w:szCs w:val="22"/>
        </w:rPr>
        <w:t xml:space="preserve">Parameterise notebooks by AoI severity, baseline (B0–B3) and seed; queue runs and log metrics to CSV/TensorBoard or Weights &amp; Biases on Drive.</w:t>
      </w:r>
    </w:p>
    <w:p>
      <w:pPr>
        <w:pStyle w:val="ListParagraph"/>
        <w:numPr>
          <w:ilvl w:val="0"/>
          <w:numId w:val="5"/>
        </w:numPr>
        <w:spacing w:after="38" w:line="242"/>
        <w:jc w:val="both"/>
      </w:pPr>
      <w:r>
        <w:rPr>
          <w:rFonts w:ascii="Arial" w:cs="Arial" w:eastAsia="Arial" w:hAnsi="Arial"/>
          <w:b/>
          <w:bCs/>
          <w:i w:val="false"/>
          <w:iCs w:val="false"/>
          <w:sz w:val="22"/>
          <w:szCs w:val="22"/>
        </w:rPr>
        <w:t xml:space="preserve">Reproducibility. </w:t>
      </w:r>
      <w:r>
        <w:rPr>
          <w:rFonts w:ascii="Arial" w:cs="Arial" w:eastAsia="Arial" w:hAnsi="Arial"/>
          <w:b w:val="false"/>
          <w:bCs w:val="false"/>
          <w:i w:val="false"/>
          <w:iCs w:val="false"/>
          <w:sz w:val="22"/>
          <w:szCs w:val="22"/>
        </w:rPr>
        <w:t xml:space="preserve">Fix all seeds, record pinned versions and the manifest hash per run, and export final figures/tables directly from Colab.</w:t>
      </w:r>
    </w:p>
    <w:p>
      <w:pPr>
        <w:pStyle w:val="Heading2"/>
        <w:spacing w:after="36" w:before="80"/>
      </w:pPr>
      <w:r>
        <w:rPr>
          <w:rFonts w:ascii="Arial" w:cs="Arial" w:eastAsia="Arial" w:hAnsi="Arial"/>
          <w:b/>
          <w:bCs/>
          <w:color w:val="2E5496"/>
          <w:sz w:val="23"/>
          <w:szCs w:val="23"/>
        </w:rPr>
        <w:t xml:space="preserve">7.9 Validation, scope and ethics</w:t>
      </w:r>
    </w:p>
    <w:p>
      <w:pPr>
        <w:spacing w:after="78" w:line="242"/>
        <w:jc w:val="both"/>
      </w:pPr>
      <w:r>
        <w:rPr>
          <w:rFonts w:ascii="Arial" w:cs="Arial" w:eastAsia="Arial" w:hAnsi="Arial"/>
          <w:b w:val="false"/>
          <w:bCs w:val="false"/>
          <w:i w:val="false"/>
          <w:iCs w:val="false"/>
          <w:sz w:val="22"/>
          <w:szCs w:val="22"/>
        </w:rPr>
        <w:t xml:space="preserve">Results are validated with repeated seeds and confidence intervals, ablations (B2 vs B3) over architecture and AoI-awareness, paired significance tests across matched clean/degraded episodes, and a check that clean-data dispatch matches published baselines [1]. Scope: one simulated city, AoI staleness from signal loss (tunnels) as the sole degradation axis, and cooperative dispatch only; packet loss, sensor noise, adversarial attacks, live deployment and multi-city transfer are out of scope. As a purely computational study using synthetic, simulator-generated data (optionally calibrated to public aggregates), there are no human participants and no personal data; commitments are open-source licence compliance and full reproducibility (released seeds, code, manifests).</w:t>
      </w:r>
    </w:p>
    <w:p>
      <w:pPr>
        <w:pStyle w:val="Heading1"/>
        <w:spacing w:after="64" w:before="130"/>
      </w:pPr>
      <w:r>
        <w:rPr>
          <w:rFonts w:ascii="Arial" w:cs="Arial" w:eastAsia="Arial" w:hAnsi="Arial"/>
          <w:b/>
          <w:bCs/>
          <w:color w:val="1F3864"/>
          <w:sz w:val="26"/>
          <w:szCs w:val="26"/>
        </w:rPr>
        <w:t xml:space="preserve">8. Expected Contributions</w:t>
      </w:r>
    </w:p>
    <w:p>
      <w:pPr>
        <w:pStyle w:val="ListParagraph"/>
        <w:numPr>
          <w:ilvl w:val="0"/>
          <w:numId w:val="6"/>
        </w:numPr>
        <w:spacing w:after="50" w:line="260"/>
      </w:pPr>
      <w:r>
        <w:rPr>
          <w:rFonts w:ascii="Arial" w:cs="Arial" w:eastAsia="Arial" w:hAnsi="Arial"/>
          <w:b/>
          <w:bCs/>
          <w:i w:val="false"/>
          <w:iCs w:val="false"/>
          <w:sz w:val="22"/>
          <w:szCs w:val="22"/>
        </w:rPr>
        <w:t xml:space="preserve">C1. </w:t>
      </w:r>
      <w:r>
        <w:rPr>
          <w:rFonts w:ascii="Arial" w:cs="Arial" w:eastAsia="Arial" w:hAnsi="Arial"/>
          <w:b w:val="false"/>
          <w:bCs w:val="false"/>
          <w:i w:val="false"/>
          <w:iCs w:val="false"/>
          <w:sz w:val="22"/>
          <w:szCs w:val="22"/>
        </w:rPr>
        <w:t xml:space="preserve">To our knowledge, among the first empirical studies of explanation faithfulness under telemetry degradation in graph-attention MARL fleet dispatch.</w:t>
      </w:r>
    </w:p>
    <w:p>
      <w:pPr>
        <w:pStyle w:val="ListParagraph"/>
        <w:numPr>
          <w:ilvl w:val="0"/>
          <w:numId w:val="6"/>
        </w:numPr>
        <w:spacing w:after="50" w:line="260"/>
      </w:pPr>
      <w:r>
        <w:rPr>
          <w:rFonts w:ascii="Arial" w:cs="Arial" w:eastAsia="Arial" w:hAnsi="Arial"/>
          <w:b/>
          <w:bCs/>
          <w:i w:val="false"/>
          <w:iCs w:val="false"/>
          <w:sz w:val="22"/>
          <w:szCs w:val="22"/>
        </w:rPr>
        <w:t xml:space="preserve">C2. </w:t>
      </w:r>
      <w:r>
        <w:rPr>
          <w:rFonts w:ascii="Arial" w:cs="Arial" w:eastAsia="Arial" w:hAnsi="Arial"/>
          <w:b w:val="false"/>
          <w:bCs w:val="false"/>
          <w:i w:val="false"/>
          <w:iCs w:val="false"/>
          <w:sz w:val="22"/>
          <w:szCs w:val="22"/>
        </w:rPr>
        <w:t xml:space="preserve">Dispatch Explanation Faithfulness (DEF) — a formally defined, perturbation-based protocol for evaluating graph-attention explanations (§7.4).</w:t>
      </w:r>
    </w:p>
    <w:p>
      <w:pPr>
        <w:pStyle w:val="ListParagraph"/>
        <w:numPr>
          <w:ilvl w:val="0"/>
          <w:numId w:val="6"/>
        </w:numPr>
        <w:spacing w:after="50" w:line="260"/>
      </w:pPr>
      <w:r>
        <w:rPr>
          <w:rFonts w:ascii="Arial" w:cs="Arial" w:eastAsia="Arial" w:hAnsi="Arial"/>
          <w:b/>
          <w:bCs/>
          <w:i w:val="false"/>
          <w:iCs w:val="false"/>
          <w:sz w:val="22"/>
          <w:szCs w:val="22"/>
        </w:rPr>
        <w:t xml:space="preserve">C3. </w:t>
      </w:r>
      <w:r>
        <w:rPr>
          <w:rFonts w:ascii="Arial" w:cs="Arial" w:eastAsia="Arial" w:hAnsi="Arial"/>
          <w:b w:val="false"/>
          <w:bCs w:val="false"/>
          <w:i w:val="false"/>
          <w:iCs w:val="false"/>
          <w:sz w:val="22"/>
          <w:szCs w:val="22"/>
        </w:rPr>
        <w:t xml:space="preserve">Weighted Attention Mass on Stale Nodes (WAMSN) — a formally defined metric quantifying graded explanation reliance on stale telemetry — together with an operational account of faithfulness decoupling.</w:t>
      </w:r>
    </w:p>
    <w:p>
      <w:pPr>
        <w:pStyle w:val="ListParagraph"/>
        <w:numPr>
          <w:ilvl w:val="0"/>
          <w:numId w:val="6"/>
        </w:numPr>
        <w:spacing w:after="50" w:line="260"/>
      </w:pPr>
      <w:r>
        <w:rPr>
          <w:rFonts w:ascii="Arial" w:cs="Arial" w:eastAsia="Arial" w:hAnsi="Arial"/>
          <w:b/>
          <w:bCs/>
          <w:i w:val="false"/>
          <w:iCs w:val="false"/>
          <w:sz w:val="22"/>
          <w:szCs w:val="22"/>
        </w:rPr>
        <w:t xml:space="preserve">C4. </w:t>
      </w:r>
      <w:r>
        <w:rPr>
          <w:rFonts w:ascii="Arial" w:cs="Arial" w:eastAsia="Arial" w:hAnsi="Arial"/>
          <w:b w:val="false"/>
          <w:bCs w:val="false"/>
          <w:i w:val="false"/>
          <w:iCs w:val="false"/>
          <w:sz w:val="22"/>
          <w:szCs w:val="22"/>
        </w:rPr>
        <w:t xml:space="preserve">Mechanistic evidence — not just measurement — that telemetry staleness induces attention drift toward stale nodes (rising WAMSN), which in turn drives explanation-faithfulness degradation (falling DEF), establishing the AoI → drift → WAMSN → DEF chain behind faithfulness decoupling.</w:t>
      </w:r>
    </w:p>
    <w:p>
      <w:pPr>
        <w:pStyle w:val="ListParagraph"/>
        <w:numPr>
          <w:ilvl w:val="0"/>
          <w:numId w:val="6"/>
        </w:numPr>
        <w:spacing w:after="50" w:line="260"/>
      </w:pPr>
      <w:r>
        <w:rPr>
          <w:rFonts w:ascii="Arial" w:cs="Arial" w:eastAsia="Arial" w:hAnsi="Arial"/>
          <w:b/>
          <w:bCs/>
          <w:i w:val="false"/>
          <w:iCs w:val="false"/>
          <w:sz w:val="22"/>
          <w:szCs w:val="22"/>
        </w:rPr>
        <w:t xml:space="preserve">C5. </w:t>
      </w:r>
      <w:r>
        <w:rPr>
          <w:rFonts w:ascii="Arial" w:cs="Arial" w:eastAsia="Arial" w:hAnsi="Arial"/>
          <w:b w:val="false"/>
          <w:bCs w:val="false"/>
          <w:i w:val="false"/>
          <w:iCs w:val="false"/>
          <w:sz w:val="22"/>
          <w:szCs w:val="22"/>
        </w:rPr>
        <w:t xml:space="preserve">Evidence on whether telemetry-awareness influences faithfulness decoupling.</w:t>
      </w:r>
    </w:p>
    <w:p>
      <w:pPr>
        <w:spacing w:after="78" w:line="242"/>
        <w:jc w:val="both"/>
      </w:pPr>
      <w:r>
        <w:rPr>
          <w:rFonts w:ascii="Arial" w:cs="Arial" w:eastAsia="Arial" w:hAnsi="Arial"/>
          <w:b w:val="false"/>
          <w:bCs w:val="false"/>
          <w:i/>
          <w:iCs/>
          <w:sz w:val="22"/>
          <w:szCs w:val="22"/>
        </w:rPr>
        <w:t xml:space="preserve">The open-source GAT-MAPPO degradation benchmark, code and dataset are supporting research outputs (see §11), not primary contributions; the core contribution is the AoI → attention drift → faithfulness-decoupling mechanism and its measurement.</w:t>
      </w:r>
    </w:p>
    <w:p>
      <w:pPr>
        <w:pStyle w:val="Heading1"/>
        <w:spacing w:after="64" w:before="130"/>
      </w:pPr>
      <w:r>
        <w:rPr>
          <w:rFonts w:ascii="Arial" w:cs="Arial" w:eastAsia="Arial" w:hAnsi="Arial"/>
          <w:b/>
          <w:bCs/>
          <w:color w:val="1F3864"/>
          <w:sz w:val="26"/>
          <w:szCs w:val="26"/>
        </w:rPr>
        <w:t xml:space="preserve">9. Programme of Work</w:t>
      </w:r>
    </w:p>
    <w:p>
      <w:pPr>
        <w:spacing w:after="78" w:line="242"/>
        <w:jc w:val="both"/>
      </w:pPr>
      <w:r>
        <w:rPr>
          <w:rFonts w:ascii="Arial" w:cs="Arial" w:eastAsia="Arial" w:hAnsi="Arial"/>
          <w:b w:val="false"/>
          <w:bCs w:val="false"/>
          <w:i w:val="false"/>
          <w:iCs w:val="false"/>
          <w:sz w:val="22"/>
          <w:szCs w:val="22"/>
        </w:rPr>
        <w:t xml:space="preserve">The project runs from 17 June to 1 September 2026 (about eleven weeks), organised into six work packages aligned to the dated milestone schedule below; completing all work packages delivers all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100"/>
        <w:gridCol w:w="2560"/>
      </w:tblGrid>
      <w:tr>
        <w:tc>
          <w:tcPr>
            <w:tcW w:type="dxa" w:w="7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 xml:space="preserve">WP</w:t>
            </w:r>
          </w:p>
        </w:tc>
        <w:tc>
          <w:tcPr>
            <w:tcW w:type="dxa" w:w="50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 xml:space="preserve">Tasks</w:t>
            </w:r>
          </w:p>
        </w:tc>
        <w:tc>
          <w:tcPr>
            <w:tcW w:type="dxa" w:w="11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 xml:space="preserve">Obj.</w:t>
            </w:r>
          </w:p>
        </w:tc>
        <w:tc>
          <w:tcPr>
            <w:tcW w:type="dxa" w:w="256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r>
              <w:rPr>
                <w:rFonts w:ascii="Arial" w:cs="Arial" w:eastAsia="Arial" w:hAnsi="Arial"/>
                <w:b/>
                <w:bCs/>
                <w:sz w:val="19"/>
                <w:szCs w:val="19"/>
              </w:rPr>
              <w:t xml:space="preserve">Target date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WP1</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Research proposal; literature review.</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O3</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22 Jun 2026</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WP2</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Build SUMO environment (OSM network + taxi device; libsumo spike) and AoI telemetry layer (tunnel-edge signal loss).</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O1, O2</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05 Jul 2026</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WP3</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Build GAT-MAPPO framework and explanation module (attention + occlusion).</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O1</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19 Jul 2026</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WP4</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Implement the faithfulness protocol (DEF) and the WAMSN evaluation mechanism.</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O3, O5</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02 Aug 2026</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WP5</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Main experiment; degradation, decoupling and attention-drift analysis; AoI mitigation.</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O4, O5, O6</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09 Aug 2026</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WP6</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Write, polish and submit the IEEE paper; release code and dataset.</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O6</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sz w:val="19"/>
                <w:szCs w:val="19"/>
              </w:rPr>
              <w:t xml:space="preserve">01 Sep 2026</w:t>
            </w:r>
          </w:p>
        </w:tc>
      </w:tr>
    </w:tbl>
    <w:p>
      <w:pPr>
        <w:spacing w:after="80"/>
      </w:pPr>
    </w:p>
    <w:p>
      <w:pPr>
        <w:spacing w:after="78" w:line="242"/>
        <w:jc w:val="both"/>
      </w:pPr>
      <w:r>
        <w:rPr>
          <w:rFonts w:ascii="Arial" w:cs="Arial" w:eastAsia="Arial" w:hAnsi="Arial"/>
          <w:b/>
          <w:bCs/>
          <w:i w:val="false"/>
          <w:iCs w:val="false"/>
          <w:sz w:val="22"/>
          <w:szCs w:val="22"/>
        </w:rPr>
        <w:t xml:space="preserve">Milestones: </w:t>
      </w:r>
      <w:r>
        <w:rPr>
          <w:rFonts w:ascii="Arial" w:cs="Arial" w:eastAsia="Arial" w:hAnsi="Arial"/>
          <w:b w:val="false"/>
          <w:bCs w:val="false"/>
          <w:i w:val="false"/>
          <w:iCs w:val="false"/>
          <w:sz w:val="22"/>
          <w:szCs w:val="22"/>
        </w:rPr>
        <w:t xml:space="preserve">M1 — environment, simulator and GAT-MAPPO framework complete (19 Jul); M2 — DEF and WAMSN implemented and main experiment complete (9 Aug); M3 — paper polished and ready to submit (1 Sep). Dissemination is built into WP6: a submitted IEEE paper plus an open-source release of the benchmark and code.</w:t>
      </w:r>
    </w:p>
    <w:p>
      <w:pPr>
        <w:spacing w:after="78" w:line="242"/>
        <w:jc w:val="both"/>
      </w:pPr>
      <w:r>
        <w:rPr>
          <w:rFonts w:ascii="Arial" w:cs="Arial" w:eastAsia="Arial" w:hAnsi="Arial"/>
          <w:b/>
          <w:bCs/>
          <w:i w:val="false"/>
          <w:iCs w:val="false"/>
          <w:sz w:val="22"/>
          <w:szCs w:val="22"/>
        </w:rPr>
        <w:t xml:space="preserve">Risk mitigation. </w:t>
      </w:r>
      <w:r>
        <w:rPr>
          <w:rFonts w:ascii="Arial" w:cs="Arial" w:eastAsia="Arial" w:hAnsi="Arial"/>
          <w:b w:val="false"/>
          <w:bCs w:val="false"/>
          <w:i w:val="false"/>
          <w:iCs w:val="false"/>
          <w:sz w:val="22"/>
          <w:szCs w:val="22"/>
        </w:rPr>
        <w:t>MARL training is the main risk in an eleven-week window spanning SUMO, GAT, MAPPO and explainability evaluation. The project is therefore staged so that each stage is a self-contained, usable deliverable: Stage 1 — SUMO environment, greedy dispatch (B0) and the telemetry-degradation pipeline; Stage 2 — the MAPPO dispatcher (B1); Stage 3 — the GAT-MAPPO model (B2–B3); Stage 4 — the DEF and WAMSN faithfulness experiments. If MARL training overruns, faithfulness decoupling can still be studied on an earlier stage (e.g. the MAPPO model), and the plan additionally reuses a maintained MAPPO implementation, reduces fleet size and model complexity, and prioritises the DEF/WAMSN experiments over dispatch-performance tuning — since the contribution is measuring decoupling, not building a state-of-the-art dispatcher.</w:t>
      </w:r>
    </w:p>
    <w:p>
      <w:pPr>
        <w:pStyle w:val="Heading1"/>
        <w:spacing w:after="64" w:before="130"/>
      </w:pPr>
      <w:r>
        <w:rPr>
          <w:rFonts w:ascii="Arial" w:cs="Arial" w:eastAsia="Arial" w:hAnsi="Arial"/>
          <w:b/>
          <w:bCs/>
          <w:color w:val="1F3864"/>
          <w:sz w:val="26"/>
          <w:szCs w:val="26"/>
        </w:rPr>
        <w:t xml:space="preserve">10. Relevance to Beneficiaries</w:t>
      </w:r>
    </w:p>
    <w:p>
      <w:pPr>
        <w:spacing w:after="78" w:line="242"/>
        <w:jc w:val="both"/>
      </w:pPr>
      <w:r>
        <w:rPr>
          <w:rFonts w:ascii="Arial" w:cs="Arial" w:eastAsia="Arial" w:hAnsi="Arial"/>
          <w:b/>
          <w:bCs/>
          <w:i w:val="false"/>
          <w:iCs w:val="false"/>
          <w:sz w:val="22"/>
          <w:szCs w:val="22"/>
        </w:rPr>
        <w:t xml:space="preserve">Economic. </w:t>
      </w:r>
      <w:r>
        <w:rPr>
          <w:rFonts w:ascii="Arial" w:cs="Arial" w:eastAsia="Arial" w:hAnsi="Arial"/>
          <w:b w:val="false"/>
          <w:bCs w:val="false"/>
          <w:i w:val="false"/>
          <w:iCs w:val="false"/>
          <w:sz w:val="22"/>
          <w:szCs w:val="22"/>
        </w:rPr>
        <w:t xml:space="preserve">Fleet operators, logistics firms and ride-hailing platforms gain a way to audit whether dashboard explanations remain trustworthy under poor connectivity, cutting the cost of misinformed interventions and supporting AI-assurance requirements.</w:t>
      </w:r>
    </w:p>
    <w:p>
      <w:pPr>
        <w:spacing w:after="78" w:line="242"/>
        <w:jc w:val="both"/>
      </w:pPr>
      <w:r>
        <w:rPr>
          <w:rFonts w:ascii="Arial" w:cs="Arial" w:eastAsia="Arial" w:hAnsi="Arial"/>
          <w:b/>
          <w:bCs/>
          <w:i w:val="false"/>
          <w:iCs w:val="false"/>
          <w:sz w:val="22"/>
          <w:szCs w:val="22"/>
        </w:rPr>
        <w:t xml:space="preserve">Social. </w:t>
      </w:r>
      <w:r>
        <w:rPr>
          <w:rFonts w:ascii="Arial" w:cs="Arial" w:eastAsia="Arial" w:hAnsi="Arial"/>
          <w:b w:val="false"/>
          <w:bCs w:val="false"/>
          <w:i w:val="false"/>
          <w:iCs w:val="false"/>
          <w:sz w:val="22"/>
          <w:szCs w:val="22"/>
        </w:rPr>
        <w:t xml:space="preserve">Better-calibrated explanations improve accountability of automated mobility systems affecting drivers, passengers and city traffic; the open benchmark lets other researchers and regulators scrutinise such systems.</w:t>
      </w:r>
    </w:p>
    <w:p>
      <w:pPr>
        <w:spacing w:after="78" w:line="242"/>
        <w:jc w:val="both"/>
      </w:pPr>
      <w:r>
        <w:rPr>
          <w:rFonts w:ascii="Arial" w:cs="Arial" w:eastAsia="Arial" w:hAnsi="Arial"/>
          <w:b/>
          <w:bCs/>
          <w:i w:val="false"/>
          <w:iCs w:val="false"/>
          <w:sz w:val="22"/>
          <w:szCs w:val="22"/>
        </w:rPr>
        <w:t xml:space="preserve">Risks. </w:t>
      </w:r>
      <w:r>
        <w:rPr>
          <w:rFonts w:ascii="Arial" w:cs="Arial" w:eastAsia="Arial" w:hAnsi="Arial"/>
          <w:b w:val="false"/>
          <w:bCs w:val="false"/>
          <w:i w:val="false"/>
          <w:iCs w:val="false"/>
          <w:sz w:val="22"/>
          <w:szCs w:val="22"/>
        </w:rPr>
        <w:t xml:space="preserve">Scientific and commercial risks include over-generalising from one simulated city, a published faithfulness score being misread as a guarantee, and dependence on open datasets whose availability may change. These are mitigated by stated scope, multiple faithfulness measures rather than one, and version-pinned reproducible artefacts.</w:t>
      </w:r>
    </w:p>
    <w:p>
      <w:pPr>
        <w:pStyle w:val="Heading1"/>
        <w:spacing w:after="64" w:before="130"/>
      </w:pPr>
      <w:r>
        <w:rPr>
          <w:rFonts w:ascii="Arial" w:cs="Arial" w:eastAsia="Arial" w:hAnsi="Arial"/>
          <w:b/>
          <w:bCs/>
          <w:color w:val="1F3864"/>
          <w:sz w:val="26"/>
          <w:szCs w:val="26"/>
        </w:rPr>
        <w:t xml:space="preserve">11. Expected Research Output</w:t>
      </w:r>
    </w:p>
    <w:p>
      <w:pPr>
        <w:pStyle w:val="ListParagraph"/>
        <w:numPr>
          <w:ilvl w:val="0"/>
          <w:numId w:val="6"/>
        </w:numPr>
        <w:spacing w:after="50" w:line="260"/>
      </w:pPr>
      <w:r>
        <w:rPr>
          <w:rFonts w:ascii="Arial" w:cs="Arial" w:eastAsia="Arial" w:hAnsi="Arial"/>
          <w:b w:val="false"/>
          <w:bCs w:val="false"/>
          <w:i w:val="false"/>
          <w:iCs w:val="false"/>
          <w:sz w:val="22"/>
          <w:szCs w:val="22"/>
        </w:rPr>
        <w:t xml:space="preserve">An MSc dissertation covering the definition, benchmark, empirical findings and mitigation (Introduction, Literature Review, Methodology, Experiments, Discussion, Conclusion).</w:t>
      </w:r>
    </w:p>
    <w:p>
      <w:pPr>
        <w:pStyle w:val="ListParagraph"/>
        <w:numPr>
          <w:ilvl w:val="0"/>
          <w:numId w:val="6"/>
        </w:numPr>
        <w:spacing w:after="50" w:line="260"/>
      </w:pPr>
      <w:r>
        <w:rPr>
          <w:rFonts w:ascii="Arial" w:cs="Arial" w:eastAsia="Arial" w:hAnsi="Arial"/>
          <w:b w:val="false"/>
          <w:bCs w:val="false"/>
          <w:i w:val="false"/>
          <w:iCs w:val="false"/>
          <w:sz w:val="22"/>
          <w:szCs w:val="22"/>
        </w:rPr>
        <w:t xml:space="preserve">A submitted IEEE conference paper — primary targets IEEE ITSC, IEEE ICTAI, IEEE ICC and IEEE GLOBECOM; secondary AAMAS / IJCAI and Trustworthy/Explainable-AI workshops.</w:t>
      </w:r>
    </w:p>
    <w:p>
      <w:pPr>
        <w:pStyle w:val="ListParagraph"/>
        <w:numPr>
          <w:ilvl w:val="0"/>
          <w:numId w:val="6"/>
        </w:numPr>
        <w:spacing w:after="50" w:line="260"/>
      </w:pPr>
      <w:r>
        <w:rPr>
          <w:rFonts w:ascii="Arial" w:cs="Arial" w:eastAsia="Arial" w:hAnsi="Arial"/>
          <w:b w:val="false"/>
          <w:bCs w:val="false"/>
          <w:i w:val="false"/>
          <w:iCs w:val="false"/>
          <w:sz w:val="22"/>
          <w:szCs w:val="22"/>
        </w:rPr>
        <w:t xml:space="preserve">An open-source repository: GAT-MAPPO dispatch simulator, AoI degradation operators, DEF/WAMSN evaluation code, training notebooks and the telemetry-aware module.</w:t>
      </w:r>
    </w:p>
    <w:p>
      <w:pPr>
        <w:pStyle w:val="ListParagraph"/>
        <w:numPr>
          <w:ilvl w:val="0"/>
          <w:numId w:val="6"/>
        </w:numPr>
        <w:spacing w:after="50" w:line="260"/>
      </w:pPr>
      <w:r>
        <w:rPr>
          <w:rFonts w:ascii="Arial" w:cs="Arial" w:eastAsia="Arial" w:hAnsi="Arial"/>
          <w:b w:val="false"/>
          <w:bCs w:val="false"/>
          <w:i w:val="false"/>
          <w:iCs w:val="false"/>
          <w:sz w:val="22"/>
          <w:szCs w:val="22"/>
        </w:rPr>
        <w:t xml:space="preserve">A reproducible released dataset (processed grids, episodes, degradation manifests) with seeds and version pins.</w:t>
      </w:r>
    </w:p>
    <w:p>
      <w:pPr>
        <w:pStyle w:val="Heading1"/>
        <w:spacing w:after="64" w:before="130"/>
      </w:pPr>
      <w:r>
        <w:rPr>
          <w:rFonts w:ascii="Arial" w:cs="Arial" w:eastAsia="Arial" w:hAnsi="Arial"/>
          <w:b/>
          <w:bCs/>
          <w:color w:val="1F3864"/>
          <w:sz w:val="26"/>
          <w:szCs w:val="26"/>
        </w:rPr>
        <w:t xml:space="preserve">12. References</w:t>
      </w:r>
    </w:p>
    <w:p>
      <w:pPr>
        <w:spacing w:after="28"/>
        <w:ind w:left="360" w:hanging="360"/>
      </w:pPr>
      <w:r>
        <w:rPr>
          <w:rFonts w:ascii="Arial" w:cs="Arial" w:eastAsia="Arial" w:hAnsi="Arial"/>
          <w:sz w:val="18"/>
          <w:szCs w:val="18"/>
        </w:rPr>
        <w:t xml:space="preserve">[1] K. Lin, R. Zhao, Z. Xu, and J. Zhou, “Efficient large-scale fleet management via multi-agent deep reinforcement learning,” Proc. ACM SIGKDD Int. Conf. Knowledge Discovery and Data Mining, vol. 18, pp. 1774–1783, Jul. 2018, doi: 10.1145/3219819.3219993.</w:t>
      </w:r>
    </w:p>
    <w:p>
      <w:pPr>
        <w:spacing w:after="28"/>
        <w:ind w:left="360" w:hanging="360"/>
      </w:pPr>
      <w:r>
        <w:rPr>
          <w:rFonts w:ascii="Arial" w:cs="Arial" w:eastAsia="Arial" w:hAnsi="Arial"/>
          <w:sz w:val="18"/>
          <w:szCs w:val="18"/>
        </w:rPr>
        <w:t xml:space="preserve">[2] Z. (Tony) Qin, H. Zhu, and J. Ye, “Reinforcement learning for ridesharing: An extended survey,” Transp. Res. Part C Emerg. Technol., vol. 144, p. 103852, Nov. 2022, doi: 10.1016/J.TRC.2022.103852.</w:t>
      </w:r>
    </w:p>
    <w:p>
      <w:pPr>
        <w:spacing w:after="28"/>
        <w:ind w:left="360" w:hanging="360"/>
      </w:pPr>
      <w:r>
        <w:rPr>
          <w:rFonts w:ascii="Arial" w:cs="Arial" w:eastAsia="Arial" w:hAnsi="Arial"/>
          <w:sz w:val="18"/>
          <w:szCs w:val="18"/>
        </w:rPr>
        <w:t xml:space="preserve">[3] R. Lowe et al., “Multi-Agent Actor-Critic for Mixed Cooperative-Competitive Environments,” Adv. Neural Inf. Process. Syst., vol. 30, 2017.</w:t>
      </w:r>
    </w:p>
    <w:p>
      <w:pPr>
        <w:spacing w:after="28"/>
        <w:ind w:left="360" w:hanging="360"/>
      </w:pPr>
      <w:r>
        <w:rPr>
          <w:rFonts w:ascii="Arial" w:cs="Arial" w:eastAsia="Arial" w:hAnsi="Arial"/>
          <w:sz w:val="18"/>
          <w:szCs w:val="18"/>
        </w:rPr>
        <w:t xml:space="preserve">[4] T. Rashid, M. Samvelyan, C. S. de Witt, G. Farquhar, J. Foerster, and S. Whiteson, “Monotonic Value Function Factorisation for Deep Multi-Agent Reinforcement Learning,” J. Mach. Learn. Res., vol. 21, no. 178, pp. 1–51, 2020. [Online]. Available: http://jmlr.org/papers/v21/20-081.html</w:t>
      </w:r>
    </w:p>
    <w:p>
      <w:pPr>
        <w:spacing w:after="28"/>
        <w:ind w:left="360" w:hanging="360"/>
      </w:pPr>
      <w:r>
        <w:rPr>
          <w:rFonts w:ascii="Arial" w:cs="Arial" w:eastAsia="Arial" w:hAnsi="Arial"/>
          <w:sz w:val="18"/>
          <w:szCs w:val="18"/>
        </w:rPr>
        <w:t xml:space="preserve">[5] C. Yu et al., “The Surprising Effectiveness of PPO in Cooperative Multi-Agent Games,” Adv. Neural Inf. Process. Syst., vol. 35, pp. 24611–24624, Dec. 2022. [Online]. Available: https://github.com/marlbenchmark/on-policy</w:t>
      </w:r>
    </w:p>
    <w:p>
      <w:pPr>
        <w:spacing w:after="28"/>
        <w:ind w:left="360" w:hanging="360"/>
      </w:pPr>
      <w:r>
        <w:rPr>
          <w:rFonts w:ascii="Arial" w:cs="Arial" w:eastAsia="Arial" w:hAnsi="Arial"/>
          <w:sz w:val="18"/>
          <w:szCs w:val="18"/>
        </w:rPr>
        <w:t xml:space="preserve">[6] F. Scarselli, M. Gori, A. C. Tsoi, M. Hagenbuchner, and G. Monfardini, “The graph neural network model,” IEEE Trans. Neural Netw., vol. 20, no. 1, pp. 61–80, Jan. 2009, doi: 10.1109/TNN.2008.2005605.</w:t>
      </w:r>
    </w:p>
    <w:p>
      <w:pPr>
        <w:spacing w:after="28"/>
        <w:ind w:left="360" w:hanging="360"/>
      </w:pPr>
      <w:r>
        <w:rPr>
          <w:rFonts w:ascii="Arial" w:cs="Arial" w:eastAsia="Arial" w:hAnsi="Arial"/>
          <w:sz w:val="18"/>
          <w:szCs w:val="18"/>
        </w:rPr>
        <w:t xml:space="preserve">[7] P. Veličković, A. Casanova, P. Liò, G. Cucurull, A. Romero, and Y. Bengio, “Graph Attention Networks,” in Proc. 6th Int. Conf. Learning Representations (ICLR), 2018.</w:t>
      </w:r>
    </w:p>
    <w:p>
      <w:pPr>
        <w:spacing w:after="28"/>
        <w:ind w:left="360" w:hanging="360"/>
      </w:pPr>
      <w:r>
        <w:rPr>
          <w:rFonts w:ascii="Arial" w:cs="Arial" w:eastAsia="Arial" w:hAnsi="Arial"/>
          <w:sz w:val="18"/>
          <w:szCs w:val="18"/>
        </w:rPr>
        <w:t xml:space="preserve">[8] S. Iqbal and F. Sha, “Actor-Attention-Critic for Multi-Agent Reinforcement Learning,” in Proc. 36th Int. Conf. Machine Learning (PMLR), 2019. [Online]. Available: https://proceedings.mlr.press/v97/iqbal19a.html</w:t>
      </w:r>
    </w:p>
    <w:p>
      <w:pPr>
        <w:spacing w:after="28"/>
        <w:ind w:left="360" w:hanging="360"/>
      </w:pPr>
      <w:r>
        <w:rPr>
          <w:rFonts w:ascii="Arial" w:cs="Arial" w:eastAsia="Arial" w:hAnsi="Arial"/>
          <w:sz w:val="18"/>
          <w:szCs w:val="18"/>
        </w:rPr>
        <w:t xml:space="preserve">[9] A. Vaswani et al., “Attention is All you Need,” Adv. Neural Inf. Process. Syst., vol. 30, 2017.</w:t>
      </w:r>
    </w:p>
    <w:p>
      <w:pPr>
        <w:spacing w:after="28"/>
        <w:ind w:left="360" w:hanging="360"/>
      </w:pPr>
      <w:r>
        <w:rPr>
          <w:rFonts w:ascii="Arial" w:cs="Arial" w:eastAsia="Arial" w:hAnsi="Arial"/>
          <w:sz w:val="18"/>
          <w:szCs w:val="18"/>
        </w:rPr>
        <w:t xml:space="preserve">[10] A. Heuillet, F. Couthouis, and N. Díaz-Rodríguez, “Explainability in deep reinforcement learning,” Knowl. Based Syst., vol. 214, p. 106685, Feb. 2021, doi: 10.1016/J.KNOSYS.2020.106685.</w:t>
      </w:r>
    </w:p>
    <w:p>
      <w:pPr>
        <w:spacing w:after="28"/>
        <w:ind w:left="360" w:hanging="360"/>
      </w:pPr>
      <w:r>
        <w:rPr>
          <w:rFonts w:ascii="Arial" w:cs="Arial" w:eastAsia="Arial" w:hAnsi="Arial"/>
          <w:sz w:val="18"/>
          <w:szCs w:val="18"/>
        </w:rPr>
        <w:t xml:space="preserve">[11] P. Madumal, T. Miller, L. Sonenberg, and F. Vetere, “Explainable Reinforcement Learning through a Causal Lens,” Proc. AAAI Conf. Artificial Intelligence, vol. 34, no. 03, pp. 2493–2500, Apr. 2020, doi: 10.1609/AAAI.V34I03.5631.</w:t>
      </w:r>
    </w:p>
    <w:p>
      <w:pPr>
        <w:spacing w:after="28"/>
        <w:ind w:left="360" w:hanging="360"/>
      </w:pPr>
      <w:r>
        <w:rPr>
          <w:rFonts w:ascii="Arial" w:cs="Arial" w:eastAsia="Arial" w:hAnsi="Arial"/>
          <w:sz w:val="18"/>
          <w:szCs w:val="18"/>
        </w:rPr>
        <w:t xml:space="preserve">[12] S. Jain and B. C. Wallace, “Attention is not Explanation,” in Proc. 2019 Conf. North American Chapter ACL (NAACL-HLT), pp. 3543–3556, 2019, doi: 10.18653/V1/N19-1357.</w:t>
      </w:r>
    </w:p>
    <w:p>
      <w:pPr>
        <w:spacing w:after="28"/>
        <w:ind w:left="360" w:hanging="360"/>
      </w:pPr>
      <w:r>
        <w:rPr>
          <w:rFonts w:ascii="Arial" w:cs="Arial" w:eastAsia="Arial" w:hAnsi="Arial"/>
          <w:sz w:val="18"/>
          <w:szCs w:val="18"/>
        </w:rPr>
        <w:t xml:space="preserve">[13] S. Wiegreffe and Y. Pinter, “Attention is not not Explanation,” in Proc. EMNLP-IJCNLP, pp. 11–20, 2019, doi: 10.18653/V1/D19-1002.</w:t>
      </w:r>
    </w:p>
    <w:p>
      <w:pPr>
        <w:spacing w:after="28"/>
        <w:ind w:left="360" w:hanging="360"/>
      </w:pPr>
      <w:r>
        <w:rPr>
          <w:rFonts w:ascii="Arial" w:cs="Arial" w:eastAsia="Arial" w:hAnsi="Arial"/>
          <w:sz w:val="18"/>
          <w:szCs w:val="18"/>
        </w:rPr>
        <w:t xml:space="preserve">[14] S. Serrano and N. A. Smith, “Is Attention Interpretable?,” in Proc. 57th Annual Meeting ACL, pp. 2931–2951, 2019, doi: 10.18653/V1/P19-1282.</w:t>
      </w:r>
    </w:p>
    <w:p>
      <w:pPr>
        <w:spacing w:after="28"/>
        <w:ind w:left="360" w:hanging="360"/>
      </w:pPr>
      <w:r>
        <w:rPr>
          <w:rFonts w:ascii="Arial" w:cs="Arial" w:eastAsia="Arial" w:hAnsi="Arial"/>
          <w:sz w:val="18"/>
          <w:szCs w:val="18"/>
        </w:rPr>
        <w:t xml:space="preserve">[15] Y. Liu, H. Li, Y. Guo, C. Kong, J. Li, and S. Wang, “Rethinking Attention-Model Explainability through Faithfulness Violation Test,” in Proc. 39th Int. Conf. Machine Learning (PMLR), 2022. [Online]. Available: https://proceedings.mlr.press/v162/liu22i.html</w:t>
      </w:r>
    </w:p>
    <w:p>
      <w:pPr>
        <w:spacing w:after="28"/>
        <w:ind w:left="360" w:hanging="360"/>
      </w:pPr>
      <w:r>
        <w:rPr>
          <w:rFonts w:ascii="Arial" w:cs="Arial" w:eastAsia="Arial" w:hAnsi="Arial"/>
          <w:sz w:val="18"/>
          <w:szCs w:val="18"/>
        </w:rPr>
        <w:t xml:space="preserve">[16] J. DeYoung et al., “ERASER: A Benchmark to Evaluate Rationalized NLP Models,” in Proc. 58th Annual Meeting ACL, pp. 4443–4458, 2020, doi: 10.18653/V1/2020.ACL-MAIN.408.</w:t>
      </w:r>
    </w:p>
    <w:p>
      <w:pPr>
        <w:spacing w:after="28"/>
        <w:ind w:left="360" w:hanging="360"/>
      </w:pPr>
      <w:r>
        <w:rPr>
          <w:rFonts w:ascii="Arial" w:cs="Arial" w:eastAsia="Arial" w:hAnsi="Arial"/>
          <w:sz w:val="18"/>
          <w:szCs w:val="18"/>
        </w:rPr>
        <w:t xml:space="preserve">[17] A. Jacovi and Y. Goldberg, “Towards Faithfully Interpretable NLP Systems: How Should We Define and Evaluate Faithfulness?,” in Proc. 58th Annual Meeting ACL, pp. 4198–4205, 2020, doi: 10.18653/V1/2020.ACL-MAIN.386.</w:t>
      </w:r>
    </w:p>
    <w:p>
      <w:pPr>
        <w:spacing w:after="28"/>
        <w:ind w:left="360" w:hanging="360"/>
      </w:pPr>
      <w:r>
        <w:rPr>
          <w:rFonts w:ascii="Arial" w:cs="Arial" w:eastAsia="Arial" w:hAnsi="Arial"/>
          <w:sz w:val="18"/>
          <w:szCs w:val="18"/>
        </w:rPr>
        <w:t xml:space="preserve">[18] M. T. Ribeiro, S. Singh, and C. Guestrin, “‘Why should I trust you?’ Explaining the predictions of any classifier,” Proc. ACM SIGKDD Int. Conf. Knowledge Discovery and Data Mining, pp. 1135–1144, Aug. 2016, doi: 10.1145/2939672.2939778.</w:t>
      </w:r>
    </w:p>
    <w:p>
      <w:pPr>
        <w:spacing w:after="28"/>
        <w:ind w:left="360" w:hanging="360"/>
      </w:pPr>
      <w:r>
        <w:rPr>
          <w:rFonts w:ascii="Arial" w:cs="Arial" w:eastAsia="Arial" w:hAnsi="Arial"/>
          <w:sz w:val="18"/>
          <w:szCs w:val="18"/>
        </w:rPr>
        <w:t xml:space="preserve">[19] D. Alvarez-Melis and T. S. Jaakkola, “On the Robustness of Interpretability Methods,” arXiv:1806.08049, Jun. 2018. [Online]. Available: https://arxiv.org/pdf/1806.08049</w:t>
      </w:r>
    </w:p>
    <w:p>
      <w:pPr>
        <w:spacing w:after="28"/>
        <w:ind w:left="360" w:hanging="360"/>
      </w:pPr>
      <w:r>
        <w:rPr>
          <w:rFonts w:ascii="Arial" w:cs="Arial" w:eastAsia="Arial" w:hAnsi="Arial"/>
          <w:sz w:val="18"/>
          <w:szCs w:val="18"/>
        </w:rPr>
        <w:t xml:space="preserve">[20] Z. C. Lipton, “The Mythos of Model Interpretability,” Queue, vol. 16, no. 3, pp. 31–57, Jun. 2018, doi: 10.1145/3236386.3241340.</w:t>
      </w:r>
    </w:p>
    <w:p>
      <w:pPr>
        <w:spacing w:after="28"/>
        <w:ind w:left="360" w:hanging="360"/>
      </w:pPr>
      <w:r>
        <w:rPr>
          <w:rFonts w:ascii="Arial" w:cs="Arial" w:eastAsia="Arial" w:hAnsi="Arial"/>
          <w:sz w:val="18"/>
          <w:szCs w:val="18"/>
        </w:rPr>
        <w:t xml:space="preserve">[21] S. Kaul, R. Yates, and M. Gruteser, “Real-time status: How often should one update?,” Proc. IEEE INFOCOM, pp. 2731–2735, 2012, doi: 10.1109/INFCOM.2012.6195689.</w:t>
      </w:r>
    </w:p>
    <w:p>
      <w:pPr>
        <w:spacing w:after="28"/>
        <w:ind w:left="360" w:hanging="360"/>
      </w:pPr>
      <w:r>
        <w:rPr>
          <w:rFonts w:ascii="Arial" w:cs="Arial" w:eastAsia="Arial" w:hAnsi="Arial"/>
          <w:sz w:val="18"/>
          <w:szCs w:val="18"/>
        </w:rPr>
        <w:t xml:space="preserve">[22] P. A. Lopez et al., “Microscopic Traffic Simulation using SUMO,” in Proc. IEEE Conf. Intelligent Transportation Systems (ITSC), vol. 2018-November, pp. 2575–2582, Dec. 2018, doi: 10.1109/ITSC.2018.8569938.</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O%1."/>
      <w:lvlJc w:val="left"/>
      <w:pPr>
        <w:ind w:left="540" w:hanging="360"/>
      </w:pPr>
    </w:lvl>
  </w:abstractNum>
  <w:abstractNum w:abstractNumId="3" w15:restartNumberingAfterBreak="0">
    <w:multiLevelType w:val="hybridMultilevel"/>
    <w:lvl w:ilvl="0" w15:tentative="1">
      <w:start w:val="1"/>
      <w:numFmt w:val="none"/>
      <w:lvlJc w:val="left"/>
      <w:pPr>
        <w:ind w:left="360" w:hanging="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3864"/>
      <w:sz w:val="26"/>
      <w:szCs w:val="26"/>
    </w:rPr>
  </w:style>
  <w:style w:type="paragraph" w:styleId="Heading2">
    <w:name w:val="Heading 2"/>
    <w:basedOn w:val="Normal"/>
    <w:next w:val="Normal"/>
    <w:qFormat/>
    <w:pPr>
      <w:spacing w:after="50" w:before="120"/>
      <w:outlineLvl w:val="1"/>
    </w:pPr>
    <w:rPr>
      <w:rFonts w:ascii="Arial" w:cs="Arial" w:eastAsia="Arial" w:hAnsi="Arial"/>
      <w:b/>
      <w:bCs/>
      <w:color w:val="2E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e127af3e69ea731a84c8fbd967db54a106b8ed.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2026-06-20T18:37:47.059Z</dcterms:created>
  <dcterms:modified xsi:type="dcterms:W3CDTF">2026-06-20T18:37:47.062Z</dcterms:modified>
</cp:coreProperties>
</file>

<file path=docProps/custom.xml><?xml version="1.0" encoding="utf-8"?>
<Properties xmlns="http://schemas.openxmlformats.org/officeDocument/2006/custom-properties" xmlns:vt="http://schemas.openxmlformats.org/officeDocument/2006/docPropsVTypes"/>
</file>