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August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rPr>
          <w:rFonts w:ascii="Times New Roman" w:hAnsi="Times New Roman"/>
          <w:b/>
          <w:sz w:val="28"/>
        </w:rPr>
        <w:t>ACKNOWLEDGEMENT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pPr>
      <w:r>
        <w:rPr>
          <w:rFonts w:ascii="Times New Roman" w:hAnsi="Times New Roman"/>
          <w:b/>
          <w:sz w:val="28"/>
        </w:rPr>
        <w:t>LIST OF FIGURES</w:t>
      </w:r>
    </w:p>
    <w:p>
      <w:pPr>
        <w:keepLines/>
        <w:tabs>
          <w:tab w:pos="8784" w:val="right" w:leader="dot"/>
        </w:tabs>
        <w:spacing w:after="40" w:line="240" w:lineRule="auto"/>
        <w:ind w:left="0"/>
      </w:pPr>
      <w:r>
        <w:t>Figure 3.1  Local observation graph and request-to-action mapping</w:t>
        <w:tab/>
        <w:t>7</w:t>
      </w:r>
    </w:p>
    <w:p>
      <w:pPr>
        <w:keepLines/>
        <w:tabs>
          <w:tab w:pos="8784" w:val="right" w:leader="dot"/>
        </w:tabs>
        <w:spacing w:after="40" w:line="240" w:lineRule="auto"/>
        <w:ind w:left="0"/>
      </w:pPr>
      <w:r>
        <w:t>Figure 3.2  Graph-attention policy and audit channel</w:t>
        <w:tab/>
        <w:t>7</w:t>
      </w:r>
    </w:p>
    <w:p>
      <w:pPr>
        <w:keepLines/>
        <w:tabs>
          <w:tab w:pos="8784" w:val="right" w:leader="dot"/>
        </w:tabs>
        <w:spacing w:after="40" w:line="240" w:lineRule="auto"/>
        <w:ind w:left="0"/>
      </w:pPr>
      <w:r>
        <w:t>Figure 3.3  Training, selection and held-out evaluation</w:t>
        <w:tab/>
        <w:t>8</w:t>
      </w:r>
    </w:p>
    <w:p>
      <w:pPr>
        <w:keepLines/>
        <w:tabs>
          <w:tab w:pos="8784" w:val="right" w:leader="dot"/>
        </w:tabs>
        <w:spacing w:after="40" w:line="240" w:lineRule="auto"/>
        <w:ind w:left="0"/>
      </w:pPr>
      <w:r>
        <w:t>Figure 3.4  Tunnel-triggered observation-layer telemetry degradation</w:t>
        <w:tab/>
        <w:t>9</w:t>
      </w:r>
    </w:p>
    <w:p>
      <w:pPr>
        <w:keepLines/>
        <w:tabs>
          <w:tab w:pos="8784" w:val="right" w:leader="dot"/>
        </w:tabs>
        <w:spacing w:after="40" w:line="240" w:lineRule="auto"/>
        <w:ind w:left="0"/>
      </w:pPr>
      <w:r>
        <w:t>Figure 3.5  Construct-validity controls for action-linked request nodes</w:t>
        <w:tab/>
        <w:t>10</w:t>
      </w:r>
    </w:p>
    <w:p>
      <w:pPr>
        <w:keepLines/>
        <w:tabs>
          <w:tab w:pos="8784" w:val="right" w:leader="dot"/>
        </w:tabs>
        <w:spacing w:after="40" w:line="240" w:lineRule="auto"/>
        <w:ind w:left="0"/>
      </w:pPr>
      <w:r>
        <w:t>Figure 4.1  Validation checkpoint selection by model and training seed</w:t>
        <w:tab/>
        <w:t>12</w:t>
      </w:r>
    </w:p>
    <w:p>
      <w:pPr>
        <w:keepLines/>
        <w:tabs>
          <w:tab w:pos="8784" w:val="right" w:leader="dot"/>
        </w:tabs>
        <w:spacing w:after="40" w:line="240" w:lineRule="auto"/>
        <w:ind w:left="0"/>
      </w:pPr>
      <w:r>
        <w:t>Figure 4.2  Clean-test pickups by training seed</w:t>
        <w:tab/>
        <w:t>13</w:t>
      </w:r>
    </w:p>
    <w:p>
      <w:pPr>
        <w:keepLines/>
        <w:tabs>
          <w:tab w:pos="8784" w:val="right" w:leader="dot"/>
        </w:tabs>
        <w:spacing w:after="40" w:line="240" w:lineRule="auto"/>
        <w:ind w:left="0"/>
      </w:pPr>
      <w:r>
        <w:t>Figure 4.3  Outage-duration sweep by policy and training seed</w:t>
        <w:tab/>
        <w:t>14</w:t>
      </w:r>
    </w:p>
    <w:p>
      <w:pPr>
        <w:keepLines/>
        <w:tabs>
          <w:tab w:pos="8784" w:val="right" w:leader="dot"/>
        </w:tabs>
        <w:spacing w:after="40" w:line="240" w:lineRule="auto"/>
        <w:ind w:left="0"/>
      </w:pPr>
      <w:r>
        <w:t>Figure 4.4  Paired stale-attention shift by training seed</w:t>
        <w:tab/>
        <w:t>15</w:t>
      </w:r>
    </w:p>
    <w:p>
      <w:pPr>
        <w:keepLines/>
        <w:tabs>
          <w:tab w:pos="8784" w:val="right" w:leader="dot"/>
        </w:tabs>
        <w:spacing w:after="40" w:line="240" w:lineRule="auto"/>
        <w:ind w:left="0"/>
      </w:pPr>
      <w:r>
        <w:t>Figure 4.5  WAMSN-DEF correlation by training seed</w:t>
        <w:tab/>
        <w:t>16</w:t>
      </w:r>
    </w:p>
    <w:p>
      <w:pPr>
        <w:keepLines/>
        <w:tabs>
          <w:tab w:pos="8784" w:val="right" w:leader="dot"/>
        </w:tabs>
        <w:spacing w:after="40" w:line="240" w:lineRule="auto"/>
        <w:ind w:left="0"/>
      </w:pPr>
      <w:r>
        <w:t>Figure 5.1  Cross-seed evidence matrix</w:t>
        <w:tab/>
        <w:t>17</w:t>
      </w:r>
    </w:p>
    <w:p w14:paraId="4E24840A">
      <w:pPr>
        <w:keepNext/>
        <w:spacing w:after="360"/>
        <w:jc w:val="center"/>
      </w:pPr>
      <w:r>
        <w:rPr>
          <w:rFonts w:ascii="Times New Roman" w:hAnsi="Times New Roman"/>
          <w:b/>
          <w:sz w:val="28"/>
        </w:rPr>
        <w:t>LIST OF TABLES</w:t>
      </w:r>
    </w:p>
    <w:p>
      <w:pPr>
        <w:keepLines/>
        <w:tabs>
          <w:tab w:pos="8784" w:val="right" w:leader="dot"/>
        </w:tabs>
        <w:spacing w:after="40" w:line="240" w:lineRule="auto"/>
        <w:ind w:left="0"/>
      </w:pPr>
      <w:r>
        <w:t>Table 3.1  Observation graph node types and roles</w:t>
        <w:tab/>
        <w:t>6</w:t>
      </w:r>
    </w:p>
    <w:p>
      <w:pPr>
        <w:keepLines/>
        <w:tabs>
          <w:tab w:pos="8784" w:val="right" w:leader="dot"/>
        </w:tabs>
        <w:spacing w:after="40" w:line="240" w:lineRule="auto"/>
        <w:ind w:left="0"/>
      </w:pPr>
      <w:r>
        <w:t>Table 3.2  Policy conditions used in the v4 experiment</w:t>
        <w:tab/>
        <w:t>7</w:t>
      </w:r>
    </w:p>
    <w:p>
      <w:pPr>
        <w:keepLines/>
        <w:tabs>
          <w:tab w:pos="8784" w:val="right" w:leader="dot"/>
        </w:tabs>
        <w:spacing w:after="40" w:line="240" w:lineRule="auto"/>
        <w:ind w:left="0"/>
      </w:pPr>
      <w:r>
        <w:t>Table 3.3  Validation-selected checkpoint epochs</w:t>
        <w:tab/>
        <w:t>8</w:t>
      </w:r>
    </w:p>
    <w:p>
      <w:pPr>
        <w:keepLines/>
        <w:tabs>
          <w:tab w:pos="8784" w:val="right" w:leader="dot"/>
        </w:tabs>
        <w:spacing w:after="40" w:line="240" w:lineRule="auto"/>
        <w:ind w:left="0"/>
      </w:pPr>
      <w:r>
        <w:t>Table 4.1  Clean-test performance context across training seeds</w:t>
        <w:tab/>
        <w:t>12</w:t>
      </w:r>
    </w:p>
    <w:p>
      <w:pPr>
        <w:keepLines/>
        <w:tabs>
          <w:tab w:pos="8784" w:val="right" w:leader="dot"/>
        </w:tabs>
        <w:spacing w:after="40" w:line="240" w:lineRule="auto"/>
        <w:ind w:left="0"/>
      </w:pPr>
      <w:r>
        <w:t>Table 4.2  Construct-validity audit of random controls</w:t>
        <w:tab/>
        <w:t>13</w:t>
      </w:r>
    </w:p>
    <w:p>
      <w:pPr>
        <w:keepLines/>
        <w:tabs>
          <w:tab w:pos="8784" w:val="right" w:leader="dot"/>
        </w:tabs>
        <w:spacing w:after="40" w:line="240" w:lineRule="auto"/>
        <w:ind w:left="0"/>
      </w:pPr>
      <w:r>
        <w:t>Table 4.3  Paired stale-attention shift estimates and confidence intervals</w:t>
        <w:tab/>
        <w:t>14</w:t>
      </w:r>
    </w:p>
    <w:p>
      <w:pPr>
        <w:keepLines/>
        <w:tabs>
          <w:tab w:pos="8784" w:val="right" w:leader="dot"/>
        </w:tabs>
        <w:spacing w:after="40" w:line="240" w:lineRule="auto"/>
        <w:ind w:left="0"/>
      </w:pPr>
      <w:r>
        <w:t>Table 4.4  Hypothesis outcomes across training seeds</w:t>
        <w:tab/>
        <w:t>16</w:t>
      </w:r>
    </w:p>
    <w:p w14:paraId="7230114D">
      <w:pPr>
        <w:keepNext/>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Centralised Training with Decentralised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Optimisation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bl>
    <w:p w14:paraId="6E464A51">
      <w:pPr>
        <w:keepNext/>
        <w:spacing w:after="360"/>
        <w:jc w:val="center"/>
      </w:pPr>
      <w:r>
        <w:rPr>
          <w:rFonts w:ascii="Times New Roman" w:hAnsi="Times New Roman"/>
          <w:b/>
          <w:sz w:val="28"/>
        </w:rPr>
        <w:t>ABSTRACT</w:t>
      </w:r>
    </w:p>
    <w:p>
      <w:pPr>
        <w:widowControl/>
      </w:pPr>
      <w:r>
        <w:t xml:space="preserve">Graph-attention multi-agent reinforcement learning (GAT-MARL) can expose attention weights as explanations of fleet-dispatch decisions. The practical problem is that an attention map remains available when vehicle telemetry is stale, but it does not warn the operator whether its highlighted evidence is current or decision-relevant. This dissertation asks one central assurance question: </w:t>
      </w:r>
      <w:r>
        <w:rPr>
          <w:b/>
          <w:i w:val="0"/>
        </w:rPr>
        <w:t>can raw graph-attention weights be trusted as explanations when fleet telemetry is degraded?</w:t>
      </w:r>
    </w:p>
    <w:p>
      <w:pPr>
        <w:widowControl/>
      </w:pPr>
      <w:r>
        <w:t>The experiment uses a SUMO simulation of a 20-taxi fleet in Chongqing. Tunnel entry triggers signal loss, while the policy's observation layer freezes the last-known vehicle position and speed for 10, 20, 30, or 60 seconds. SUMO keeps the true state, allowing clean and degraded versions of the same decision to be compared. Clean-trained and degradation-trained GAT policies are evaluated across three training seeds. Decision-level explanation faithfulness (DEF) tests whether highly attended nodes affect the chosen action more than type-matched random nodes. Weighted attention mass on stale nodes (WAMSN) measures stale-data exposure.</w:t>
      </w:r>
    </w:p>
    <w:p>
      <w:pPr>
        <w:widowControl/>
      </w:pPr>
      <w:r>
        <w:t xml:space="preserve">The experiment does </w:t>
      </w:r>
      <w:r>
        <w:rPr>
          <w:b/>
          <w:i w:val="0"/>
        </w:rPr>
        <w:t>not</w:t>
      </w:r>
      <w:r>
        <w:t xml:space="preserve"> validate raw attention weights as dependable explanations. First, under clean telemetry, DEF remains close to the type-matched random baseline, so attention shows no measured faithfulness advantage over a fair random ranking. Second, longer outages increase stale-data exposure in all six GAT policies, but the actual shift of attention toward stale nodes is positive for two training seeds and negative for one in both training regimes. Third, DEF does not decline with outage duration, and degradation-aware training does not remove this variation.</w:t>
      </w:r>
    </w:p>
    <w:p>
      <w:pPr>
        <w:widowControl/>
      </w:pPr>
      <w:r>
        <w:t>A supporting construct-validity audit shows why type matching is necessary: deleting a passenger-request node can also delete an action, whereas deleting a nearby-taxi node only hides information. The consistent conclusion is not that stale telemetry always reduces faithfulness. It is that attention provides no stable guarantee of freshness or decision relevance across independently trained policies. An attention map can therefore outlive the data supporting it while still looking complete. Attention weights should be treated as model internals unless each released checkpoint passes separate freshness and faithfulness checks.</w:t>
      </w:r>
    </w:p>
    <w:p>
      <w:pPr/>
      <w:r>
        <w:rPr>
          <w:b/>
        </w:rPr>
        <w:t>Keywords:</w:t>
      </w:r>
      <w:r>
        <w:t xml:space="preserve"> explainable reinforcement learning; graph attention; multi-agent reinforcement learning; fleet dispatch; telemetry degradation; Age of Information; faithfulness.</w:t>
      </w:r>
    </w:p>
    <w:p w14:paraId="416F1070">
      <w:pPr>
        <w:keepNext/>
        <w:spacing w:after="360"/>
        <w:jc w:val="center"/>
      </w:pPr>
      <w:r>
        <w:rPr>
          <w:rFonts w:ascii="Times New Roman" w:hAnsi="Times New Roman"/>
          <w:b/>
          <w:sz w:val="28"/>
        </w:rPr>
        <w:t>TABLE OF CONTENTS</w:t>
      </w:r>
    </w:p>
    <w:p>
      <w:pPr>
        <w:keepLines/>
        <w:tabs>
          <w:tab w:pos="8784" w:val="right" w:leader="dot"/>
        </w:tabs>
        <w:spacing w:after="40" w:line="240" w:lineRule="auto"/>
        <w:ind w:left="0"/>
      </w:pPr>
      <w:r>
        <w:t>Chapter 1: Introduction</w:t>
        <w:tab/>
        <w:t>1</w:t>
      </w:r>
    </w:p>
    <w:p>
      <w:pPr>
        <w:keepLines/>
        <w:tabs>
          <w:tab w:pos="8784" w:val="right" w:leader="dot"/>
        </w:tabs>
        <w:spacing w:after="40" w:line="240" w:lineRule="auto"/>
        <w:ind w:left="360"/>
      </w:pPr>
      <w:r>
        <w:t>1.1 Context</w:t>
        <w:tab/>
        <w:t>1</w:t>
      </w:r>
    </w:p>
    <w:p>
      <w:pPr>
        <w:keepLines/>
        <w:tabs>
          <w:tab w:pos="8784" w:val="right" w:leader="dot"/>
        </w:tabs>
        <w:spacing w:after="40" w:line="240" w:lineRule="auto"/>
        <w:ind w:left="360"/>
      </w:pPr>
      <w:r>
        <w:t>1.2 Problem statement</w:t>
        <w:tab/>
        <w:t>1</w:t>
      </w:r>
    </w:p>
    <w:p>
      <w:pPr>
        <w:keepLines/>
        <w:tabs>
          <w:tab w:pos="8784" w:val="right" w:leader="dot"/>
        </w:tabs>
        <w:spacing w:after="40" w:line="240" w:lineRule="auto"/>
        <w:ind w:left="360"/>
      </w:pPr>
      <w:r>
        <w:t>1.3 Research questions</w:t>
        <w:tab/>
        <w:t>1</w:t>
      </w:r>
    </w:p>
    <w:p>
      <w:pPr>
        <w:keepLines/>
        <w:tabs>
          <w:tab w:pos="8784" w:val="right" w:leader="dot"/>
        </w:tabs>
        <w:spacing w:after="40" w:line="240" w:lineRule="auto"/>
        <w:ind w:left="360"/>
      </w:pPr>
      <w:r>
        <w:t>1.4 Objectives</w:t>
        <w:tab/>
        <w:t>2</w:t>
      </w:r>
    </w:p>
    <w:p>
      <w:pPr>
        <w:keepLines/>
        <w:tabs>
          <w:tab w:pos="8784" w:val="right" w:leader="dot"/>
        </w:tabs>
        <w:spacing w:after="40" w:line="240" w:lineRule="auto"/>
        <w:ind w:left="360"/>
      </w:pPr>
      <w:r>
        <w:t>1.5 Main findings</w:t>
        <w:tab/>
        <w:t>2</w:t>
      </w:r>
    </w:p>
    <w:p>
      <w:pPr>
        <w:keepLines/>
        <w:tabs>
          <w:tab w:pos="8784" w:val="right" w:leader="dot"/>
        </w:tabs>
        <w:spacing w:after="40" w:line="240" w:lineRule="auto"/>
        <w:ind w:left="360"/>
      </w:pPr>
      <w:r>
        <w:t>1.6 Contributions</w:t>
        <w:tab/>
        <w:t>3</w:t>
      </w:r>
    </w:p>
    <w:p>
      <w:pPr>
        <w:keepLines/>
        <w:tabs>
          <w:tab w:pos="8784" w:val="right" w:leader="dot"/>
        </w:tabs>
        <w:spacing w:after="40" w:line="240" w:lineRule="auto"/>
        <w:ind w:left="360"/>
      </w:pPr>
      <w:r>
        <w:t>1.7 Dissertation structure</w:t>
        <w:tab/>
        <w:t>3</w:t>
      </w:r>
    </w:p>
    <w:p>
      <w:pPr>
        <w:keepLines/>
        <w:tabs>
          <w:tab w:pos="8784" w:val="right" w:leader="dot"/>
        </w:tabs>
        <w:spacing w:after="40" w:line="240" w:lineRule="auto"/>
        <w:ind w:left="0"/>
      </w:pPr>
      <w:r>
        <w:t>Chapter 2: Literature Review</w:t>
        <w:tab/>
        <w:t>4</w:t>
      </w:r>
    </w:p>
    <w:p>
      <w:pPr>
        <w:keepLines/>
        <w:tabs>
          <w:tab w:pos="8784" w:val="right" w:leader="dot"/>
        </w:tabs>
        <w:spacing w:after="40" w:line="240" w:lineRule="auto"/>
        <w:ind w:left="360"/>
      </w:pPr>
      <w:r>
        <w:t>2.1 Reinforcement learning for fleet dispatch</w:t>
        <w:tab/>
        <w:t>4</w:t>
      </w:r>
    </w:p>
    <w:p>
      <w:pPr>
        <w:keepLines/>
        <w:tabs>
          <w:tab w:pos="8784" w:val="right" w:leader="dot"/>
        </w:tabs>
        <w:spacing w:after="40" w:line="240" w:lineRule="auto"/>
        <w:ind w:left="360"/>
      </w:pPr>
      <w:r>
        <w:t>2.2 Is attention an explanation?</w:t>
        <w:tab/>
        <w:t>4</w:t>
      </w:r>
    </w:p>
    <w:p>
      <w:pPr>
        <w:keepLines/>
        <w:tabs>
          <w:tab w:pos="8784" w:val="right" w:leader="dot"/>
        </w:tabs>
        <w:spacing w:after="40" w:line="240" w:lineRule="auto"/>
        <w:ind w:left="360"/>
      </w:pPr>
      <w:r>
        <w:t>2.3 Age of Information</w:t>
        <w:tab/>
        <w:t>5</w:t>
      </w:r>
    </w:p>
    <w:p>
      <w:pPr>
        <w:keepLines/>
        <w:tabs>
          <w:tab w:pos="8784" w:val="right" w:leader="dot"/>
        </w:tabs>
        <w:spacing w:after="40" w:line="240" w:lineRule="auto"/>
        <w:ind w:left="360"/>
      </w:pPr>
      <w:r>
        <w:t>2.4 Simulation platform</w:t>
        <w:tab/>
        <w:t>5</w:t>
      </w:r>
    </w:p>
    <w:p>
      <w:pPr>
        <w:keepLines/>
        <w:tabs>
          <w:tab w:pos="8784" w:val="right" w:leader="dot"/>
        </w:tabs>
        <w:spacing w:after="40" w:line="240" w:lineRule="auto"/>
        <w:ind w:left="360"/>
      </w:pPr>
      <w:r>
        <w:t>2.5 Positioning</w:t>
        <w:tab/>
        <w:t>5</w:t>
      </w:r>
    </w:p>
    <w:p>
      <w:pPr>
        <w:keepLines/>
        <w:tabs>
          <w:tab w:pos="8784" w:val="right" w:leader="dot"/>
        </w:tabs>
        <w:spacing w:after="40" w:line="240" w:lineRule="auto"/>
        <w:ind w:left="0"/>
      </w:pPr>
      <w:r>
        <w:t>Chapter 3: Methodology</w:t>
        <w:tab/>
        <w:t>6</w:t>
      </w:r>
    </w:p>
    <w:p>
      <w:pPr>
        <w:keepLines/>
        <w:tabs>
          <w:tab w:pos="8784" w:val="right" w:leader="dot"/>
        </w:tabs>
        <w:spacing w:after="40" w:line="240" w:lineRule="auto"/>
        <w:ind w:left="360"/>
      </w:pPr>
      <w:r>
        <w:t>3.1 Study design</w:t>
        <w:tab/>
        <w:t>6</w:t>
      </w:r>
    </w:p>
    <w:p>
      <w:pPr>
        <w:keepLines/>
        <w:tabs>
          <w:tab w:pos="8784" w:val="right" w:leader="dot"/>
        </w:tabs>
        <w:spacing w:after="40" w:line="240" w:lineRule="auto"/>
        <w:ind w:left="360"/>
      </w:pPr>
      <w:r>
        <w:t>3.2 SUMO environment and data</w:t>
        <w:tab/>
        <w:t>6</w:t>
      </w:r>
    </w:p>
    <w:p>
      <w:pPr>
        <w:keepLines/>
        <w:tabs>
          <w:tab w:pos="8784" w:val="right" w:leader="dot"/>
        </w:tabs>
        <w:spacing w:after="40" w:line="240" w:lineRule="auto"/>
        <w:ind w:left="360"/>
      </w:pPr>
      <w:r>
        <w:t>3.3 Observation graph and action space</w:t>
        <w:tab/>
        <w:t>6</w:t>
      </w:r>
    </w:p>
    <w:p>
      <w:pPr>
        <w:keepLines/>
        <w:tabs>
          <w:tab w:pos="8784" w:val="right" w:leader="dot"/>
        </w:tabs>
        <w:spacing w:after="40" w:line="240" w:lineRule="auto"/>
        <w:ind w:left="360"/>
      </w:pPr>
      <w:r>
        <w:t>3.4 Policy models and training</w:t>
        <w:tab/>
        <w:t>7</w:t>
      </w:r>
    </w:p>
    <w:p>
      <w:pPr>
        <w:keepLines/>
        <w:tabs>
          <w:tab w:pos="8784" w:val="right" w:leader="dot"/>
        </w:tabs>
        <w:spacing w:after="40" w:line="240" w:lineRule="auto"/>
        <w:ind w:left="360"/>
      </w:pPr>
      <w:r>
        <w:t>3.5 Telemetry degradation</w:t>
        <w:tab/>
        <w:t>8</w:t>
      </w:r>
    </w:p>
    <w:p>
      <w:pPr>
        <w:keepLines/>
        <w:tabs>
          <w:tab w:pos="8784" w:val="right" w:leader="dot"/>
        </w:tabs>
        <w:spacing w:after="40" w:line="240" w:lineRule="auto"/>
        <w:ind w:left="360"/>
      </w:pPr>
      <w:r>
        <w:t>3.6 Explanation measures</w:t>
        <w:tab/>
        <w:t>9</w:t>
      </w:r>
    </w:p>
    <w:p>
      <w:pPr>
        <w:keepLines/>
        <w:tabs>
          <w:tab w:pos="8784" w:val="right" w:leader="dot"/>
        </w:tabs>
        <w:spacing w:after="40" w:line="240" w:lineRule="auto"/>
        <w:ind w:left="360"/>
      </w:pPr>
      <w:r>
        <w:t>3.6.1 Decision-level explanation faithfulness</w:t>
        <w:tab/>
        <w:t>9</w:t>
      </w:r>
    </w:p>
    <w:p>
      <w:pPr>
        <w:keepLines/>
        <w:tabs>
          <w:tab w:pos="8784" w:val="right" w:leader="dot"/>
        </w:tabs>
        <w:spacing w:after="40" w:line="240" w:lineRule="auto"/>
        <w:ind w:left="360"/>
      </w:pPr>
      <w:r>
        <w:t>3.6.2 Stale-node attention</w:t>
        <w:tab/>
        <w:t>9</w:t>
      </w:r>
    </w:p>
    <w:p>
      <w:pPr>
        <w:keepLines/>
        <w:tabs>
          <w:tab w:pos="8784" w:val="right" w:leader="dot"/>
        </w:tabs>
        <w:spacing w:after="40" w:line="240" w:lineRule="auto"/>
        <w:ind w:left="360"/>
      </w:pPr>
      <w:r>
        <w:t>3.7 Construct-validity audit</w:t>
        <w:tab/>
        <w:t>10</w:t>
      </w:r>
    </w:p>
    <w:p>
      <w:pPr>
        <w:keepLines/>
        <w:tabs>
          <w:tab w:pos="8784" w:val="right" w:leader="dot"/>
        </w:tabs>
        <w:spacing w:after="40" w:line="240" w:lineRule="auto"/>
        <w:ind w:left="360"/>
      </w:pPr>
      <w:r>
        <w:t>3.8 Evaluation matrix</w:t>
        <w:tab/>
        <w:t>10</w:t>
      </w:r>
    </w:p>
    <w:p>
      <w:pPr>
        <w:keepLines/>
        <w:tabs>
          <w:tab w:pos="8784" w:val="right" w:leader="dot"/>
        </w:tabs>
        <w:spacing w:after="40" w:line="240" w:lineRule="auto"/>
        <w:ind w:left="360"/>
      </w:pPr>
      <w:r>
        <w:t>3.9 Hypotheses and statistics</w:t>
        <w:tab/>
        <w:t>11</w:t>
      </w:r>
    </w:p>
    <w:p>
      <w:pPr>
        <w:keepLines/>
        <w:tabs>
          <w:tab w:pos="8784" w:val="right" w:leader="dot"/>
        </w:tabs>
        <w:spacing w:after="40" w:line="240" w:lineRule="auto"/>
        <w:ind w:left="360"/>
      </w:pPr>
      <w:r>
        <w:t>3.10 Reproducibility</w:t>
        <w:tab/>
        <w:t>11</w:t>
      </w:r>
    </w:p>
    <w:p>
      <w:pPr>
        <w:keepLines/>
        <w:tabs>
          <w:tab w:pos="8784" w:val="right" w:leader="dot"/>
        </w:tabs>
        <w:spacing w:after="40" w:line="240" w:lineRule="auto"/>
        <w:ind w:left="0"/>
      </w:pPr>
      <w:r>
        <w:t>Chapter 4: Results</w:t>
        <w:tab/>
        <w:t>12</w:t>
      </w:r>
    </w:p>
    <w:p>
      <w:pPr>
        <w:keepLines/>
        <w:tabs>
          <w:tab w:pos="8784" w:val="right" w:leader="dot"/>
        </w:tabs>
        <w:spacing w:after="40" w:line="240" w:lineRule="auto"/>
        <w:ind w:left="360"/>
      </w:pPr>
      <w:r>
        <w:t>4.1 Checkpoint selection and performance context</w:t>
        <w:tab/>
        <w:t>12</w:t>
      </w:r>
    </w:p>
    <w:p>
      <w:pPr>
        <w:keepLines/>
        <w:tabs>
          <w:tab w:pos="8784" w:val="right" w:leader="dot"/>
        </w:tabs>
        <w:spacing w:after="40" w:line="240" w:lineRule="auto"/>
        <w:ind w:left="360"/>
      </w:pPr>
      <w:r>
        <w:t>4.2 Supporting construct-validity result</w:t>
        <w:tab/>
        <w:t>13</w:t>
      </w:r>
    </w:p>
    <w:p>
      <w:pPr>
        <w:keepLines/>
        <w:tabs>
          <w:tab w:pos="8784" w:val="right" w:leader="dot"/>
        </w:tabs>
        <w:spacing w:after="40" w:line="240" w:lineRule="auto"/>
        <w:ind w:left="360"/>
      </w:pPr>
      <w:r>
        <w:t>4.3 Manipulation check: stale exposure increases</w:t>
        <w:tab/>
        <w:t>13</w:t>
      </w:r>
    </w:p>
    <w:p>
      <w:pPr>
        <w:keepLines/>
        <w:tabs>
          <w:tab w:pos="8784" w:val="right" w:leader="dot"/>
        </w:tabs>
        <w:spacing w:after="40" w:line="240" w:lineRule="auto"/>
        <w:ind w:left="360"/>
      </w:pPr>
      <w:r>
        <w:t>4.4 Paired attention reallocation is seed-dependent</w:t>
        <w:tab/>
        <w:t>14</w:t>
      </w:r>
    </w:p>
    <w:p>
      <w:pPr>
        <w:keepLines/>
        <w:tabs>
          <w:tab w:pos="8784" w:val="right" w:leader="dot"/>
        </w:tabs>
        <w:spacing w:after="40" w:line="240" w:lineRule="auto"/>
        <w:ind w:left="360"/>
      </w:pPr>
      <w:r>
        <w:t>4.5 Faithfulness and decoupling hypotheses</w:t>
        <w:tab/>
        <w:t>15</w:t>
      </w:r>
    </w:p>
    <w:p>
      <w:pPr>
        <w:keepLines/>
        <w:tabs>
          <w:tab w:pos="8784" w:val="right" w:leader="dot"/>
        </w:tabs>
        <w:spacing w:after="40" w:line="240" w:lineRule="auto"/>
        <w:ind w:left="360"/>
      </w:pPr>
      <w:r>
        <w:t>4.6 Degradation-aware training</w:t>
        <w:tab/>
        <w:t>16</w:t>
      </w:r>
    </w:p>
    <w:p>
      <w:pPr>
        <w:keepLines/>
        <w:tabs>
          <w:tab w:pos="8784" w:val="right" w:leader="dot"/>
        </w:tabs>
        <w:spacing w:after="40" w:line="240" w:lineRule="auto"/>
        <w:ind w:left="360"/>
      </w:pPr>
      <w:r>
        <w:t>4.7 Hypothesis summary</w:t>
        <w:tab/>
        <w:t>16</w:t>
      </w:r>
    </w:p>
    <w:p>
      <w:pPr>
        <w:keepLines/>
        <w:tabs>
          <w:tab w:pos="8784" w:val="right" w:leader="dot"/>
        </w:tabs>
        <w:spacing w:after="40" w:line="240" w:lineRule="auto"/>
        <w:ind w:left="0"/>
      </w:pPr>
      <w:r>
        <w:t>Chapter 5: Discussion</w:t>
        <w:tab/>
        <w:t>17</w:t>
      </w:r>
    </w:p>
    <w:p>
      <w:pPr>
        <w:keepLines/>
        <w:tabs>
          <w:tab w:pos="8784" w:val="right" w:leader="dot"/>
        </w:tabs>
        <w:spacing w:after="40" w:line="240" w:lineRule="auto"/>
        <w:ind w:left="360"/>
      </w:pPr>
      <w:r>
        <w:t>5.1 Answer to the central problem</w:t>
        <w:tab/>
        <w:t>17</w:t>
      </w:r>
    </w:p>
    <w:p>
      <w:pPr>
        <w:keepLines/>
        <w:tabs>
          <w:tab w:pos="8784" w:val="right" w:leader="dot"/>
        </w:tabs>
        <w:spacing w:after="40" w:line="240" w:lineRule="auto"/>
        <w:ind w:left="360"/>
      </w:pPr>
      <w:r>
        <w:t>5.2 Why H3 is useful but limited</w:t>
        <w:tab/>
        <w:t>17</w:t>
      </w:r>
    </w:p>
    <w:p>
      <w:pPr>
        <w:keepLines/>
        <w:tabs>
          <w:tab w:pos="8784" w:val="right" w:leader="dot"/>
        </w:tabs>
        <w:spacing w:after="40" w:line="240" w:lineRule="auto"/>
        <w:ind w:left="360"/>
      </w:pPr>
      <w:r>
        <w:t>5.3 Meaning of training-seed variation</w:t>
        <w:tab/>
        <w:t>18</w:t>
      </w:r>
    </w:p>
    <w:p>
      <w:pPr>
        <w:keepLines/>
        <w:tabs>
          <w:tab w:pos="8784" w:val="right" w:leader="dot"/>
        </w:tabs>
        <w:spacing w:after="40" w:line="240" w:lineRule="auto"/>
        <w:ind w:left="360"/>
      </w:pPr>
      <w:r>
        <w:t>5.4 Role of the construct-validity audit</w:t>
        <w:tab/>
        <w:t>18</w:t>
      </w:r>
    </w:p>
    <w:p>
      <w:pPr>
        <w:keepLines/>
        <w:tabs>
          <w:tab w:pos="8784" w:val="right" w:leader="dot"/>
        </w:tabs>
        <w:spacing w:after="40" w:line="240" w:lineRule="auto"/>
        <w:ind w:left="360"/>
      </w:pPr>
      <w:r>
        <w:t>5.5 Degradation-aware training</w:t>
        <w:tab/>
        <w:t>18</w:t>
      </w:r>
    </w:p>
    <w:p>
      <w:pPr>
        <w:keepLines/>
        <w:tabs>
          <w:tab w:pos="8784" w:val="right" w:leader="dot"/>
        </w:tabs>
        <w:spacing w:after="40" w:line="240" w:lineRule="auto"/>
        <w:ind w:left="360"/>
      </w:pPr>
      <w:r>
        <w:t>5.6 Practical implications</w:t>
        <w:tab/>
        <w:t>18</w:t>
      </w:r>
    </w:p>
    <w:p>
      <w:pPr>
        <w:keepLines/>
        <w:tabs>
          <w:tab w:pos="8784" w:val="right" w:leader="dot"/>
        </w:tabs>
        <w:spacing w:after="40" w:line="240" w:lineRule="auto"/>
        <w:ind w:left="360"/>
      </w:pPr>
      <w:r>
        <w:t>5.7 Limitations</w:t>
        <w:tab/>
        <w:t>19</w:t>
      </w:r>
    </w:p>
    <w:p>
      <w:pPr>
        <w:keepLines/>
        <w:tabs>
          <w:tab w:pos="8784" w:val="right" w:leader="dot"/>
        </w:tabs>
        <w:spacing w:after="40" w:line="240" w:lineRule="auto"/>
        <w:ind w:left="360"/>
      </w:pPr>
      <w:r>
        <w:t>5.8 Future work</w:t>
        <w:tab/>
        <w:t>19</w:t>
      </w:r>
    </w:p>
    <w:p>
      <w:pPr>
        <w:keepLines/>
        <w:tabs>
          <w:tab w:pos="8784" w:val="right" w:leader="dot"/>
        </w:tabs>
        <w:spacing w:after="40" w:line="240" w:lineRule="auto"/>
        <w:ind w:left="0"/>
      </w:pPr>
      <w:r>
        <w:t>Chapter 6: Conclusion</w:t>
        <w:tab/>
        <w:t>20</w:t>
      </w:r>
    </w:p>
    <w:p>
      <w:pPr>
        <w:sectPr>
          <w:footerReference r:id="rId8" w:type="default"/>
          <w:pgSz w:w="11909" w:h="16834"/>
          <w:pgMar w:top="850" w:right="1440" w:bottom="1483" w:left="1440" w:header="720" w:footer="720" w:gutter="0"/>
          <w:pgNumType w:fmt="lowerRoman" w:start="2"/>
          <w:cols w:space="720" w:num="1"/>
        </w:sectPr>
      </w:pPr>
    </w:p>
    <w:p>
      <w:pPr>
        <w:pStyle w:val="2"/>
        <w:keepNext/>
      </w:pPr>
      <w:r>
        <w:t>Chapter 1: Introduction</w:t>
      </w:r>
    </w:p>
    <w:p>
      <w:pPr>
        <w:pStyle w:val="3"/>
        <w:keepNext/>
      </w:pPr>
      <w:r>
        <w:t>1.1 Context</w:t>
      </w:r>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neighbouring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Wiegreffe and Pinter, 2019; Serrano and Smith, 2019; Liu et al., 2022). The issue becomes more serious in an operational system because the input itself may no longer describe the current world.</w:t>
      </w:r>
    </w:p>
    <w:p>
      <w:pPr>
        <w:pStyle w:val="3"/>
        <w:keepNext/>
      </w:pPr>
      <w:r>
        <w:t>1.2 Problem statement</w:t>
      </w:r>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continue to look complete even though some of the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The dissertation is therefore not trying to improve the number of pickups. It is trying to determine whether raw graph-attention weights provide dependable evidence about a decision under clean and degraded telemetry.</w:t>
      </w:r>
    </w:p>
    <w:p>
      <w:pPr>
        <w:widowControl/>
      </w:pPr>
      <w:r>
        <w:t xml:space="preserve">The study uses </w:t>
      </w:r>
      <w:r>
        <w:rPr>
          <w:b/>
          <w:i w:val="0"/>
        </w:rPr>
        <w:t>faithfulness decoupling</w:t>
      </w:r>
      <w:r>
        <w:t xml:space="preserve"> for the risk that an explanation remains available and visually plausible after the freshness of its supporting data has expired, without a dependable link between the displayed weights and the evidence that changes the decision. The original hypothesis expected faithfulness to decline while performance remained stable. The final experiment tests this possible pattern, but the broader problem is whether attention offers a reliable assurance at all.</w:t>
      </w:r>
    </w:p>
    <w:p>
      <w:pPr>
        <w:pStyle w:val="3"/>
        <w:keepNext/>
      </w:pPr>
      <w:r>
        <w:t>1.3 Research questions</w:t>
      </w:r>
    </w:p>
    <w:p>
      <w:pPr>
        <w:widowControl/>
      </w:pPr>
      <w:r>
        <w:t>The central research question is:</w:t>
      </w:r>
    </w:p>
    <w:p>
      <w:pPr>
        <w:widowControl/>
      </w:pPr>
      <w:r>
        <w:rPr>
          <w:b/>
          <w:i w:val="0"/>
        </w:rPr>
        <w:t>Can raw graph-attention weights be trusted as explanations of fleet-dispatch decisions when vehicle telemetry becomes stale?</w:t>
      </w:r>
    </w:p>
    <w:p>
      <w:pPr>
        <w:widowControl/>
      </w:pPr>
      <w:r>
        <w:t>Four operational questions provide the evidence needed to answer it:</w:t>
      </w:r>
    </w:p>
    <w:p>
      <w:pPr>
        <w:pStyle w:val="14"/>
        <w:keepLines/>
      </w:pPr>
      <w:r>
        <w:rPr>
          <w:b/>
          <w:i w:val="0"/>
        </w:rPr>
        <w:t>RQ1:</w:t>
      </w:r>
      <w:r>
        <w:t xml:space="preserve"> Is graph attention a faithful explanation under clean telemetry?</w:t>
      </w:r>
    </w:p>
    <w:p>
      <w:pPr>
        <w:pStyle w:val="14"/>
        <w:keepLines/>
      </w:pPr>
      <w:r>
        <w:rPr>
          <w:b/>
          <w:i w:val="0"/>
        </w:rPr>
        <w:t>RQ2:</w:t>
      </w:r>
      <w:r>
        <w:t xml:space="preserve"> When tunnel-triggered outages occur, does attention move toward</w:t>
      </w:r>
    </w:p>
    <w:p>
      <w:pPr>
        <w:widowControl/>
      </w:pPr>
      <w:r>
        <w:t>stale vehicle nodes?</w:t>
      </w:r>
    </w:p>
    <w:p>
      <w:pPr>
        <w:pStyle w:val="14"/>
        <w:keepLines/>
      </w:pPr>
      <w:r>
        <w:rPr>
          <w:b/>
          <w:i w:val="0"/>
        </w:rPr>
        <w:t>RQ3:</w:t>
      </w:r>
      <w:r>
        <w:t xml:space="preserve"> Does explanation faithfulness change more than dispatch behaviour</w:t>
      </w:r>
    </w:p>
    <w:p>
      <w:pPr>
        <w:widowControl/>
      </w:pPr>
      <w:r>
        <w:t>as outage duration increases?</w:t>
      </w:r>
    </w:p>
    <w:p>
      <w:pPr>
        <w:pStyle w:val="14"/>
        <w:keepLines/>
      </w:pPr>
      <w:r>
        <w:rPr>
          <w:b/>
          <w:i w:val="0"/>
        </w:rPr>
        <w:t>RQ4:</w:t>
      </w:r>
      <w:r>
        <w:t xml:space="preserve"> Does training the policy under telemetry degradation make the</w:t>
      </w:r>
    </w:p>
    <w:p>
      <w:pPr>
        <w:widowControl/>
      </w:pPr>
      <w:r>
        <w:t>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r>
        <w:t>1.4 Objectives</w:t>
      </w:r>
    </w:p>
    <w:p>
      <w:pPr>
        <w:widowControl/>
      </w:pPr>
      <w:r>
        <w:t>The measurable objectives are to:</w:t>
      </w:r>
    </w:p>
    <w:p>
      <w:pPr>
        <w:pStyle w:val="13"/>
        <w:keepLines/>
      </w:pPr>
      <w:r>
        <w:t>build a reproducible SUMO fleet-dispatch benchmark with train, validation,</w:t>
      </w:r>
    </w:p>
    <w:p>
      <w:pPr>
        <w:widowControl/>
      </w:pPr>
      <w:r>
        <w:t>and held-out test demand;</w:t>
      </w:r>
    </w:p>
    <w:p>
      <w:pPr>
        <w:pStyle w:val="13"/>
        <w:keepLines/>
      </w:pPr>
      <w:r>
        <w:t>train clean and degradation-aware policies across three independent seeds;</w:t>
      </w:r>
    </w:p>
    <w:p>
      <w:pPr>
        <w:pStyle w:val="13"/>
        <w:keepLines/>
      </w:pPr>
      <w:r>
        <w:t>trigger signal loss from tunnel entry while applying the resulting freeze at</w:t>
      </w:r>
    </w:p>
    <w:p>
      <w:pPr>
        <w:widowControl/>
      </w:pPr>
      <w:r>
        <w:t>the observation boundary;</w:t>
      </w:r>
    </w:p>
    <w:p>
      <w:pPr>
        <w:pStyle w:val="13"/>
        <w:keepLines/>
      </w:pPr>
      <w:r>
        <w:t>compare clean telemetry with fixed observation-layer outages of 10, 20, 30,</w:t>
      </w:r>
    </w:p>
    <w:p>
      <w:pPr>
        <w:widowControl/>
      </w:pPr>
      <w:r>
        <w:t>and 60 seconds;</w:t>
      </w:r>
    </w:p>
    <w:p>
      <w:pPr>
        <w:pStyle w:val="13"/>
        <w:keepLines/>
      </w:pPr>
      <w:r>
        <w:t>measure explanation faithfulness with action-aware, type-matched</w:t>
      </w:r>
    </w:p>
    <w:p>
      <w:pPr>
        <w:widowControl/>
      </w:pPr>
      <w:r>
        <w:t>counterfactual controls;</w:t>
      </w:r>
    </w:p>
    <w:p>
      <w:pPr>
        <w:pStyle w:val="13"/>
        <w:keepLines/>
      </w:pPr>
      <w:r>
        <w:t>measure how much attention is assigned to stale vehicle information;</w:t>
      </w:r>
    </w:p>
    <w:p>
      <w:pPr>
        <w:pStyle w:val="13"/>
        <w:keepLines/>
      </w:pPr>
      <w:r>
        <w:t>treat the trained policy, rather than each individual decision, as the unit</w:t>
      </w:r>
    </w:p>
    <w:p>
      <w:pPr>
        <w:widowControl/>
      </w:pPr>
      <w:r>
        <w:t>for judging whether a finding is consistent.</w:t>
      </w:r>
    </w:p>
    <w:p>
      <w:pPr>
        <w:pStyle w:val="3"/>
        <w:keepNext/>
      </w:pPr>
      <w:r>
        <w:t>1.5 Main findings</w:t>
      </w:r>
    </w:p>
    <w:p>
      <w:pPr>
        <w:widowControl/>
      </w:pPr>
      <w:r>
        <w:t xml:space="preserve">The completed v4 experiment gives one consistent overall answer: </w:t>
      </w:r>
      <w:r>
        <w:rPr>
          <w:b/>
          <w:i w:val="0"/>
        </w:rPr>
        <w:t>raw attention weights are not validated as dependable explanations by this study</w:t>
      </w:r>
      <w:r>
        <w:t>. This is a negative assurance result, supported by three connected findings.</w:t>
      </w:r>
    </w:p>
    <w:p>
      <w:pPr>
        <w:widowControl/>
      </w:pPr>
      <w:r>
        <w:t>First, type-matched DEF remains close to zero for the audited GAT policies. This does not prove that attention is harmful; it means the experiment finds little evidence that the displayed weights identify more decision-relevant information than a fair random explanation. The supporting audit shows why a uniform random baseline gives misleading results when request nodes are also actions.</w:t>
      </w:r>
    </w:p>
    <w:p>
      <w:pPr>
        <w:widowControl/>
      </w:pPr>
      <w:r>
        <w:t xml:space="preserve">Second, longer outages consistently increase WAMSN. This result appears in all three clean-trained B2 policies and all three degradation-trained H5 policies. It shows that more of the displayed attention is attached to stale information when stale exposure lasts longer. It does </w:t>
      </w:r>
      <w:r>
        <w:rPr>
          <w:b/>
          <w:i w:val="0"/>
        </w:rPr>
        <w:t>not</w:t>
      </w:r>
      <w:r>
        <w:t xml:space="preserve"> show that AoI causes lower faithfulness.</w:t>
      </w:r>
    </w:p>
    <w:p>
      <w:pPr>
        <w:widowControl/>
      </w:pPr>
      <w:r>
        <w:t>Third, the paired change in stale-node attention is not consistent across training seeds. It is positive for seeds 42 and 43 but negative for seed 44 in both B2 and H5. H1 and H2 are unsupported in every trained policy. The association between WAMSN and DEF is supported for two H5 seeds, but not the third and not any B2 seed. This disagreement is not an absence of a conclusion: it shows that raw attention has no stable, model-independent response to stale telemetry.</w:t>
      </w:r>
    </w:p>
    <w:p>
      <w:pPr>
        <w:widowControl/>
      </w:pPr>
      <w:r>
        <w:t>Finally, degradation-aware training does not remove training-seed variation. It also produces one weak policy replicate, which limits any mitigation claim. Taken together, the results do not prove that attention is always unfaithful. They show that attention cannot be trusted by default; freshness and faithfulness must be checked separately for every released policy.</w:t>
      </w:r>
    </w:p>
    <w:p>
      <w:pPr>
        <w:pStyle w:val="3"/>
        <w:keepNext/>
      </w:pPr>
      <w:r>
        <w:t>1.6 Contributions</w:t>
      </w:r>
    </w:p>
    <w:p>
      <w:pPr>
        <w:widowControl/>
      </w:pPr>
      <w:r>
        <w:t>The dissertation contributes:</w:t>
      </w:r>
    </w:p>
    <w:p>
      <w:pPr>
        <w:pStyle w:val="13"/>
        <w:keepLines/>
      </w:pPr>
      <w:r>
        <w:t>a paired clean/degraded benchmark in which SUMO ground truth is separated</w:t>
      </w:r>
    </w:p>
    <w:p>
      <w:pPr>
        <w:widowControl/>
      </w:pPr>
      <w:r>
        <w:t>from the observation received by the policy;</w:t>
      </w:r>
    </w:p>
    <w:p>
      <w:pPr>
        <w:pStyle w:val="13"/>
        <w:keepLines/>
      </w:pPr>
      <w:r>
        <w:t>an explicit distinction between a tunnel trigger and an observation-layer</w:t>
      </w:r>
    </w:p>
    <w:p>
      <w:pPr>
        <w:widowControl/>
      </w:pPr>
      <w:r>
        <w:t>outage;</w:t>
      </w:r>
    </w:p>
    <w:p>
      <w:pPr>
        <w:pStyle w:val="13"/>
        <w:keepLines/>
      </w:pPr>
      <w:r>
        <w:t>a type-matched faithfulness protocol for graphs where request nodes also</w:t>
      </w:r>
    </w:p>
    <w:p>
      <w:pPr>
        <w:widowControl/>
      </w:pPr>
      <w:r>
        <w:t>define available actions;</w:t>
      </w:r>
    </w:p>
    <w:p>
      <w:pPr>
        <w:pStyle w:val="13"/>
        <w:keepLines/>
      </w:pPr>
      <w:r>
        <w:t>evidence across independently trained policies that stale-data exposure is</w:t>
      </w:r>
    </w:p>
    <w:p>
      <w:pPr>
        <w:widowControl/>
      </w:pPr>
      <w:r>
        <w:t>consistent, while attention reallocation and faithfulness effects are not;</w:t>
      </w:r>
    </w:p>
    <w:p>
      <w:pPr>
        <w:pStyle w:val="13"/>
        <w:keepLines/>
      </w:pPr>
      <w:r>
        <w:t>a reproducible experiment runner, validation-selected checkpoints,</w:t>
      </w:r>
    </w:p>
    <w:p>
      <w:pPr>
        <w:widowControl/>
      </w:pPr>
      <w:r>
        <w:t>preflight checks, machine-readable results, and training-seed synthesis.</w:t>
      </w:r>
    </w:p>
    <w:p>
      <w:pPr>
        <w:pStyle w:val="3"/>
        <w:keepNext/>
      </w:pPr>
      <w:r>
        <w:t>1.7 Dissertation structure</w:t>
      </w:r>
    </w:p>
    <w:p>
      <w:pPr>
        <w:widowControl/>
      </w:pPr>
      <w:r>
        <w:t>Chapter 2 reviews MARL dispatch, graph attention, explanation faithfulness, and AoI. Chapter 3 describes the simulator, models, degradation layer, metrics, and statistical design. Chapter 4 reports the v4 results. Chapter 5 discusses what can and cannot be concluded. Chapter 6 closes with the practical implications for trustworthy fleet-dispatch explanations.</w:t>
      </w:r>
    </w:p>
    <w:p>
      <w:pPr>
        <w:pStyle w:val="2"/>
        <w:keepNext/>
      </w:pPr>
      <w:r>
        <w:t>Chapter 2: Literature Review</w:t>
      </w:r>
    </w:p>
    <w:p>
      <w:pPr>
        <w:widowControl/>
      </w:pPr>
      <w:r>
        <w:t>This work sits at the intersection of three literatures that have not previously met: reinforcement learning for fleet dispatch, the faithfulness of attention-based explanations, and the Age of Information. Each is reviewed for what it contributes and for the assumption this dissertation removes.</w:t>
      </w:r>
    </w:p>
    <w:p>
      <w:pPr>
        <w:pStyle w:val="3"/>
        <w:keepNext/>
      </w:pPr>
      <w:r>
        <w:t>2.1 Reinforcement learning for fleet dispatch</w:t>
      </w:r>
    </w:p>
    <w:p>
      <w:pPr>
        <w:widowControl/>
      </w:pPr>
      <w:r>
        <w:t>Lin et al. framed city-scale fleet management as a contextual multi-agent RL problem and demonstrated strong gains on real ride-hailing data (Lin et al., 2018); surveys confirm RL as the state of the art for ridesharing operations (Qin, Zhu and Ye, 2022). Because dispatch couples agents through shared roads and demand, cooperative MARL methods dominate: MADDPG (Lowe et al., 2017), value factorisation in QMIX (Rashid et al., 2020), and — the backbone adopted here — MAPPO, whose combination of parameter sharing and centralised training / decentralised execution (CTDE) is simple and empirically strong (Yu et al., 2022).</w:t>
      </w:r>
    </w:p>
    <w:p>
      <w:pPr>
        <w:widowControl/>
      </w:pPr>
      <w:r>
        <w:t xml:space="preserve">Two formulations recur. </w:t>
      </w:r>
      <w:r>
        <w:rPr>
          <w:b w:val="0"/>
          <w:i/>
        </w:rPr>
        <w:t>Centralised</w:t>
      </w:r>
      <w:r>
        <w:t xml:space="preserve"> dispatch computes a global vehicle–order matching each step; </w:t>
      </w:r>
      <w:r>
        <w:rPr>
          <w:b w:val="0"/>
          <w:i/>
        </w:rPr>
        <w:t>decentralised</w:t>
      </w:r>
      <w:r>
        <w:t xml:space="preserve"> dispatch lets each idle vehicle choose independently whether to accept a nearby order (Lin et al., 2018). This work adopts the decentralised formulation for a reason specific to its explanation focus (elaborated in §3.2): a per-agent graph makes every attention distribution correspond one-to-one to a single vehicle's decision, so faithfulness can be evaluated per decision rather than on an aggregate dispatcher output.</w:t>
      </w:r>
    </w:p>
    <w:p>
      <w:pPr>
        <w:widowControl/>
      </w:pPr>
      <w:r>
        <w:t xml:space="preserve">Graph structure enters through graph neural networks (Scarselli et al., 2009); graph </w:t>
      </w:r>
      <w:r>
        <w:rPr>
          <w:b w:val="0"/>
          <w:i/>
        </w:rPr>
        <w:t>attention</w:t>
      </w:r>
      <w:r>
        <w:t xml:space="preserve"> networks (Velickovic et al., 2018) additionally learn a per-node weighting that attention-based MARL such as MAAC exploits for inter-agent reasoning (Iqbal and Sha, 2019). It is exactly this weighting that platforms surface as an explanation — the object under audit here.</w:t>
      </w:r>
    </w:p>
    <w:p>
      <w:pPr>
        <w:widowControl/>
      </w:pPr>
      <w:r>
        <w:t>Recent dispatch studies reinforce the relevance of this setting. BMG-Q uses a local bipartite match graph for ride-pooling dispatch (Hu, Feng and Li, 2025), CoopRide studies cooperative city-scale MARL (Wang et al., 2025), and DualG-MARL combines vehicle-state and task graphs for ride-sharing scheduling (Sha et al., 2026). These studies focus on dispatch quality and coordination; they do not test whether an attention channel remains faithful when its vehicle telemetry is stale.</w:t>
      </w:r>
    </w:p>
    <w:p>
      <w:pPr>
        <w:pStyle w:val="3"/>
        <w:keepNext/>
      </w:pPr>
      <w:r>
        <w:t>2.2 Is attention an explanation?</w:t>
      </w:r>
    </w:p>
    <w:p>
      <w:pPr>
        <w:widowControl/>
      </w:pPr>
      <w:r>
        <w:t xml:space="preserve">The debate opened by "Attention is not Explanation" (Jain and Wallace, 2019) established that attention maps can be uncorrelated with feature importance and can be substituted without behavioural change. Wiegreffe and Pinter's reply (Wiegreffe and Pinter, 2019) and Serrano and Smith's analysis (Serrano and Smith, 2019) refined rather than reversed the verdict: whether attention "explains" depends on the definition and the test. Jacovi and Goldberg's position piece (Jacovi and Goldberg, 2020) supplied the discipline this dissertation adopts wholesale — faithfulness must be </w:t>
      </w:r>
      <w:r>
        <w:rPr>
          <w:b w:val="0"/>
          <w:i/>
        </w:rPr>
        <w:t>defined and measured</w:t>
      </w:r>
      <w:r>
        <w:t>, never assumed, and the measurement must itself be scrutinised.</w:t>
      </w:r>
    </w:p>
    <w:p>
      <w:pPr>
        <w:widowControl/>
      </w:pPr>
      <w:r>
        <w:t>The dominant measurement family is perturbation-based: comprehensiveness and sufficiency in the ERASER benchmark (DeYoung et al., 2020), the faithfulness-violation test for attention models (Liu et al., 2022), and reference-attribution methods such as LIME (Ribeiro, Singh and Guestrin, 2016). Robustness studies warn that interpretability methods are themselves fragile (Alvarez-Melis and Jaakkola, 2018), and Lipton's survey cautions against conflating plausibility with validity (Lipton, 2018).</w:t>
      </w:r>
    </w:p>
    <w:p>
      <w:pPr>
        <w:widowControl/>
      </w:pPr>
      <w:r>
        <w:t xml:space="preserve">Two gaps matter here. First, the entire debate operates on clean, static inputs; no prior work asks what happens to faithfulness when the </w:t>
      </w:r>
      <w:r>
        <w:rPr>
          <w:b w:val="0"/>
          <w:i/>
        </w:rPr>
        <w:t>data behind the explanation</w:t>
      </w:r>
      <w:r>
        <w:t xml:space="preserve"> ages. Second — a gap this work discovered rather than inherited — perturbation protocols implicitly assume that occluding an explanation unit leaves the model's output space intact. In RL architectures where explanation nodes double as action candidates, that assumption fails: occlusion deletes actions. The resulting baseline confound (Chapter 4) is closest in spirit to the critique that removal-based evaluation puts inputs off-distribution (the ROAR line of argument), but is more severe: the perturbation changes the </w:t>
      </w:r>
      <w:r>
        <w:rPr>
          <w:b w:val="0"/>
          <w:i/>
        </w:rPr>
        <w:t>decision problem</w:t>
      </w:r>
      <w:r>
        <w:t>, not merely the input distribution. To the author's knowledge no prior faithfulness study controls for it.</w:t>
      </w:r>
    </w:p>
    <w:p>
      <w:pPr>
        <w:pStyle w:val="3"/>
        <w:keepNext/>
      </w:pPr>
      <w:r>
        <w:t>2.3 Age of Information</w:t>
      </w:r>
    </w:p>
    <w:p>
      <w:pPr>
        <w:widowControl/>
      </w:pPr>
      <w:r>
        <w:t xml:space="preserve">The AoI literature (Kaul, Yates and Gruteser, 2012) formalises data freshness as time since last update and studies its cost for </w:t>
      </w:r>
      <w:r>
        <w:rPr>
          <w:b w:val="0"/>
          <w:i/>
        </w:rPr>
        <w:t>control</w:t>
      </w:r>
      <w:r>
        <w:t xml:space="preserve"> — how stale state degrades estimation and decision quality. AoI has rarely been coupled to </w:t>
      </w:r>
      <w:r>
        <w:rPr>
          <w:b w:val="0"/>
          <w:i/>
        </w:rPr>
        <w:t>explanation</w:t>
      </w:r>
      <w:r>
        <w:t xml:space="preserve"> quality. This dissertation uses AoI as a descriptor of each frozen vehicle reading and as the per-node staleness weight inside WAMSN (§3.6). The manipulated variable is the fixed observation-layer outage duration, not AoI itself; the study therefore does not claim that AoI causes a change in faithfulness.</w:t>
      </w:r>
    </w:p>
    <w:p>
      <w:pPr>
        <w:pStyle w:val="3"/>
        <w:keepNext/>
      </w:pPr>
      <w:r>
        <w:t>2.4 Simulation platform</w:t>
      </w:r>
    </w:p>
    <w:p>
      <w:pPr>
        <w:widowControl/>
      </w:pPr>
      <w:r>
        <w:t>SUMO (Lopez et al., 2018) provides the microscopic traffic substrate: a real OpenStreetMap district with tunnel attributes preserved, a taxi dispatch device driven through TraCI, and reproducible demand generation. SUMO is an experimental vehicle here, not a contribution; the same applies to the GAT-MAPPO dispatcher itself.</w:t>
      </w:r>
    </w:p>
    <w:p>
      <w:pPr>
        <w:pStyle w:val="3"/>
        <w:keepNext/>
      </w:pPr>
      <w:r>
        <w:t>2.5 Positioning</w:t>
      </w:r>
    </w:p>
    <w:p>
      <w:pPr>
        <w:widowControl/>
      </w:pPr>
      <w:r>
        <w:t>Relative to (Jain and Wallace, 2019) and its successors, this work contributes (i) a temporal axis based on fixed observation outages and measured data freshness; (ii) the closed-loop MARL setting, where explanations attach to individual dispatch decisions taken under degraded observations; (iii) a paired clean/degraded evaluation design with exact per-decision counterfactuals; and (iv) the candidate-action occlusion artifact and its controls. The closest robustness studies perturb model inputs (Alvarez-Melis and Jaakkola, 2018), but do not examine whether explanation behaviour remains stable as operational telemetry becomes stale.</w:t>
      </w:r>
    </w:p>
    <w:p>
      <w:pPr>
        <w:pStyle w:val="2"/>
        <w:keepNext/>
      </w:pPr>
      <w:r>
        <w:t>Chapter 3: Methodology</w:t>
      </w:r>
    </w:p>
    <w:p>
      <w:pPr>
        <w:pStyle w:val="3"/>
        <w:keepNext/>
      </w:pPr>
      <w:r>
        <w:t>3.1 Study design</w:t>
      </w:r>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physical ground truth, while a separate observation layer controls what the policy receives.</w:t>
      </w:r>
    </w:p>
    <w:p>
      <w:pPr>
        <w:widowControl/>
      </w:pPr>
      <w:r>
        <w:t>The final protocol is defined in configs/experiments/dissertation_v4.toml. The full run contains three stages: training, validation-based checkpoint selection, and held-out evaluation. Faithfulness sweeps are run only after the selected checkpoints are frozen.</w:t>
      </w:r>
    </w:p>
    <w:p>
      <w:pPr>
        <w:pStyle w:val="3"/>
        <w:keepNext/>
      </w:pPr>
      <w:r>
        <w:t>3.2 SUMO environment and data</w:t>
      </w:r>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pStyle w:val="3"/>
        <w:keepNext/>
      </w:pPr>
      <w:r>
        <w:t>3.3 Observation graph and action space</w:t>
      </w:r>
    </w:p>
    <w:p>
      <w:pPr>
        <w:widowControl/>
      </w:pPr>
      <w:r>
        <w:t>Each idle taxi receives a self-centred graph containing:</w:t>
      </w:r>
    </w:p>
    <w:p>
      <w:pPr>
        <w:pStyle w:val="12"/>
        <w:keepNext/>
      </w:pPr>
      <w:r>
        <w:rPr>
          <w:b/>
        </w:rPr>
        <w:t>Table 3.1: Observation graph node types and roles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normalised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p>
    <w:p>
      <w:pPr>
        <w:pStyle w:val="3"/>
        <w:keepNext/>
      </w:pPr>
      <w:r>
        <w:t>3.4 Policy models and training</w:t>
      </w:r>
    </w:p>
    <w:p>
      <w:pPr>
        <w:widowControl/>
      </w:pPr>
      <w:r>
        <w:t>The main policy uses per-node-type feature projections followed by two graph attention layers with four heads. The actor scores no-op and the visible requests. The critic estimates value for MAPPO training with centralised training and decentralised execution. The GAT implementation returns its attention tensors directly so they can be audited without changing the trained network.</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23560" cy="3113151"/>
                    </a:xfrm>
                    <a:prstGeom prst="rect"/>
                  </pic:spPr>
                </pic:pic>
              </a:graphicData>
            </a:graphic>
          </wp:inline>
        </w:drawing>
      </w:r>
    </w:p>
    <w:p>
      <w:pPr>
        <w:pStyle w:val="12"/>
        <w:keepLines/>
      </w:pPr>
      <w:r>
        <w:t>Figure 3.2. The policy and audit share the same two-layer attention encoder. The audit reduces the self-node attention row to node importance without modifying the actor, critic or selected action.</w:t>
      </w:r>
    </w:p>
    <w:p>
      <w:pPr>
        <w:widowControl/>
      </w:pPr>
      <w:r>
        <w:t>Four policy conditions are included:</w:t>
      </w:r>
    </w:p>
    <w:p>
      <w:pPr>
        <w:pStyle w:val="12"/>
        <w:keepNext/>
      </w:pPr>
      <w:r>
        <w:rPr>
          <w:b/>
        </w:rPr>
        <w:t>Table 3.2: Policy conditions used in the v4 experiment</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644"/>
        <w:gridCol w:w="2174"/>
        <w:gridCol w:w="2738"/>
        <w:gridCol w:w="3464"/>
      </w:tblGrid>
      <w:tr>
        <w:trPr>
          <w:cantSplit/>
          <w:tblHeader w:val="true"/>
        </w:trPr>
        <w:tc>
          <w:tcPr>
            <w:tcW w:type="dxa" w:w="644"/>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ID</w:t>
            </w:r>
          </w:p>
        </w:tc>
        <w:tc>
          <w:tcPr>
            <w:tcW w:type="dxa" w:w="217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Policy</w:t>
            </w:r>
          </w:p>
        </w:tc>
        <w:tc>
          <w:tcPr>
            <w:tcW w:type="dxa" w:w="273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Training observations</w:t>
            </w:r>
          </w:p>
        </w:tc>
        <w:tc>
          <w:tcPr>
            <w:tcW w:type="dxa" w:w="346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Purpose</w:t>
            </w:r>
          </w:p>
        </w:tc>
      </w:tr>
      <w:tr>
        <w:trPr>
          <w:cantSplit/>
        </w:trPr>
        <w:tc>
          <w:tcPr>
            <w:tcW w:type="dxa" w:w="64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B1</w:t>
            </w:r>
          </w:p>
        </w:tc>
        <w:tc>
          <w:tcPr>
            <w:tcW w:type="dxa" w:w="21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MLP-MAPPO</w:t>
            </w:r>
          </w:p>
        </w:tc>
        <w:tc>
          <w:tcPr>
            <w:tcW w:type="dxa" w:w="27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clean</w:t>
            </w:r>
          </w:p>
        </w:tc>
        <w:tc>
          <w:tcPr>
            <w:tcW w:type="dxa" w:w="346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performance context without graph attention</w:t>
            </w:r>
          </w:p>
        </w:tc>
      </w:tr>
      <w:tr>
        <w:trPr>
          <w:cantSplit/>
        </w:trPr>
        <w:tc>
          <w:tcPr>
            <w:tcW w:type="dxa" w:w="64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B2</w:t>
            </w:r>
          </w:p>
        </w:tc>
        <w:tc>
          <w:tcPr>
            <w:tcW w:type="dxa" w:w="21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7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clean</w:t>
            </w:r>
          </w:p>
        </w:tc>
        <w:tc>
          <w:tcPr>
            <w:tcW w:type="dxa" w:w="346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attention model under audit</w:t>
            </w:r>
          </w:p>
        </w:tc>
      </w:tr>
      <w:tr>
        <w:trPr>
          <w:cantSplit/>
        </w:trPr>
        <w:tc>
          <w:tcPr>
            <w:tcW w:type="dxa" w:w="64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B3</w:t>
            </w:r>
          </w:p>
        </w:tc>
        <w:tc>
          <w:tcPr>
            <w:tcW w:type="dxa" w:w="217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GAT-MAPPO without AoI input</w:t>
            </w:r>
          </w:p>
        </w:tc>
        <w:tc>
          <w:tcPr>
            <w:tcW w:type="dxa" w:w="27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clean</w:t>
            </w:r>
          </w:p>
        </w:tc>
        <w:tc>
          <w:tcPr>
            <w:tcW w:type="dxa" w:w="346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structural AoI-input control</w:t>
            </w:r>
          </w:p>
        </w:tc>
      </w:tr>
      <w:tr>
        <w:trPr>
          <w:cantSplit/>
        </w:trPr>
        <w:tc>
          <w:tcPr>
            <w:tcW w:type="dxa" w:w="64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w:t>
            </w:r>
          </w:p>
        </w:tc>
        <w:tc>
          <w:tcPr>
            <w:tcW w:type="dxa" w:w="21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7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46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Each condition is trained for 150 epochs with seeds 42, 43, and 44. B2 and B3 produce identical clean-test behaviour because AoI is always zero during clean training and clean evaluation; B3 is useful only when observations can become stale. It should not be described as evidence that AoI has no effect.</w:t>
      </w:r>
    </w:p>
    <w:p>
      <w:pPr>
        <w:widowControl/>
      </w:pPr>
      <w:r>
        <w:t>Candidate checkpoints are saved every ten epochs. Selection uses three stochastic validation episodes with seed 2026 and mean pickups as the primary criterion; mean reward and earlier epoch break ties. The test split is not read during selection. The selected epochs are:</w:t>
      </w:r>
    </w:p>
    <w:p>
      <w:pPr>
        <w:pStyle w:val="12"/>
        <w:keepNext/>
      </w:pPr>
      <w:r>
        <w:rPr>
          <w:b/>
        </w:rPr>
        <w:t>Table 3.3: Validation-selected checkpoint epochs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255"/>
        <w:gridCol w:w="2255"/>
        <w:gridCol w:w="2255"/>
        <w:gridCol w:w="2255"/>
      </w:tblGrid>
      <w:tr>
        <w:trPr>
          <w:cantSplit/>
          <w:tblHeader w:val="true"/>
        </w:trPr>
        <w:tc>
          <w:tcPr>
            <w:tcW w:type="dxa" w:w="225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25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 42</w:t>
            </w:r>
          </w:p>
        </w:tc>
        <w:tc>
          <w:tcPr>
            <w:tcW w:type="dxa" w:w="225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 43</w:t>
            </w:r>
          </w:p>
        </w:tc>
        <w:tc>
          <w:tcPr>
            <w:tcW w:type="dxa" w:w="225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 44</w:t>
            </w:r>
          </w:p>
        </w:tc>
      </w:tr>
      <w:tr>
        <w:trPr>
          <w:cantSplit/>
        </w:trPr>
        <w:tc>
          <w:tcPr>
            <w:tcW w:type="dxa" w:w="225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B1</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r>
        <w:trPr>
          <w:cantSplit/>
        </w:trPr>
        <w:tc>
          <w:tcPr>
            <w:tcW w:type="dxa" w:w="225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B2</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70</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225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B3</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70</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225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w:t>
            </w:r>
          </w:p>
        </w:tc>
        <w:tc>
          <w:tcPr>
            <w:tcW w:type="dxa" w:w="225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23560" cy="3247093"/>
                    </a:xfrm>
                    <a:prstGeom prst="rect"/>
                  </pic:spPr>
                </pic:pic>
              </a:graphicData>
            </a:graphic>
          </wp:inline>
        </w:drawing>
      </w:r>
    </w:p>
    <w:p>
      <w:pPr>
        <w:pStyle w:val="12"/>
        <w:keepLines/>
      </w:pPr>
      <w:r>
        <w:t>Figure 3.3. Common training and validation-based checkpoint selection for all four model conditions. Frozen checkpoints are evaluated on held-out demand; the faithfulness audit compares B2 and H5.</w:t>
      </w:r>
    </w:p>
    <w:p>
      <w:pPr>
        <w:pStyle w:val="3"/>
        <w:keepNext/>
      </w:pPr>
      <w:r>
        <w:t>3.5 Telemetry degradation</w:t>
      </w:r>
    </w:p>
    <w:p>
      <w:pPr>
        <w:widowControl/>
      </w:pPr>
      <w:r>
        <w:t>The trigger and the degradation location are separate parts of the design.</w:t>
      </w:r>
    </w:p>
    <w:p>
      <w:pPr>
        <w:pStyle w:val="14"/>
        <w:keepLines/>
      </w:pPr>
      <w:r>
        <w:rPr>
          <w:b/>
          <w:i w:val="0"/>
        </w:rPr>
        <w:t>Trigger:</w:t>
      </w:r>
      <w:r>
        <w:t xml:space="preserve"> when a taxi enters a tunnel edge, the event starts one outage.</w:t>
      </w:r>
    </w:p>
    <w:p>
      <w:pPr>
        <w:pStyle w:val="14"/>
        <w:keepLines/>
      </w:pPr>
      <w:r>
        <w:rPr>
          <w:b/>
          <w:i w:val="0"/>
        </w:rPr>
        <w:t>Observation-layer outage:</w:t>
      </w:r>
      <w:r>
        <w:t xml:space="preserve"> for the declared duration, the policy sees the</w:t>
      </w:r>
    </w:p>
    <w:p>
      <w:pPr>
        <w:widowControl/>
      </w:pPr>
      <w:r>
        <w:t>taxi's last valid position and speed. SUMO continues to simulate the true state.</w:t>
      </w:r>
    </w:p>
    <w:p>
      <w:pPr>
        <w:pStyle w:val="14"/>
        <w:keepLines/>
      </w:pPr>
      <w:r>
        <w:rPr>
          <w:b/>
          <w:i w:val="0"/>
        </w:rPr>
        <w:t>Recovery:</w:t>
      </w:r>
      <w:r>
        <w:t xml:space="preserve"> after the fixed window expires, a current reading is accepted.</w:t>
      </w:r>
    </w:p>
    <w:p>
      <w:pPr>
        <w:widowControl/>
      </w:pPr>
      <w:r>
        <w:t>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It is included in the GAT observation unless the B3 control is used. WAMSN uses normalised AoI as a staleness weight. For this reason, an increase in WAMSN with outage duration partly verifies that the manipulation created longer stale exposure; it is not by itself proof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23560" cy="3113151"/>
                    </a:xfrm>
                    <a:prstGeom prst="rect"/>
                  </pic:spPr>
                </pic:pic>
              </a:graphicData>
            </a:graphic>
          </wp:inline>
        </w:drawing>
      </w:r>
    </w:p>
    <w:p>
      <w:pPr>
        <w:pStyle w:val="12"/>
        <w:keepLines/>
      </w:pPr>
      <w:r>
        <w:t>Figure 3.4. Tunnel entry starts a timed observation-layer outage. SUMO state continues to advance and receives the policy action; the clean twin is read only for counterfactual comparison.</w:t>
      </w:r>
    </w:p>
    <w:p>
      <w:pPr>
        <w:pStyle w:val="3"/>
        <w:keepNext/>
      </w:pPr>
      <w:r>
        <w:t>3.6 Explanation measures</w:t>
      </w:r>
    </w:p>
    <w:p>
      <w:pPr>
        <w:pStyle w:val="4"/>
        <w:keepNext/>
      </w:pPr>
      <w:r>
        <w:t>3.6.1 Decision-level explanation faithfulness</w:t>
      </w:r>
    </w:p>
    <w:p>
      <w:pPr>
        <w:widowControl/>
      </w:pPr>
      <w:r>
        <w:t>DEF asks whether the nodes ranked highly by an explanation affect the chosen action more than a size- and type-matched random set. 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Positive DEF means the explanation is more informative than its random control; zero means no measured advantage. Both probability DEF and an action-protected logit-margin variant are recorded. The final interpretation uses the type-matched baseline described below.</w:t>
      </w:r>
    </w:p>
    <w:p>
      <w:pPr>
        <w:pStyle w:val="4"/>
        <w:keepNext/>
      </w:pPr>
      <w:r>
        <w:t>3.6.2 Stale-node attention</w:t>
      </w:r>
    </w:p>
    <w:p>
      <w:pPr>
        <w:widowControl/>
      </w:pPr>
      <w:r>
        <w:t>WAMSN measures attention attached to stale vehicle information:</w:t>
      </w:r>
    </w:p>
    <w:p>
      <w:pPr>
        <w:keepLines/>
        <w:ind w:left="504" w:right="504"/>
        <w:jc w:val="left"/>
      </w:pPr>
      <w:r>
        <w:rPr>
          <w:rFonts w:ascii="Courier New" w:hAnsi="Courier New"/>
          <w:sz w:val="18"/>
        </w:rPr>
        <w:t>WAMSN = sum(attention_i * normalised_AoI_i)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r>
        <w:t>3.7 Construct-validity audit</w:t>
      </w:r>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widowControl/>
      </w:pPr>
      <w:r>
        <w:t>The corrected protocol uses three controls:</w:t>
      </w:r>
    </w:p>
    <w:p>
      <w:pPr>
        <w:pStyle w:val="13"/>
        <w:keepLines/>
      </w:pPr>
      <w:r>
        <w:rPr>
          <w:b/>
          <w:i w:val="0"/>
        </w:rPr>
        <w:t>type matching:</w:t>
      </w:r>
      <w:r>
        <w:t xml:space="preserve"> random subsets contain the same mixture of taxi and</w:t>
      </w:r>
    </w:p>
    <w:p>
      <w:pPr>
        <w:widowControl/>
      </w:pPr>
      <w:r>
        <w:t>request nodes as the explanation subset;</w:t>
      </w:r>
    </w:p>
    <w:p>
      <w:pPr>
        <w:pStyle w:val="13"/>
        <w:keepLines/>
      </w:pPr>
      <w:r>
        <w:rPr>
          <w:b/>
          <w:i w:val="0"/>
        </w:rPr>
        <w:t>chosen-action protection:</w:t>
      </w:r>
      <w:r>
        <w:t xml:space="preserve"> the request associated with the selected</w:t>
      </w:r>
    </w:p>
    <w:p>
      <w:pPr>
        <w:widowControl/>
      </w:pPr>
      <w:r>
        <w:t>action is not deleted in the action-protected variant;</w:t>
      </w:r>
    </w:p>
    <w:p>
      <w:pPr>
        <w:pStyle w:val="13"/>
        <w:keepLines/>
      </w:pPr>
      <w:r>
        <w:rPr>
          <w:b/>
          <w:i w:val="0"/>
        </w:rPr>
        <w:t>clamp logging:</w:t>
      </w:r>
      <w:r>
        <w:t xml:space="preserve"> counterfactual action-margin clamps are counted so that</w:t>
      </w:r>
    </w:p>
    <w:p>
      <w:pPr>
        <w:widowControl/>
      </w:pPr>
      <w:r>
        <w:t>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construct_validity_action_deletion.png"/>
                    <pic:cNvPicPr/>
                  </pic:nvPicPr>
                  <pic:blipFill>
                    <a:blip r:embed="rId44"/>
                    <a:stretch>
                      <a:fillRect/>
                    </a:stretch>
                  </pic:blipFill>
                  <pic:spPr>
                    <a:xfrm>
                      <a:off x="0" y="0"/>
                      <a:ext cx="5623560" cy="3113151"/>
                    </a:xfrm>
                    <a:prstGeom prst="rect"/>
                  </pic:spPr>
                </pic:pic>
              </a:graphicData>
            </a:graphic>
          </wp:inline>
        </w:drawing>
      </w:r>
    </w:p>
    <w:p>
      <w:pPr>
        <w:pStyle w:val="12"/>
        <w:keepLines/>
      </w:pPr>
      <w:r>
        <w:t>Figure 3.5. Request-node occlusion can remove its action, while peer-taxi occlusion removes context only. Corrected DEF matches subset size and node types, protects the chosen request, and logs margin clamps.</w:t>
      </w:r>
    </w:p>
    <w:p>
      <w:pPr>
        <w:widowControl/>
      </w:pPr>
      <w:r>
        <w:t>The earlier uniform-baseline results are retained only as an audit trail. They are not used for the final v4 hypothesis verdicts.</w:t>
      </w:r>
    </w:p>
    <w:p>
      <w:pPr>
        <w:pStyle w:val="3"/>
        <w:keepNext/>
      </w:pPr>
      <w:r>
        <w:t>3.8 Evaluation matrix</w:t>
      </w:r>
    </w:p>
    <w:p>
      <w:pPr>
        <w:widowControl/>
      </w:pPr>
      <w:r>
        <w:t>B1, B2, B3, and H5 are evaluated under clean telemetry with eight evaluation seeds (42-49) and three episodes per seed. This gives 24 held-out episodes per training seed for performance context.</w:t>
      </w:r>
    </w:p>
    <w:p>
      <w:pPr>
        <w:widowControl/>
      </w:pPr>
      <w:r>
        <w:t>B2 and H5 also receive the full faithfulness sweep:</w:t>
      </w:r>
    </w:p>
    <w:p>
      <w:pPr>
        <w:keepLines/>
        <w:ind w:left="504" w:right="504"/>
        <w:jc w:val="left"/>
      </w:pPr>
      <w:r>
        <w:rPr>
          <w:rFonts w:ascii="Courier New" w:hAnsi="Courier New"/>
          <w:sz w:val="18"/>
        </w:rPr>
        <w:t>3 training seeds x 5 conditions x 8 evaluation seeds x 3 episodes</w:t>
      </w:r>
    </w:p>
    <w:p>
      <w:pPr>
        <w:widowControl/>
      </w:pPr>
      <w:r>
        <w:t>The five conditions are clean plus four outage durations. Faithfulness is sampled every eight decisions, with raw per-decision records retained. Each sweep must pass preflight checks for expected cells, provenance, type-matched controls, chosen-action exclusion, and empirical degradation differentiation. All six v4 sweeps pass.</w:t>
      </w:r>
    </w:p>
    <w:p>
      <w:pPr>
        <w:pStyle w:val="3"/>
        <w:keepNext/>
      </w:pPr>
      <w:r>
        <w:t>3.9 Hypotheses and statistics</w:t>
      </w:r>
    </w:p>
    <w:p>
      <w:pPr>
        <w:widowControl/>
      </w:pPr>
      <w:r>
        <w:t>The confirmatory hypotheses are:</w:t>
      </w:r>
    </w:p>
    <w:p>
      <w:pPr>
        <w:pStyle w:val="13"/>
        <w:keepLines/>
      </w:pPr>
      <w:r>
        <w:rPr>
          <w:b/>
          <w:i w:val="0"/>
        </w:rPr>
        <w:t>H1:</w:t>
      </w:r>
      <w:r>
        <w:t xml:space="preserve"> DEF decreases as outage duration increases.</w:t>
      </w:r>
    </w:p>
    <w:p>
      <w:pPr>
        <w:pStyle w:val="13"/>
        <w:keepLines/>
      </w:pPr>
      <w:r>
        <w:rPr>
          <w:b/>
          <w:i w:val="0"/>
        </w:rPr>
        <w:t>H2:</w:t>
      </w:r>
      <w:r>
        <w:t xml:space="preserve"> faithfulness declines faster than dispatch performance.</w:t>
      </w:r>
    </w:p>
    <w:p>
      <w:pPr>
        <w:pStyle w:val="13"/>
        <w:keepLines/>
      </w:pPr>
      <w:r>
        <w:rPr>
          <w:b/>
          <w:i w:val="0"/>
        </w:rPr>
        <w:t>H3:</w:t>
      </w:r>
      <w:r>
        <w:t xml:space="preserve"> WAMSN increases as outage duration increases.</w:t>
      </w:r>
    </w:p>
    <w:p>
      <w:pPr>
        <w:pStyle w:val="13"/>
        <w:keepLines/>
      </w:pPr>
      <w:r>
        <w:rPr>
          <w:b/>
          <w:i w:val="0"/>
        </w:rPr>
        <w:t>H4:</w:t>
      </w:r>
      <w:r>
        <w:t xml:space="preserve"> decisions with greater WAMSN have lower DEF within an episode.</w:t>
      </w:r>
    </w:p>
    <w:p>
      <w:pPr>
        <w:pStyle w:val="13"/>
        <w:keepLines/>
      </w:pPr>
      <w:r>
        <w:rPr>
          <w:b/>
          <w:i w:val="0"/>
        </w:rPr>
        <w:t>H5:</w:t>
      </w:r>
      <w:r>
        <w:t xml:space="preserve"> degradation-aware training changes or mitigates these relationships.</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pStyle w:val="3"/>
        <w:keepNext/>
      </w:pPr>
      <w:r>
        <w:t>3.10 Reproducibility</w:t>
      </w:r>
    </w:p>
    <w:p>
      <w:pPr>
        <w:widowControl/>
      </w:pPr>
      <w:r>
        <w:t>The experiment runner records the configuration, commands, seeds, checkpoint hashes, source revision, and preflight reports under the local runs/dissertation_v4/ directory. Compact thesis-ready outputs are committed under results/dissertation_v4/: summary.csv, performance_context.csv, and training_seed_synthesis.csv. The last file makes training-seed consistency explicit. Reproduction commands and expected outputs are documented in docs/REPRODUCE_EXPERIMENTS.md.</w:t>
      </w:r>
    </w:p>
    <w:p>
      <w:pPr>
        <w:pStyle w:val="2"/>
        <w:keepNext/>
      </w:pPr>
      <w:r>
        <w:t>Chapter 4: Results</w:t>
      </w:r>
    </w:p>
    <w:p>
      <w:pPr>
        <w:widowControl/>
      </w:pPr>
      <w:r>
        <w:t>All primary numbers in this chapter come from the completed v4 experiment, whose citable outputs are in results/dissertation_v4/. Every B2 and H5 sweep passed the protocol preflight. Results are shown first for each training seed and then summarised across independently trained policies. A per-decision p-value is not used to claim that an effect generalises across training seeds.</w:t>
      </w:r>
    </w:p>
    <w:p>
      <w:pPr>
        <w:pStyle w:val="3"/>
        <w:keepNext/>
      </w:pPr>
      <w:r>
        <w:t>4.1 Checkpoint selection and performance context</w:t>
      </w:r>
    </w:p>
    <w:p>
      <w:pPr>
        <w:widowControl/>
      </w:pPr>
      <w:r>
        <w:t>Validation selected different epochs for different training runs. B2 and B3 selected epochs 10, 70, and 10; H5 selected 10, 90, and 10. This variation confirms that a fixed final epoch would not represent the same learning stage across seeds.</w:t>
      </w:r>
    </w:p>
    <w:p>
      <w:pPr>
        <w:keepNext/>
        <w:keepLines/>
        <w:spacing w:before="120" w:after="40"/>
        <w:jc w:val="center"/>
      </w:pPr>
      <w:r>
        <w:drawing>
          <wp:inline xmlns:a="http://schemas.openxmlformats.org/drawingml/2006/main" xmlns:pic="http://schemas.openxmlformats.org/drawingml/2006/picture">
            <wp:extent cx="5623560" cy="4222523"/>
            <wp:docPr id="7" name="Picture 7" descr="Validation checkpoint selection by model and training seed"/>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623560" cy="4222523"/>
                    </a:xfrm>
                    <a:prstGeom prst="rect"/>
                  </pic:spPr>
                </pic:pic>
              </a:graphicData>
            </a:graphic>
          </wp:inline>
        </w:drawing>
      </w:r>
    </w:p>
    <w:p>
      <w:pPr>
        <w:pStyle w:val="12"/>
        <w:keepLines/>
      </w:pPr>
      <w:r>
        <w:t>Figure 4.1. Validation pickups by checkpoint and training seed. Stars and labels identify the checkpoints frozen before held-out evaluation.</w:t>
      </w:r>
    </w:p>
    <w:p>
      <w:pPr>
        <w:widowControl/>
      </w:pPr>
      <w:r>
        <w:t>Table 4.1 reports clean-test pickups. Performance is included to describe the policies being explained, not as the research outcome.</w:t>
      </w:r>
    </w:p>
    <w:p>
      <w:pPr>
        <w:pStyle w:val="12"/>
        <w:keepNext/>
      </w:pPr>
      <w:r>
        <w:rPr>
          <w:b/>
        </w:rPr>
        <w:t>Table 4.1: Clean-test performance context across training seeds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68"/>
        <w:gridCol w:w="2968"/>
        <w:gridCol w:w="3084"/>
      </w:tblGrid>
      <w:tr>
        <w:trPr>
          <w:cantSplit/>
          <w:tblHeader w:val="true"/>
        </w:trPr>
        <w:tc>
          <w:tcPr>
            <w:tcW w:type="dxa" w:w="296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96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across training seeds</w:t>
            </w:r>
          </w:p>
        </w:tc>
        <w:tc>
          <w:tcPr>
            <w:tcW w:type="dxa" w:w="3084"/>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Range across training seeds</w:t>
            </w:r>
          </w:p>
        </w:tc>
      </w:tr>
      <w:tr>
        <w:trPr>
          <w:cantSplit/>
        </w:trPr>
        <w:tc>
          <w:tcPr>
            <w:tcW w:type="dxa" w:w="296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B1 MLP</w:t>
            </w:r>
          </w:p>
        </w:tc>
        <w:tc>
          <w:tcPr>
            <w:tcW w:type="dxa" w:w="29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13.25</w:t>
            </w:r>
          </w:p>
        </w:tc>
        <w:tc>
          <w:tcPr>
            <w:tcW w:type="dxa" w:w="308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11.50-14.67</w:t>
            </w:r>
          </w:p>
        </w:tc>
      </w:tr>
      <w:tr>
        <w:trPr>
          <w:cantSplit/>
        </w:trPr>
        <w:tc>
          <w:tcPr>
            <w:tcW w:type="dxa" w:w="296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B2 GAT</w:t>
            </w:r>
          </w:p>
        </w:tc>
        <w:tc>
          <w:tcPr>
            <w:tcW w:type="dxa" w:w="29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13.29</w:t>
            </w:r>
          </w:p>
        </w:tc>
        <w:tc>
          <w:tcPr>
            <w:tcW w:type="dxa" w:w="308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11.46-14.67</w:t>
            </w:r>
          </w:p>
        </w:tc>
      </w:tr>
      <w:tr>
        <w:trPr>
          <w:cantSplit/>
        </w:trPr>
        <w:tc>
          <w:tcPr>
            <w:tcW w:type="dxa" w:w="296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B3 GAT without AoI</w:t>
            </w:r>
          </w:p>
        </w:tc>
        <w:tc>
          <w:tcPr>
            <w:tcW w:type="dxa" w:w="29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13.29</w:t>
            </w:r>
          </w:p>
        </w:tc>
        <w:tc>
          <w:tcPr>
            <w:tcW w:type="dxa" w:w="308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11.46-14.67</w:t>
            </w:r>
          </w:p>
        </w:tc>
      </w:tr>
      <w:tr>
        <w:trPr>
          <w:cantSplit/>
        </w:trPr>
        <w:tc>
          <w:tcPr>
            <w:tcW w:type="dxa" w:w="296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degradation-trained GAT</w:t>
            </w:r>
          </w:p>
        </w:tc>
        <w:tc>
          <w:tcPr>
            <w:tcW w:type="dxa" w:w="29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9.56</w:t>
            </w:r>
          </w:p>
        </w:tc>
        <w:tc>
          <w:tcPr>
            <w:tcW w:type="dxa" w:w="308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4.54-12.88</w:t>
            </w:r>
          </w:p>
        </w:tc>
      </w:tr>
    </w:tbl>
    <w:p>
      <w:pPr>
        <w:widowControl/>
      </w:pPr>
      <w:r>
        <w:t>B2 and B3 are identical under clean evaluation because their AoI inputs are zero. H5 is less stable: seed 44 averages 4.54 pickups, compared with 12.88 and 11.25 for seeds 42 and 43. This weak replicate is retained because excluding it would hide training instability.</w:t>
      </w:r>
    </w:p>
    <w:p>
      <w:pPr>
        <w:keepNext/>
        <w:keepLines/>
        <w:spacing w:before="120" w:after="40"/>
        <w:jc w:val="center"/>
      </w:pPr>
      <w:r>
        <w:drawing>
          <wp:inline xmlns:a="http://schemas.openxmlformats.org/drawingml/2006/main" xmlns:pic="http://schemas.openxmlformats.org/drawingml/2006/picture">
            <wp:extent cx="5623560" cy="2951552"/>
            <wp:docPr id="8" name="Picture 8" descr="Clean-test performance by training seed"/>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623560" cy="2951552"/>
                    </a:xfrm>
                    <a:prstGeom prst="rect"/>
                  </pic:spPr>
                </pic:pic>
              </a:graphicData>
            </a:graphic>
          </wp:inline>
        </w:drawing>
      </w:r>
    </w:p>
    <w:p>
      <w:pPr>
        <w:pStyle w:val="12"/>
        <w:keepLines/>
      </w:pPr>
      <w:r>
        <w:t>Figure 4.2. Each labelled point is one trained policy evaluated over 24 held-out episodes; horizontal lines show cross-seed means.</w:t>
      </w:r>
    </w:p>
    <w:p>
      <w:pPr>
        <w:pStyle w:val="3"/>
        <w:keepNext/>
      </w:pPr>
      <w:r>
        <w:t>4.2 Supporting construct-validity result</w:t>
      </w:r>
    </w:p>
    <w:p>
      <w:pPr>
        <w:widowControl/>
      </w:pPr>
      <w:r>
        <w:t>The earlier audit showed that a uniform random occlusion is not a fair control for this graph. Removing a passenger-request node can remove the chosen action, while removing a taxi node only withholds information. The sign and size of DEF can therefore be driven by node-type composition.</w:t>
      </w:r>
    </w:p>
    <w:p>
      <w:pPr>
        <w:pStyle w:val="12"/>
        <w:keepNext/>
      </w:pPr>
      <w:r>
        <w:rPr>
          <w:b/>
        </w:rPr>
        <w:t>Table 4.2: Construct-validity audit of random controls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66"/>
        <w:gridCol w:w="1394"/>
        <w:gridCol w:w="1673"/>
        <w:gridCol w:w="4187"/>
      </w:tblGrid>
      <w:tr>
        <w:trPr>
          <w:cantSplit/>
          <w:tblHeader w:val="true"/>
        </w:trPr>
        <w:tc>
          <w:tcPr>
            <w:tcW w:type="dxa" w:w="176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Random control</w:t>
            </w:r>
          </w:p>
        </w:tc>
        <w:tc>
          <w:tcPr>
            <w:tcW w:type="dxa" w:w="139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margin-DEF</w:t>
            </w:r>
          </w:p>
        </w:tc>
        <w:tc>
          <w:tcPr>
            <w:tcW w:type="dxa" w:w="167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 CI</w:t>
            </w:r>
          </w:p>
        </w:tc>
        <w:tc>
          <w:tcPr>
            <w:tcW w:type="dxa" w:w="418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Interpretation</w:t>
            </w:r>
          </w:p>
        </w:tc>
      </w:tr>
      <w:tr>
        <w:trPr>
          <w:cantSplit/>
        </w:trPr>
        <w:tc>
          <w:tcPr>
            <w:tcW w:type="dxa" w:w="176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Uniform random</w:t>
            </w:r>
          </w:p>
        </w:tc>
        <w:tc>
          <w:tcPr>
            <w:tcW w:type="dxa" w:w="13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-0.5540</w:t>
            </w:r>
          </w:p>
        </w:tc>
        <w:tc>
          <w:tcPr>
            <w:tcW w:type="dxa" w:w="16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[-0.5808, -0.5288]</w:t>
            </w:r>
          </w:p>
        </w:tc>
        <w:tc>
          <w:tcPr>
            <w:tcW w:type="dxa" w:w="41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176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3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6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41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approximately no advantage over matched random</w:t>
            </w:r>
          </w:p>
        </w:tc>
      </w:tr>
    </w:tbl>
    <w:p>
      <w:pPr>
        <w:widowControl/>
      </w:pPr>
      <w:r>
        <w:t>The audit contains 1,199 paired clean decisions from the earlier B2 protocol. It diagnoses the measurement problem; it is not part of the v4 hypothesis test.</w:t>
      </w:r>
    </w:p>
    <w:p>
      <w:pPr>
        <w:widowControl/>
      </w:pPr>
      <w:r>
        <w:t>The v4 rerun addresses this problem from the start. All headline DEF values use type-matched random subsets, and the action-protected margin variant is stored alongside probability DEF. Under these controls, clean DEF is close to zero for all B2 and H5 training seeds. The result should be read as "no measured advantage over the matched random explanation", not "attention is worse than random".</w:t>
      </w:r>
    </w:p>
    <w:p>
      <w:pPr>
        <w:pStyle w:val="3"/>
        <w:keepNext/>
      </w:pPr>
      <w:r>
        <w:t>4.3 Manipulation check: stale exposure increases</w:t>
      </w:r>
    </w:p>
    <w:p>
      <w:pPr>
        <w:widowControl/>
      </w:pPr>
      <w:r>
        <w:t>The observation-layer outages produce increasing empirical degradation. At 60 seconds, the mean degraded-decision rate is about 0.9-1.2% for B2 and 0.7-1.3% for H5, compared with zero in the clean condition. Exposure is sparse because it depends on taxis entering the mapped tunnels.</w:t>
      </w:r>
    </w:p>
    <w:p>
      <w:pPr>
        <w:widowControl/>
      </w:pPr>
      <w:r>
        <w:t>When at least one stale vehicle node is visible, mean WAMSN rises from about 0.023-0.031 at 10 seconds to 0.071-0.090 at 60 seconds. H3 is supported in all six trained GAT policies. The within-policy trend correlations range from rho = 0.082 to 0.105 for B2 and 0.078 to 0.121 for H5; every Holm-adjusted p-value is 0.0004.</w:t>
      </w:r>
    </w:p>
    <w:p>
      <w:pPr>
        <w:keepNext/>
        <w:keepLines/>
        <w:spacing w:before="120" w:after="40"/>
        <w:jc w:val="center"/>
      </w:pPr>
      <w:r>
        <w:drawing>
          <wp:inline xmlns:a="http://schemas.openxmlformats.org/drawingml/2006/main" xmlns:pic="http://schemas.openxmlformats.org/drawingml/2006/picture">
            <wp:extent cx="5623560" cy="5415635"/>
            <wp:docPr id="9" name="Picture 9" descr="WAMSN, type-matched DEF and pickups by outage duration"/>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623560" cy="5415635"/>
                    </a:xfrm>
                    <a:prstGeom prst="rect"/>
                  </pic:spPr>
                </pic:pic>
              </a:graphicData>
            </a:graphic>
          </wp:inline>
        </w:drawing>
      </w:r>
    </w:p>
    <w:p>
      <w:pPr>
        <w:pStyle w:val="12"/>
        <w:keepLines/>
      </w:pPr>
      <w:r>
        <w:t>Figure 4.3. Common row-wise scales show rising conditional WAMSN and little movement in DEF or pickups. WAMSN includes normalised AoI and is not causal evidence about faithfulness.</w:t>
      </w:r>
    </w:p>
    <w:p>
      <w:pPr>
        <w:pStyle w:val="3"/>
        <w:keepNext/>
      </w:pPr>
      <w:r>
        <w:t>4.4 Paired attention reallocation is seed-dependent</w:t>
      </w:r>
    </w:p>
    <w:p>
      <w:pPr>
        <w:widowControl/>
      </w:pPr>
      <w:r>
        <w:t>The paired stale-attention shift compares the degraded observation with its clean twin. The result is not consistent across trained policies.</w:t>
      </w:r>
    </w:p>
    <w:p>
      <w:pPr>
        <w:pStyle w:val="12"/>
        <w:keepNext/>
      </w:pPr>
      <w:r>
        <w:rPr>
          <w:b/>
        </w:rPr>
        <w:t>Table 4.3: Paired stale-attention shift estimates and confidence intervals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775"/>
        <w:gridCol w:w="1804"/>
        <w:gridCol w:w="1387"/>
        <w:gridCol w:w="3054"/>
      </w:tblGrid>
      <w:tr>
        <w:trPr>
          <w:cantSplit/>
          <w:tblHeader w:val="true"/>
        </w:trPr>
        <w:tc>
          <w:tcPr>
            <w:tcW w:type="dxa" w:w="27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0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Training seed</w:t>
            </w:r>
          </w:p>
        </w:tc>
        <w:tc>
          <w:tcPr>
            <w:tcW w:type="dxa" w:w="138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shift</w:t>
            </w:r>
          </w:p>
        </w:tc>
        <w:tc>
          <w:tcPr>
            <w:tcW w:type="dxa" w:w="305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 CI</w:t>
            </w:r>
          </w:p>
        </w:tc>
      </w:tr>
      <w:tr>
        <w:trPr>
          <w:cantSplit/>
        </w:trPr>
        <w:tc>
          <w:tcPr>
            <w:tcW w:type="dxa" w:w="27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B2 GAT</w:t>
            </w:r>
          </w:p>
        </w:tc>
        <w:tc>
          <w:tcPr>
            <w:tcW w:type="dxa" w:w="180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+0.002706</w:t>
            </w:r>
          </w:p>
        </w:tc>
        <w:tc>
          <w:tcPr>
            <w:tcW w:type="dxa" w:w="305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[0.002395, 0.003036]</w:t>
            </w:r>
          </w:p>
        </w:tc>
      </w:tr>
      <w:tr>
        <w:trPr>
          <w:cantSplit/>
        </w:trPr>
        <w:tc>
          <w:tcPr>
            <w:tcW w:type="dxa" w:w="27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B2 GAT</w:t>
            </w:r>
          </w:p>
        </w:tc>
        <w:tc>
          <w:tcPr>
            <w:tcW w:type="dxa" w:w="180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+0.000618</w:t>
            </w:r>
          </w:p>
        </w:tc>
        <w:tc>
          <w:tcPr>
            <w:tcW w:type="dxa" w:w="305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[0.000424, 0.000780]</w:t>
            </w:r>
          </w:p>
        </w:tc>
      </w:tr>
      <w:tr>
        <w:trPr>
          <w:cantSplit/>
        </w:trPr>
        <w:tc>
          <w:tcPr>
            <w:tcW w:type="dxa" w:w="27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B2 GAT</w:t>
            </w:r>
          </w:p>
        </w:tc>
        <w:tc>
          <w:tcPr>
            <w:tcW w:type="dxa" w:w="180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-0.001278</w:t>
            </w:r>
          </w:p>
        </w:tc>
        <w:tc>
          <w:tcPr>
            <w:tcW w:type="dxa" w:w="305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[-0.001436, -0.001112]</w:t>
            </w:r>
          </w:p>
        </w:tc>
      </w:tr>
      <w:tr>
        <w:trPr>
          <w:cantSplit/>
        </w:trPr>
        <w:tc>
          <w:tcPr>
            <w:tcW w:type="dxa" w:w="27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degraded training</w:t>
            </w:r>
          </w:p>
        </w:tc>
        <w:tc>
          <w:tcPr>
            <w:tcW w:type="dxa" w:w="180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+0.002374</w:t>
            </w:r>
          </w:p>
        </w:tc>
        <w:tc>
          <w:tcPr>
            <w:tcW w:type="dxa" w:w="305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[0.002151, 0.002609]</w:t>
            </w:r>
          </w:p>
        </w:tc>
      </w:tr>
      <w:tr>
        <w:trPr>
          <w:cantSplit/>
        </w:trPr>
        <w:tc>
          <w:tcPr>
            <w:tcW w:type="dxa" w:w="27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degraded training</w:t>
            </w:r>
          </w:p>
        </w:tc>
        <w:tc>
          <w:tcPr>
            <w:tcW w:type="dxa" w:w="180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+0.000783</w:t>
            </w:r>
          </w:p>
        </w:tc>
        <w:tc>
          <w:tcPr>
            <w:tcW w:type="dxa" w:w="305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[0.000710, 0.000862]</w:t>
            </w:r>
          </w:p>
        </w:tc>
      </w:tr>
      <w:tr>
        <w:trPr>
          <w:cantSplit/>
        </w:trPr>
        <w:tc>
          <w:tcPr>
            <w:tcW w:type="dxa" w:w="27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degraded training</w:t>
            </w:r>
          </w:p>
        </w:tc>
        <w:tc>
          <w:tcPr>
            <w:tcW w:type="dxa" w:w="180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-0.001231</w:t>
            </w:r>
          </w:p>
        </w:tc>
        <w:tc>
          <w:tcPr>
            <w:tcW w:type="dxa" w:w="305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[-0.001410, -0.001072]</w:t>
            </w:r>
          </w:p>
        </w:tc>
      </w:tr>
    </w:tbl>
    <w:p>
      <w:pPr>
        <w:widowControl/>
      </w:pPr>
      <w:r>
        <w:t>Both training regimes therefore have two positive seeds out of three.</w:t>
      </w:r>
    </w:p>
    <w:p>
      <w:pPr>
        <w:widowControl/>
      </w:pPr>
      <w:r>
        <w:t>Within each seed, the confidence intervals are narrow because the same decisions are paired. However, precision within one trained policy does not resolve disagreement between independently trained policies. The primary claim cannot therefore be "degradation always shifts attention toward stale nodes". A defensible statement is that the direction and size of attention reallocation depend on the learned policy.</w:t>
      </w:r>
    </w:p>
    <w:p>
      <w:pPr>
        <w:keepNext/>
        <w:keepLines/>
        <w:spacing w:before="120" w:after="40"/>
        <w:jc w:val="center"/>
      </w:pPr>
      <w:r>
        <w:drawing>
          <wp:inline xmlns:a="http://schemas.openxmlformats.org/drawingml/2006/main" xmlns:pic="http://schemas.openxmlformats.org/drawingml/2006/picture">
            <wp:extent cx="5623560" cy="3101732"/>
            <wp:docPr id="10" name="Picture 10" descr="Paired stale-attention shift"/>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23560" cy="3101732"/>
                    </a:xfrm>
                    <a:prstGeom prst="rect"/>
                  </pic:spPr>
                </pic:pic>
              </a:graphicData>
            </a:graphic>
          </wp:inline>
        </w:drawing>
      </w:r>
    </w:p>
    <w:p>
      <w:pPr>
        <w:pStyle w:val="12"/>
        <w:keepLines/>
      </w:pPr>
      <w:r>
        <w:t>Figure 4.4. Degraded-minus-clean attention mass is positive for seeds 42 and 43 but negative for seed 44 in both training regimes.</w:t>
      </w:r>
    </w:p>
    <w:p>
      <w:pPr>
        <w:pStyle w:val="3"/>
        <w:keepNext/>
      </w:pPr>
      <w:r>
        <w:t>4.5 Faithfulness and decoupling hypotheses</w:t>
      </w:r>
    </w:p>
    <w:p>
      <w:pPr>
        <w:widowControl/>
      </w:pPr>
      <w:r>
        <w:t>H1 is not supported for any B2 or H5 seed. The robust DEF-duration correlations remain close to zero, with all Holm-adjusted p-values above 0.67. The experiment therefore provides no evidence that a longer outage directly reduces DEF.</w:t>
      </w:r>
    </w:p>
    <w:p>
      <w:pPr>
        <w:widowControl/>
      </w:pPr>
      <w:r>
        <w:t>H2 is also unsupported in all six trained policies. Faithfulness does not decline faster than pickups under the v4 protocol. Rate calculations are especially unstable when clean DEF is close to zero, so the negative result is more reliable than a narrative built from large percentage changes around a near-zero denominator.</w:t>
      </w:r>
    </w:p>
    <w:p>
      <w:pPr>
        <w:widowControl/>
      </w:pPr>
      <w:r>
        <w:t>H4 is model- and seed-dependent. None of the three B2 policies support the predicted negative within-episode WAMSN-DEF relationship; their mean within-episode correlations are positive (0.036-0.069). H5 seeds 42 and 43 do support a negative relationship (rho = -0.072 and -0.061, adjusted p = 0.0004), but H5 seed 44 does not (rho = -0.001, adjusted p = 0.185). This mixed result is exploratory evidence of a possible training-regime interaction, not a general finding.</w:t>
      </w:r>
    </w:p>
    <w:p>
      <w:pPr>
        <w:keepNext/>
        <w:keepLines/>
        <w:spacing w:before="120" w:after="40"/>
        <w:jc w:val="center"/>
      </w:pPr>
      <w:r>
        <w:drawing>
          <wp:inline xmlns:a="http://schemas.openxmlformats.org/drawingml/2006/main" xmlns:pic="http://schemas.openxmlformats.org/drawingml/2006/picture">
            <wp:extent cx="5623560" cy="3112290"/>
            <wp:docPr id="11" name="Picture 11" descr="Within-episode WAMSN-DEF correlation by training seed"/>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23560" cy="3112290"/>
                    </a:xfrm>
                    <a:prstGeom prst="rect"/>
                  </pic:spPr>
                </pic:pic>
              </a:graphicData>
            </a:graphic>
          </wp:inline>
        </w:drawing>
      </w:r>
    </w:p>
    <w:p>
      <w:pPr>
        <w:pStyle w:val="12"/>
        <w:keepLines/>
      </w:pPr>
      <w:r>
        <w:t>Figure 4.5. Mean within-episode WAMSN-DEF correlations. Filled markers pass the within-policy Holm-corrected H4 test; open markers do not.</w:t>
      </w:r>
    </w:p>
    <w:p>
      <w:pPr>
        <w:pStyle w:val="3"/>
        <w:keepNext/>
      </w:pPr>
      <w:r>
        <w:t>4.6 Degradation-aware training</w:t>
      </w:r>
    </w:p>
    <w:p>
      <w:pPr>
        <w:widowControl/>
      </w:pPr>
      <w:r>
        <w:t>H5 does not provide a consistent mitigation. Its stale-attention shifts follow the same two-positive, one-negative pattern as B2. H1 and H2 remain unsupported. H4 becomes negative for two seeds, but this does not reproduce in seed 44. The large clean-performance drop for H5 seed 44 also shows that degradation-aware training can be unstable under the present settings.</w:t>
      </w:r>
    </w:p>
    <w:p>
      <w:pPr>
        <w:widowControl/>
      </w:pPr>
      <w:r>
        <w:t>The correct conclusion is not that H5 improves or worsens faithfulness. The experiment shows that training under one 30-second degradation condition does not make explanation behaviour consistent across training seeds.</w:t>
      </w:r>
    </w:p>
    <w:p>
      <w:pPr>
        <w:pStyle w:val="3"/>
        <w:keepNext/>
      </w:pPr>
      <w:r>
        <w:t>4.7 Hypothesis summary</w:t>
      </w:r>
    </w:p>
    <w:p>
      <w:pPr>
        <w:pStyle w:val="12"/>
        <w:keepNext/>
      </w:pPr>
      <w:r>
        <w:rPr>
          <w:b/>
        </w:rPr>
        <w:t>Table 4.4: Hypothesis outcomes across training seeds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560"/>
        <w:gridCol w:w="1503"/>
        <w:gridCol w:w="1978"/>
        <w:gridCol w:w="1979"/>
      </w:tblGrid>
      <w:tr>
        <w:trPr>
          <w:cantSplit/>
          <w:tblHeader w:val="true"/>
        </w:trPr>
        <w:tc>
          <w:tcPr>
            <w:tcW w:type="dxa" w:w="356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B2 seeds supporting</w:t>
            </w:r>
          </w:p>
        </w:tc>
        <w:tc>
          <w:tcPr>
            <w:tcW w:type="dxa" w:w="197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H5 seeds supporting</w:t>
            </w:r>
          </w:p>
        </w:tc>
        <w:tc>
          <w:tcPr>
            <w:tcW w:type="dxa" w:w="197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Final verdict</w:t>
            </w:r>
          </w:p>
        </w:tc>
      </w:tr>
      <w:tr>
        <w:trPr>
          <w:cantSplit/>
        </w:trPr>
        <w:tc>
          <w:tcPr>
            <w:tcW w:type="dxa" w:w="356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7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7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56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7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7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56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97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97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consistently supported</w:t>
            </w:r>
          </w:p>
        </w:tc>
      </w:tr>
      <w:tr>
        <w:trPr>
          <w:cantSplit/>
        </w:trPr>
        <w:tc>
          <w:tcPr>
            <w:tcW w:type="dxa" w:w="356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7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97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mixed, training-dependent</w:t>
            </w:r>
          </w:p>
        </w:tc>
      </w:tr>
      <w:tr>
        <w:trPr>
          <w:cantSplit/>
        </w:trPr>
        <w:tc>
          <w:tcPr>
            <w:tcW w:type="dxa" w:w="356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mitigates the effect</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97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0/3 consistent mitigation</w:t>
            </w:r>
          </w:p>
        </w:tc>
        <w:tc>
          <w:tcPr>
            <w:tcW w:type="dxa" w:w="197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widowControl/>
      </w:pPr>
      <w:r>
        <w:t>The completed experiment therefore supports a concentrated result: longer observation outages reliably increase stale-data attention exposure, but the paired attention shift and its relationship with faithfulness do not generalise across independently trained policies.</w:t>
      </w:r>
    </w:p>
    <w:p>
      <w:pPr>
        <w:pStyle w:val="2"/>
        <w:keepNext/>
      </w:pPr>
      <w:r>
        <w:t>Chapter 5: Discussion</w:t>
      </w:r>
    </w:p>
    <w:p>
      <w:pPr>
        <w:pStyle w:val="3"/>
        <w:keepNext/>
      </w:pPr>
      <w:r>
        <w:t>5.1 Answer to the central problem</w:t>
      </w:r>
    </w:p>
    <w:p>
      <w:pPr>
        <w:widowControl/>
      </w:pPr>
      <w:r>
        <w:t xml:space="preserve">The central problem is whether a complete graph-attention map can be trusted when some of its vehicle data are stale. The answer from this experiment is: </w:t>
      </w:r>
      <w:r>
        <w:rPr>
          <w:b/>
          <w:i w:val="0"/>
        </w:rPr>
        <w:t>not without separate validation</w:t>
      </w:r>
      <w:r>
        <w:t>. The study does not validate raw attention weights as dependable explanations under either clean or degraded telemetry.</w:t>
      </w:r>
    </w:p>
    <w:p>
      <w:pPr>
        <w:widowControl/>
      </w:pPr>
      <w:r>
        <w:t>Three results lead to this answer. First, clean-telemetry DEF is close to the type-matched random baseline, so attention has no measured advantage over a fair random ranking. Second, longer outages reliably increase stale-data exposure, while the direction of attention reallocation differs between trained policies. Third, neither a decline in DEF nor a consistent benefit from degradation-aware training is observed.</w:t>
      </w:r>
    </w:p>
    <w:p>
      <w:pPr>
        <w:widowControl/>
      </w:pPr>
      <w:r>
        <w:t>The inconsistent attention shifts are therefore part of the answer, not a failure to reach one. If equivalent training runs produce opposite explanation responses to the same degradation, the explanation method provides no stable, model-independent assurance. The thesis does not claim that larger AoI causes lower faithfulness. It concludes that a visible attention map alone cannot guarantee either data freshness or decision relevance.</w:t>
      </w:r>
    </w:p>
    <w:p>
      <w:pPr>
        <w:keepNext/>
        <w:keepLines/>
        <w:spacing w:before="120" w:after="40"/>
        <w:jc w:val="center"/>
      </w:pPr>
      <w:r>
        <w:drawing>
          <wp:inline xmlns:a="http://schemas.openxmlformats.org/drawingml/2006/main" xmlns:pic="http://schemas.openxmlformats.org/drawingml/2006/picture">
            <wp:extent cx="5623560" cy="3141244"/>
            <wp:docPr id="12" name="Picture 12" descr="Cross-seed evidence matrix"/>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23560" cy="3141244"/>
                    </a:xfrm>
                    <a:prstGeom prst="rect"/>
                  </pic:spPr>
                </pic:pic>
              </a:graphicData>
            </a:graphic>
          </wp:inline>
        </w:drawing>
      </w:r>
    </w:p>
    <w:p>
      <w:pPr>
        <w:pStyle w:val="12"/>
        <w:keepLines/>
      </w:pPr>
      <w:r>
        <w:t>Figure 5.1. Cross-seed results are reported separately by research question, without presenting stale exposure as a causal chain.</w:t>
      </w:r>
    </w:p>
    <w:p>
      <w:pPr>
        <w:pStyle w:val="3"/>
        <w:keepNext/>
      </w:pPr>
      <w:r>
        <w:t>5.2 Why H3 is useful but limited</w:t>
      </w:r>
    </w:p>
    <w:p>
      <w:pPr>
        <w:widowControl/>
      </w:pPr>
      <w:r>
        <w:t>H3 is the most reproducible finding. WAMSN rises with outage duration for every trained B2 and H5 policy. This makes WAMSN useful as an operational exposure indicator: it can show when an explanation contains more stale-data weight.</w:t>
      </w:r>
    </w:p>
    <w:p>
      <w:pPr>
        <w:widowControl/>
      </w:pPr>
      <w:r>
        <w:t>WAMSN should not be described as proof that AoI harms faithfulness. The metric itself weights attention by normalised AoI, so part of its increase follows from the manipulation. The paired stale-attention shift asks a stronger question about attention reallocation, and that result is seed-dependent. DEF asks whether the ranked nodes are decision-relevant, and it does not decline with duration. Keeping these measures separate prevents an exposure result from becoming an unsupported causal claim.</w:t>
      </w:r>
    </w:p>
    <w:p>
      <w:pPr>
        <w:pStyle w:val="3"/>
        <w:keepNext/>
      </w:pPr>
      <w:r>
        <w:t>5.3 Meaning of training-seed variation</w:t>
      </w:r>
    </w:p>
    <w:p>
      <w:pPr>
        <w:widowControl/>
      </w:pPr>
      <w:r>
        <w:t>Seeds 42 and 43 shift attention toward stale nodes, while seed 44 shifts it away, under both clean and degradation-aware training. This is not noise at the decision level: each within-seed estimate is precise. The disagreement occurs between learned policies.</w:t>
      </w:r>
    </w:p>
    <w:p>
      <w:pPr>
        <w:widowControl/>
      </w:pPr>
      <w:r>
        <w:t>This distinction matters for trustworthy AI. An explanation method intended for deployment should not change its qualitative response because the same architecture was trained with a different random initialisation. A dashboard validated on one checkpoint may therefore give false confidence about another checkpoint produced by the same pipeline. Explanation validation needs to be repeated for each trained model and monitored after retraining.</w:t>
      </w:r>
    </w:p>
    <w:p>
      <w:pPr>
        <w:pStyle w:val="3"/>
        <w:keepNext/>
      </w:pPr>
      <w:r>
        <w:t>5.4 Role of the construct-validity audit</w:t>
      </w:r>
    </w:p>
    <w:p>
      <w:pPr>
        <w:widowControl/>
      </w:pPr>
      <w:r>
        <w:t>The audit does not replace the primary experiment. It ensures that the faithfulness measure is meaningful enough to support it. In this graph, request nodes are both information and actions. Removing one changes the decision problem; removing a taxi only hides context. A uniform random baseline can therefore compare unlike interventions.</w:t>
      </w:r>
    </w:p>
    <w:p>
      <w:pPr>
        <w:widowControl/>
      </w:pPr>
      <w:r>
        <w:t>Type matching and chosen-action protection make the comparison fairer. Once those controls are used, DEF is near zero rather than strongly positive or negative. This finding narrows the interpretation: attention is not shown to be anti-faithful, but neither is it shown to outperform a fair random ranking.</w:t>
      </w:r>
    </w:p>
    <w:p>
      <w:pPr>
        <w:pStyle w:val="3"/>
        <w:keepNext/>
      </w:pPr>
      <w:r>
        <w:t>5.5 Degradation-aware training</w:t>
      </w:r>
    </w:p>
    <w:p>
      <w:pPr>
        <w:widowControl/>
      </w:pPr>
      <w:r>
        <w:t>Training under 30-second tunnel-triggered outages does not solve the problem. H5 retains the same seed-dependent paired shift as B2. It produces a negative WAMSN-DEF association for two seeds, but not the third, and one H5 policy has substantially lower test pickups. Task-reward optimisation gives no explicit reason for the attention weights to become stable human explanations.</w:t>
      </w:r>
    </w:p>
    <w:p>
      <w:pPr>
        <w:widowControl/>
      </w:pPr>
      <w:r>
        <w:t>The result does not prove that all robustness training is ineffective. It shows that this specific intervention is insufficient. A stronger approach would optimise explanation consistency or faithfulness directly and validate it across independent training runs.</w:t>
      </w:r>
    </w:p>
    <w:p>
      <w:pPr>
        <w:pStyle w:val="3"/>
        <w:keepNext/>
      </w:pPr>
      <w:r>
        <w:t>5.6 Practical implications</w:t>
      </w:r>
    </w:p>
    <w:p>
      <w:pPr>
        <w:widowControl/>
      </w:pPr>
      <w:r>
        <w:t>An operator interface should not label graph-attention weights as reasons without additional evidence. At minimum, a deployment should:</w:t>
      </w:r>
    </w:p>
    <w:p>
      <w:pPr>
        <w:pStyle w:val="13"/>
        <w:keepLines/>
      </w:pPr>
      <w:r>
        <w:t>display data freshness separately from attention strength;</w:t>
      </w:r>
    </w:p>
    <w:p>
      <w:pPr>
        <w:pStyle w:val="13"/>
        <w:keepLines/>
      </w:pPr>
      <w:r>
        <w:t>monitor stale-node exposure with a metric such as conditional WAMSN;</w:t>
      </w:r>
    </w:p>
    <w:p>
      <w:pPr>
        <w:pStyle w:val="13"/>
        <w:keepLines/>
      </w:pPr>
      <w:r>
        <w:t>run type-aware faithfulness tests for every released checkpoint;</w:t>
      </w:r>
    </w:p>
    <w:p>
      <w:pPr>
        <w:pStyle w:val="13"/>
        <w:keepLines/>
      </w:pPr>
      <w:r>
        <w:t>repeat the audit after retraining, because training seeds can change the</w:t>
      </w:r>
    </w:p>
    <w:p>
      <w:pPr>
        <w:widowControl/>
      </w:pPr>
      <w:r>
        <w:t>direction of attention reallocation;</w:t>
      </w:r>
    </w:p>
    <w:p>
      <w:pPr>
        <w:pStyle w:val="13"/>
        <w:keepLines/>
      </w:pPr>
      <w:r>
        <w:t>avoid interpreting stable pickups as evidence that explanations remain</w:t>
      </w:r>
    </w:p>
    <w:p>
      <w:pPr>
        <w:widowControl/>
      </w:pPr>
      <w:r>
        <w:t>trustworthy.</w:t>
      </w:r>
    </w:p>
    <w:p>
      <w:pPr>
        <w:pStyle w:val="3"/>
        <w:keepNext/>
      </w:pPr>
      <w:r>
        <w:t>5.7 Limitations</w:t>
      </w:r>
    </w:p>
    <w:p>
      <w:pPr>
        <w:widowControl/>
      </w:pPr>
      <w:r>
        <w:t>The study uses one district, 20 taxis, 50 requests, and sparse tunnel exposure. Only three independent training seeds are available for each policy. This is enough to reveal heterogeneity but not to estimate a population distribution of trained-model effects. H5 seed 44 is weak, so architecture and competence effects cannot be cleanly separated.</w:t>
      </w:r>
    </w:p>
    <w:p>
      <w:pPr>
        <w:widowControl/>
      </w:pPr>
      <w:r>
        <w:t>The observation corruption freezes position and speed for fixed windows. Real telemetry may also include delayed packets, partial sensor failure, map matching errors, and asynchronous recovery. WAMSN depends on the chosen AoI normalisation, while DEF depends on counterfactual occlusion. Other faithfulness measures may behave differently.</w:t>
      </w:r>
    </w:p>
    <w:p>
      <w:pPr>
        <w:widowControl/>
      </w:pPr>
      <w:r>
        <w:t>Finally, the study audits attention as an explanation; it does not claim that attention is useless inside the policy. A feature can support computation without being a faithful human-readable reason.</w:t>
      </w:r>
    </w:p>
    <w:p>
      <w:pPr>
        <w:pStyle w:val="3"/>
        <w:keepNext/>
      </w:pPr>
      <w:r>
        <w:t>5.8 Future work</w:t>
      </w:r>
    </w:p>
    <w:p>
      <w:pPr>
        <w:widowControl/>
      </w:pPr>
      <w:r>
        <w:t>Future experiments should use more training seeds, multiple cities, and higher tunnel exposure. They should compare fixed outages with delayed and intermittent telemetry, and test whether the seed-dependent result remains after policy performance is improved. Explanation-specific training objectives, independent post-hoc explainers, and human-facing freshness warnings should be evaluated on held-out models as well as held-out episodes.</w:t>
      </w:r>
    </w:p>
    <w:p>
      <w:pPr>
        <w:pStyle w:val="2"/>
        <w:keepNext/>
      </w:pPr>
      <w:r>
        <w:t>Chapter 6: Conclusion</w:t>
      </w:r>
    </w:p>
    <w:p>
      <w:pPr>
        <w:widowControl/>
      </w:pPr>
      <w:r>
        <w:t>This dissertation addressed one practical problem: a graph-attention map can remain visible and look complete after some of the vehicle data behind it have become stale. An operator may mistake that map for a trustworthy explanation, although attention strength does not show whether the data are fresh or the highlighted nodes support the decision.</w:t>
      </w:r>
    </w:p>
    <w:p>
      <w:pPr>
        <w:widowControl/>
      </w:pPr>
      <w:r>
        <w:t xml:space="preserve">The central answer is clear: </w:t>
      </w:r>
      <w:r>
        <w:rPr>
          <w:b/>
          <w:i w:val="0"/>
        </w:rPr>
        <w:t>this experiment does not validate raw graph-attention weights as dependable explanations under telemetry degradation</w:t>
      </w:r>
      <w:r>
        <w:t>. This does not show that every attention map is wrong; it shows that attention cannot be trusted by default.</w:t>
      </w:r>
    </w:p>
    <w:p>
      <w:pPr>
        <w:widowControl/>
      </w:pPr>
      <w:r>
        <w:t>The four research questions provide the evidence for this answer:</w:t>
      </w:r>
    </w:p>
    <w:p>
      <w:pPr>
        <w:pStyle w:val="13"/>
        <w:keepLines/>
      </w:pPr>
      <w:r>
        <w:rPr>
          <w:b/>
          <w:i w:val="0"/>
        </w:rPr>
        <w:t>RQ1 - Is graph attention faithful under clean telemetry?</w:t>
      </w:r>
      <w:r>
        <w:t xml:space="preserve"> It is not validated as faithful. Corrected DEF remains close to the type-matched random baseline, so the weights show no measured advantage over a fair random ranking.</w:t>
      </w:r>
    </w:p>
    <w:p>
      <w:pPr>
        <w:pStyle w:val="13"/>
        <w:keepLines/>
      </w:pPr>
      <w:r>
        <w:rPr>
          <w:b/>
          <w:i w:val="0"/>
        </w:rPr>
        <w:t>RQ2 - Does attention move toward stale vehicle nodes?</w:t>
      </w:r>
      <w:r>
        <w:t xml:space="preserve"> Not consistently. Longer outages increase stale-data exposure in all six GAT policies, but the paired attention shift is positive for seeds 42 and 43 and negative for seed 44 in both training regimes. Equivalent training runs can therefore produce opposite explanation responses.</w:t>
      </w:r>
    </w:p>
    <w:p>
      <w:pPr>
        <w:pStyle w:val="13"/>
        <w:keepLines/>
      </w:pPr>
      <w:r>
        <w:rPr>
          <w:b/>
          <w:i w:val="0"/>
        </w:rPr>
        <w:t>RQ3 - Does faithfulness change more than dispatch behaviour?</w:t>
      </w:r>
      <w:r>
        <w:t xml:space="preserve"> No. H1 and H2 are unsupported in every trained policy. Type-matched DEF and pickups both remain nearly flat across outage durations, so stable performance cannot be interpreted as evidence of a faithful explanation.</w:t>
      </w:r>
    </w:p>
    <w:p>
      <w:pPr>
        <w:pStyle w:val="13"/>
        <w:keepLines/>
      </w:pPr>
      <w:r>
        <w:rPr>
          <w:b/>
          <w:i w:val="0"/>
        </w:rPr>
        <w:t>RQ4 - Does degradation-aware training make the explanation more reliable?</w:t>
      </w:r>
      <w:r>
        <w:t xml:space="preserve"> No consistent mitigation is observed. It retains the same seed-dependent attention-shift pattern, gives mixed WAMSN-DEF relationships, and includes one substantially weaker policy replicate.</w:t>
      </w:r>
    </w:p>
    <w:p>
      <w:pPr>
        <w:widowControl/>
      </w:pPr>
      <w:r>
        <w:t>The mixed attention shifts are not an absence of a conclusion. They show that raw attention has no reproducible, model-independent response to stale telemetry. The thesis therefore does not claim that stale telemetry always moves attention toward stale nodes or always lowers faithfulness. Its consistent result is the lack of a dependable explanation guarantee across independently trained policies.</w:t>
      </w:r>
    </w:p>
    <w:p>
      <w:pPr>
        <w:widowControl/>
      </w:pPr>
      <w:r>
        <w:t xml:space="preserve">In this thesis, </w:t>
      </w:r>
      <w:r>
        <w:rPr>
          <w:b/>
          <w:i w:val="0"/>
        </w:rPr>
        <w:t>faithfulness decoupling</w:t>
      </w:r>
      <w:r>
        <w:t xml:space="preserve"> is this assurance gap: the explanation remains visible after the freshness of its data has expired, but the displayed weights do not reliably establish decision relevance. This does not require DEF to decline monotonically with outage duration.</w:t>
      </w:r>
    </w:p>
    <w:p>
      <w:pPr>
        <w:widowControl/>
      </w:pPr>
      <w:r>
        <w:t>The construct-validity audit supports this interpretation. Deleting a request can also delete an action, whereas deleting a taxi only hides information. Type-matched and action-protected controls are therefore required before DEF can be interpreted.</w:t>
      </w:r>
    </w:p>
    <w:p>
      <w:pPr>
        <w:widowControl/>
      </w:pPr>
      <w:r>
        <w:t>The practical resolution is simple. Stable dispatch output is not evidence that an explanation remains trustworthy. Graph-attention weights should be treated as model internals, not operator-facing reasons, until each released checkpoint passes separate freshness-aware and action-aware faithfulness tests and the result reproduces across independent training runs.</w:t>
      </w:r>
    </w:p>
    <w:p w14:paraId="342239F4">
      <w:pPr>
        <w:pStyle w:val="2"/>
        <w:pageBreakBefore/>
      </w:pPr>
      <w:r>
        <w:rPr>
          <w:rFonts w:ascii="Times New Roman" w:hAnsi="Times New Roman"/>
          <w:sz w:val="28"/>
        </w:rPr>
        <w:t>List of Publications</w:t>
      </w:r>
    </w:p>
    <w:p w14:paraId="53D4ECC5">
      <w:pPr>
        <w:spacing w:after="120" w:line="276" w:lineRule="auto"/>
        <w:jc w:val="both"/>
      </w:pPr>
      <w:r>
        <w:rPr>
          <w:rFonts w:ascii="Times New Roman" w:hAnsi="Times New Roman"/>
          <w:sz w:val="24"/>
        </w:rPr>
        <w:t>No publication is claimed in this dissertation draft.</w:t>
      </w:r>
    </w:p>
    <w:p w14:paraId="79FA29F7">
      <w:pPr>
        <w:pStyle w:val="2"/>
        <w:pageBreakBefore/>
      </w:pPr>
      <w:r>
        <w:rPr>
          <w:rFonts w:ascii="Times New Roman" w:hAnsi="Times New Roman"/>
          <w:sz w:val="28"/>
        </w:rPr>
        <w:t>References</w:t>
      </w:r>
    </w:p>
    <w:p w14:paraId="5C5FCDCD">
      <w:pPr>
        <w:spacing w:after="120" w:line="240" w:lineRule="auto"/>
        <w:ind w:left="720" w:hanging="720"/>
        <w:jc w:val="both"/>
      </w:pPr>
      <w:r>
        <w:rPr>
          <w:rFonts w:ascii="Times New Roman" w:hAnsi="Times New Roman"/>
          <w:sz w:val="22"/>
        </w:rPr>
        <w:t>Alvarez-Melis, D. and Jaakkola, T.S. (2018) ‘On the robustness of interpretability methods’, arXiv:1806.08049.</w:t>
      </w:r>
    </w:p>
    <w:p w14:paraId="0ADAF900">
      <w:pPr>
        <w:spacing w:after="120" w:line="240" w:lineRule="auto"/>
        <w:ind w:left="720" w:hanging="720"/>
        <w:jc w:val="both"/>
      </w:pPr>
      <w:r>
        <w:rPr>
          <w:rFonts w:ascii="Times New Roman" w:hAnsi="Times New Roman"/>
          <w:sz w:val="22"/>
        </w:rPr>
        <w:t xml:space="preserve">DeYoung, J. et al. (2020) ‘ERASER: A benchmark to evaluate rationalized NLP models’, in </w:t>
      </w:r>
      <w:r>
        <w:rPr>
          <w:rFonts w:ascii="Times New Roman" w:hAnsi="Times New Roman"/>
          <w:i/>
          <w:sz w:val="22"/>
        </w:rPr>
        <w:t>Proceedings of the ACL</w:t>
      </w:r>
      <w:r>
        <w:rPr>
          <w:rFonts w:ascii="Times New Roman" w:hAnsi="Times New Roman"/>
          <w:sz w:val="22"/>
        </w:rPr>
        <w:t>, pp. 4443-4458.</w:t>
      </w:r>
    </w:p>
    <w:p w14:paraId="4C8A5046">
      <w:pPr>
        <w:spacing w:after="120" w:line="240" w:lineRule="auto"/>
        <w:ind w:left="720" w:hanging="720"/>
        <w:jc w:val="both"/>
      </w:pPr>
      <w:r>
        <w:rPr>
          <w:rFonts w:ascii="Times New Roman" w:hAnsi="Times New Roman"/>
          <w:sz w:val="22"/>
        </w:rPr>
        <w:t xml:space="preserve">Heuillet, A., Couthouis, F. and Diaz-Rodriguez, N. (2021) ‘Explainability in deep reinforcement learning’, </w:t>
      </w:r>
      <w:r>
        <w:rPr>
          <w:rFonts w:ascii="Times New Roman" w:hAnsi="Times New Roman"/>
          <w:i/>
          <w:sz w:val="22"/>
        </w:rPr>
        <w:t>Knowledge-Based Systems</w:t>
      </w:r>
      <w:r>
        <w:rPr>
          <w:rFonts w:ascii="Times New Roman" w:hAnsi="Times New Roman"/>
          <w:sz w:val="22"/>
        </w:rPr>
        <w:t>, vol. 214.</w:t>
      </w:r>
    </w:p>
    <w:p w14:paraId="3FDC1B8F">
      <w:pPr>
        <w:spacing w:after="120" w:line="240" w:lineRule="auto"/>
        <w:ind w:left="720" w:hanging="720"/>
        <w:jc w:val="both"/>
      </w:pPr>
      <w:r>
        <w:rPr>
          <w:rFonts w:ascii="Times New Roman" w:hAnsi="Times New Roman"/>
          <w:sz w:val="22"/>
        </w:rPr>
        <w:t>Hu, Y., Feng, S. and Li, S. (2025) ‘BMG-Q: Localized bipartite match graph attention Q-learning for ride-pooling order dispatch’, arXiv:2501.13448.</w:t>
      </w:r>
    </w:p>
    <w:p w14:paraId="7FB72515">
      <w:pPr>
        <w:spacing w:after="120" w:line="240" w:lineRule="auto"/>
        <w:ind w:left="720" w:hanging="720"/>
        <w:jc w:val="both"/>
      </w:pPr>
      <w:r>
        <w:rPr>
          <w:rFonts w:ascii="Times New Roman" w:hAnsi="Times New Roman"/>
          <w:sz w:val="22"/>
        </w:rPr>
        <w:t xml:space="preserve">Iqbal, S. and Sha, F. (2019) ‘Actor-Attention-Critic for Multi-Agent Reinforcement Learning’, in </w:t>
      </w:r>
      <w:r>
        <w:rPr>
          <w:rFonts w:ascii="Times New Roman" w:hAnsi="Times New Roman"/>
          <w:i/>
          <w:sz w:val="22"/>
        </w:rPr>
        <w:t>Proceedings of the International Conference on Machine Learning</w:t>
      </w:r>
      <w:r>
        <w:rPr>
          <w:rFonts w:ascii="Times New Roman" w:hAnsi="Times New Roman"/>
          <w:sz w:val="22"/>
        </w:rPr>
        <w:t>.</w:t>
      </w:r>
    </w:p>
    <w:p w14:paraId="3C6BB30C">
      <w:pPr>
        <w:spacing w:after="120" w:line="240" w:lineRule="auto"/>
        <w:ind w:left="720" w:hanging="720"/>
        <w:jc w:val="both"/>
      </w:pPr>
      <w:r>
        <w:rPr>
          <w:rFonts w:ascii="Times New Roman" w:hAnsi="Times New Roman"/>
          <w:sz w:val="22"/>
        </w:rPr>
        <w:t xml:space="preserve">Jacovi, A. and Goldberg, Y. (2020) ‘Towards faithfully interpretable NLP systems: How should we define and evaluate faithfulness?’, in </w:t>
      </w:r>
      <w:r>
        <w:rPr>
          <w:rFonts w:ascii="Times New Roman" w:hAnsi="Times New Roman"/>
          <w:i/>
          <w:sz w:val="22"/>
        </w:rPr>
        <w:t>Proceedings of the ACL</w:t>
      </w:r>
      <w:r>
        <w:rPr>
          <w:rFonts w:ascii="Times New Roman" w:hAnsi="Times New Roman"/>
          <w:sz w:val="22"/>
        </w:rPr>
        <w:t>, pp. 4198-4205.</w:t>
      </w:r>
    </w:p>
    <w:p w14:paraId="6BFB654D">
      <w:pPr>
        <w:spacing w:after="120" w:line="240" w:lineRule="auto"/>
        <w:ind w:left="720" w:hanging="720"/>
        <w:jc w:val="both"/>
      </w:pPr>
      <w:r>
        <w:rPr>
          <w:rFonts w:ascii="Times New Roman" w:hAnsi="Times New Roman"/>
          <w:sz w:val="22"/>
        </w:rPr>
        <w:t xml:space="preserve">Jain, S. and Wallace, B.C. (2019) ‘Attention is not Explanation’, in </w:t>
      </w:r>
      <w:r>
        <w:rPr>
          <w:rFonts w:ascii="Times New Roman" w:hAnsi="Times New Roman"/>
          <w:i/>
          <w:sz w:val="22"/>
        </w:rPr>
        <w:t>Proceedings of the NAACL-HLT</w:t>
      </w:r>
      <w:r>
        <w:rPr>
          <w:rFonts w:ascii="Times New Roman" w:hAnsi="Times New Roman"/>
          <w:sz w:val="22"/>
        </w:rPr>
        <w:t>, pp. 3543-3556.</w:t>
      </w:r>
    </w:p>
    <w:p w14:paraId="3BCBB4B4">
      <w:pPr>
        <w:spacing w:after="120" w:line="240" w:lineRule="auto"/>
        <w:ind w:left="720" w:hanging="720"/>
        <w:jc w:val="both"/>
      </w:pPr>
      <w:r>
        <w:rPr>
          <w:rFonts w:ascii="Times New Roman" w:hAnsi="Times New Roman"/>
          <w:sz w:val="22"/>
        </w:rPr>
        <w:t xml:space="preserve">Kaul, S., Yates, R. and Gruteser, M. (2012) ‘Real-time status: How often should one update?’, in </w:t>
      </w:r>
      <w:r>
        <w:rPr>
          <w:rFonts w:ascii="Times New Roman" w:hAnsi="Times New Roman"/>
          <w:i/>
          <w:sz w:val="22"/>
        </w:rPr>
        <w:t>Proceedings of the IEEE INFOCOM</w:t>
      </w:r>
      <w:r>
        <w:rPr>
          <w:rFonts w:ascii="Times New Roman" w:hAnsi="Times New Roman"/>
          <w:sz w:val="22"/>
        </w:rPr>
        <w:t>, pp. 2731-2735.</w:t>
      </w:r>
    </w:p>
    <w:p w14:paraId="5584E155">
      <w:pPr>
        <w:spacing w:after="120" w:line="240" w:lineRule="auto"/>
        <w:ind w:left="720" w:hanging="720"/>
        <w:jc w:val="both"/>
      </w:pPr>
      <w:r>
        <w:rPr>
          <w:rFonts w:ascii="Times New Roman" w:hAnsi="Times New Roman"/>
          <w:sz w:val="22"/>
        </w:rPr>
        <w:t xml:space="preserve">Lin, K., Zhao, R., Xu, Z. and Zhou, J. (2018) ‘Efficient large-scale fleet management via multi-agent deep reinforcement learning’, in </w:t>
      </w:r>
      <w:r>
        <w:rPr>
          <w:rFonts w:ascii="Times New Roman" w:hAnsi="Times New Roman"/>
          <w:i/>
          <w:sz w:val="22"/>
        </w:rPr>
        <w:t>Proceedings of the ACM SIGKDD Int. Conf. Knowledge Discovery and Data Mining</w:t>
      </w:r>
      <w:r>
        <w:rPr>
          <w:rFonts w:ascii="Times New Roman" w:hAnsi="Times New Roman"/>
          <w:sz w:val="22"/>
        </w:rPr>
        <w:t>, pp. 1774-1783.</w:t>
      </w:r>
    </w:p>
    <w:p w14:paraId="4F1BC5F3">
      <w:pPr>
        <w:spacing w:after="120" w:line="240" w:lineRule="auto"/>
        <w:ind w:left="720" w:hanging="720"/>
        <w:jc w:val="both"/>
      </w:pPr>
      <w:r>
        <w:rPr>
          <w:rFonts w:ascii="Times New Roman" w:hAnsi="Times New Roman"/>
          <w:sz w:val="22"/>
        </w:rPr>
        <w:t xml:space="preserve">Lipton, Z.C. (2018) ‘The mythos of model interpretability’, </w:t>
      </w:r>
      <w:r>
        <w:rPr>
          <w:rFonts w:ascii="Times New Roman" w:hAnsi="Times New Roman"/>
          <w:i/>
          <w:sz w:val="22"/>
        </w:rPr>
        <w:t>Queue</w:t>
      </w:r>
      <w:r>
        <w:rPr>
          <w:rFonts w:ascii="Times New Roman" w:hAnsi="Times New Roman"/>
          <w:sz w:val="22"/>
        </w:rPr>
        <w:t>, vol. 16, no. 3, pp. 31-57.</w:t>
      </w:r>
    </w:p>
    <w:p w14:paraId="46708B40">
      <w:pPr>
        <w:spacing w:after="120" w:line="240" w:lineRule="auto"/>
        <w:ind w:left="720" w:hanging="720"/>
        <w:jc w:val="both"/>
      </w:pPr>
      <w:r>
        <w:rPr>
          <w:rFonts w:ascii="Times New Roman" w:hAnsi="Times New Roman"/>
          <w:sz w:val="22"/>
        </w:rPr>
        <w:t xml:space="preserve">Liu, Y. et al. (2022) ‘Rethinking attention-model explainability through faithfulness violation test’, in </w:t>
      </w:r>
      <w:r>
        <w:rPr>
          <w:rFonts w:ascii="Times New Roman" w:hAnsi="Times New Roman"/>
          <w:i/>
          <w:sz w:val="22"/>
        </w:rPr>
        <w:t>Proceedings of the ICML</w:t>
      </w:r>
      <w:r>
        <w:rPr>
          <w:rFonts w:ascii="Times New Roman" w:hAnsi="Times New Roman"/>
          <w:sz w:val="22"/>
        </w:rPr>
        <w:t>.</w:t>
      </w:r>
    </w:p>
    <w:p w14:paraId="5650D4BD">
      <w:pPr>
        <w:spacing w:after="120" w:line="240" w:lineRule="auto"/>
        <w:ind w:left="720" w:hanging="720"/>
        <w:jc w:val="both"/>
      </w:pPr>
      <w:r>
        <w:rPr>
          <w:rFonts w:ascii="Times New Roman" w:hAnsi="Times New Roman"/>
          <w:sz w:val="22"/>
        </w:rPr>
        <w:t xml:space="preserve">Lopez, P.A. et al. (2018) ‘Microscopic traffic simulation using SUMO’, in </w:t>
      </w:r>
      <w:r>
        <w:rPr>
          <w:rFonts w:ascii="Times New Roman" w:hAnsi="Times New Roman"/>
          <w:i/>
          <w:sz w:val="22"/>
        </w:rPr>
        <w:t>Proceedings of the IEEE International Conference on Intelligent Transportation Systems</w:t>
      </w:r>
      <w:r>
        <w:rPr>
          <w:rFonts w:ascii="Times New Roman" w:hAnsi="Times New Roman"/>
          <w:sz w:val="22"/>
        </w:rPr>
        <w:t>, pp. 2575-2582.</w:t>
      </w:r>
    </w:p>
    <w:p w14:paraId="336DBF29">
      <w:pPr>
        <w:spacing w:after="120" w:line="240" w:lineRule="auto"/>
        <w:ind w:left="720" w:hanging="720"/>
        <w:jc w:val="both"/>
      </w:pPr>
      <w:r>
        <w:rPr>
          <w:rFonts w:ascii="Times New Roman" w:hAnsi="Times New Roman"/>
          <w:sz w:val="22"/>
        </w:rPr>
        <w:t xml:space="preserve">Lowe, R. et al. (2017) ‘Multi-Agent Actor-Critic for Mixed Cooperative-Competitive Environments’, in </w:t>
      </w:r>
      <w:r>
        <w:rPr>
          <w:rFonts w:ascii="Times New Roman" w:hAnsi="Times New Roman"/>
          <w:i/>
          <w:sz w:val="22"/>
        </w:rPr>
        <w:t>Advances in Neural Information Processing Systems</w:t>
      </w:r>
      <w:r>
        <w:rPr>
          <w:rFonts w:ascii="Times New Roman" w:hAnsi="Times New Roman"/>
          <w:sz w:val="22"/>
        </w:rPr>
        <w:t>.</w:t>
      </w:r>
    </w:p>
    <w:p w14:paraId="7C8D12E4">
      <w:pPr>
        <w:spacing w:after="120" w:line="240" w:lineRule="auto"/>
        <w:ind w:left="720" w:hanging="720"/>
        <w:jc w:val="both"/>
      </w:pPr>
      <w:r>
        <w:rPr>
          <w:rFonts w:ascii="Times New Roman" w:hAnsi="Times New Roman"/>
          <w:sz w:val="22"/>
        </w:rPr>
        <w:t xml:space="preserve">Luo, D. et al. (2020) ‘Parameterized explainer for graph neural network’, in </w:t>
      </w:r>
      <w:r>
        <w:rPr>
          <w:rFonts w:ascii="Times New Roman" w:hAnsi="Times New Roman"/>
          <w:i/>
          <w:sz w:val="22"/>
        </w:rPr>
        <w:t>Advances in Neural Information Processing Systems</w:t>
      </w:r>
      <w:r>
        <w:rPr>
          <w:rFonts w:ascii="Times New Roman" w:hAnsi="Times New Roman"/>
          <w:sz w:val="22"/>
        </w:rPr>
        <w:t>, pp. 19620-19631.</w:t>
      </w:r>
    </w:p>
    <w:p w14:paraId="78A7D695">
      <w:pPr>
        <w:spacing w:after="120" w:line="240" w:lineRule="auto"/>
        <w:ind w:left="720" w:hanging="720"/>
        <w:jc w:val="both"/>
      </w:pPr>
      <w:r>
        <w:rPr>
          <w:rFonts w:ascii="Times New Roman" w:hAnsi="Times New Roman"/>
          <w:sz w:val="22"/>
        </w:rPr>
        <w:t xml:space="preserve">Madumal, P., Miller, T., Sonenberg, L. and Vetere, F. (2020) ‘Explainable reinforcement learning through a causal lens’, in </w:t>
      </w:r>
      <w:r>
        <w:rPr>
          <w:rFonts w:ascii="Times New Roman" w:hAnsi="Times New Roman"/>
          <w:i/>
          <w:sz w:val="22"/>
        </w:rPr>
        <w:t>Proceedings of the AAAI Conference on Artificial Intelligence</w:t>
      </w:r>
      <w:r>
        <w:rPr>
          <w:rFonts w:ascii="Times New Roman" w:hAnsi="Times New Roman"/>
          <w:sz w:val="22"/>
        </w:rPr>
        <w:t>.</w:t>
      </w:r>
    </w:p>
    <w:p w14:paraId="3017936D">
      <w:pPr>
        <w:spacing w:after="120" w:line="240" w:lineRule="auto"/>
        <w:ind w:left="720" w:hanging="720"/>
        <w:jc w:val="both"/>
      </w:pPr>
      <w:r>
        <w:rPr>
          <w:rFonts w:ascii="Times New Roman" w:hAnsi="Times New Roman"/>
          <w:sz w:val="22"/>
        </w:rPr>
        <w:t xml:space="preserve">Qin, Z., Zhu, H. and Ye, J. (2022) ‘Reinforcement learning for ridesharing: An extended survey’, </w:t>
      </w:r>
      <w:r>
        <w:rPr>
          <w:rFonts w:ascii="Times New Roman" w:hAnsi="Times New Roman"/>
          <w:i/>
          <w:sz w:val="22"/>
        </w:rPr>
        <w:t>Transportation Research Part C: Emerging Technologies</w:t>
      </w:r>
      <w:r>
        <w:rPr>
          <w:rFonts w:ascii="Times New Roman" w:hAnsi="Times New Roman"/>
          <w:sz w:val="22"/>
        </w:rPr>
        <w:t>, vol. 144.</w:t>
      </w:r>
    </w:p>
    <w:p w14:paraId="70DC12F6">
      <w:pPr>
        <w:spacing w:after="120" w:line="240" w:lineRule="auto"/>
        <w:ind w:left="720" w:hanging="720"/>
        <w:jc w:val="both"/>
      </w:pPr>
      <w:r>
        <w:rPr>
          <w:rFonts w:ascii="Times New Roman" w:hAnsi="Times New Roman"/>
          <w:sz w:val="22"/>
        </w:rPr>
        <w:t xml:space="preserve">Rashid, T. et al. (2020) ‘Monotonic value function factorisation for deep multi-agent reinforcement learning’, </w:t>
      </w:r>
      <w:r>
        <w:rPr>
          <w:rFonts w:ascii="Times New Roman" w:hAnsi="Times New Roman"/>
          <w:i/>
          <w:sz w:val="22"/>
        </w:rPr>
        <w:t>Journal of Machine Learning Research</w:t>
      </w:r>
      <w:r>
        <w:rPr>
          <w:rFonts w:ascii="Times New Roman" w:hAnsi="Times New Roman"/>
          <w:sz w:val="22"/>
        </w:rPr>
        <w:t>, vol. 21, no. 178, pp. 1-51.</w:t>
      </w:r>
    </w:p>
    <w:p w14:paraId="79139340">
      <w:pPr>
        <w:spacing w:after="120" w:line="240" w:lineRule="auto"/>
        <w:ind w:left="720" w:hanging="720"/>
        <w:jc w:val="both"/>
      </w:pPr>
      <w:r>
        <w:rPr>
          <w:rFonts w:ascii="Times New Roman" w:hAnsi="Times New Roman"/>
          <w:sz w:val="22"/>
        </w:rPr>
        <w:t xml:space="preserve">Ribeiro, M.T., Singh, S. and Guestrin, C. (2016) ‘'Why should I trust you?': Explaining the predictions of any classifier’, in </w:t>
      </w:r>
      <w:r>
        <w:rPr>
          <w:rFonts w:ascii="Times New Roman" w:hAnsi="Times New Roman"/>
          <w:i/>
          <w:sz w:val="22"/>
        </w:rPr>
        <w:t>Proceedings of the ACM SIGKDD</w:t>
      </w:r>
      <w:r>
        <w:rPr>
          <w:rFonts w:ascii="Times New Roman" w:hAnsi="Times New Roman"/>
          <w:sz w:val="22"/>
        </w:rPr>
        <w:t>, pp. 1135-1144.</w:t>
      </w:r>
    </w:p>
    <w:p w14:paraId="1A176D73">
      <w:pPr>
        <w:spacing w:after="120" w:line="240" w:lineRule="auto"/>
        <w:ind w:left="720" w:hanging="720"/>
        <w:jc w:val="both"/>
      </w:pPr>
      <w:r>
        <w:rPr>
          <w:rFonts w:ascii="Times New Roman" w:hAnsi="Times New Roman"/>
          <w:sz w:val="22"/>
        </w:rPr>
        <w:t xml:space="preserve">Scarselli, F., Gori, M., Tsoi, A.C., Hagenbuchner, M. and Monfardini, G. (2009) ‘The graph neural network model’, </w:t>
      </w:r>
      <w:r>
        <w:rPr>
          <w:rFonts w:ascii="Times New Roman" w:hAnsi="Times New Roman"/>
          <w:i/>
          <w:sz w:val="22"/>
        </w:rPr>
        <w:t>IEEE Transactions on Neural Networks</w:t>
      </w:r>
      <w:r>
        <w:rPr>
          <w:rFonts w:ascii="Times New Roman" w:hAnsi="Times New Roman"/>
          <w:sz w:val="22"/>
        </w:rPr>
        <w:t>, vol. 20, no. 1, pp. 61-80.</w:t>
      </w:r>
    </w:p>
    <w:p w14:paraId="1BD0AEC1">
      <w:pPr>
        <w:spacing w:after="120" w:line="240" w:lineRule="auto"/>
        <w:ind w:left="720" w:hanging="720"/>
        <w:jc w:val="both"/>
      </w:pPr>
      <w:r>
        <w:rPr>
          <w:rFonts w:ascii="Times New Roman" w:hAnsi="Times New Roman"/>
          <w:sz w:val="22"/>
        </w:rPr>
        <w:t xml:space="preserve">Serrano, S. and Smith, N.A. (2019) ‘Is attention interpretable?’, in </w:t>
      </w:r>
      <w:r>
        <w:rPr>
          <w:rFonts w:ascii="Times New Roman" w:hAnsi="Times New Roman"/>
          <w:i/>
          <w:sz w:val="22"/>
        </w:rPr>
        <w:t>Proceedings of the ACL</w:t>
      </w:r>
      <w:r>
        <w:rPr>
          <w:rFonts w:ascii="Times New Roman" w:hAnsi="Times New Roman"/>
          <w:sz w:val="22"/>
        </w:rPr>
        <w:t>, pp. 2931-2951.</w:t>
      </w:r>
    </w:p>
    <w:p w14:paraId="52A4965F">
      <w:pPr>
        <w:spacing w:after="120" w:line="240" w:lineRule="auto"/>
        <w:ind w:left="720" w:hanging="720"/>
        <w:jc w:val="both"/>
      </w:pPr>
      <w:r>
        <w:rPr>
          <w:rFonts w:ascii="Times New Roman" w:hAnsi="Times New Roman"/>
          <w:sz w:val="22"/>
        </w:rPr>
        <w:t xml:space="preserve">Sha, J. et al. (2026) ‘A multi-agent reinforcement learning scheduling algorithm integrating state graph and task graph structural modeling for ride-sharing dispatching’, </w:t>
      </w:r>
      <w:r>
        <w:rPr>
          <w:rFonts w:ascii="Times New Roman" w:hAnsi="Times New Roman"/>
          <w:i/>
          <w:sz w:val="22"/>
        </w:rPr>
        <w:t>Scientific Reports</w:t>
      </w:r>
      <w:r>
        <w:rPr>
          <w:rFonts w:ascii="Times New Roman" w:hAnsi="Times New Roman"/>
          <w:sz w:val="22"/>
        </w:rPr>
        <w:t>, vol. 16, art. no. 5461.</w:t>
      </w:r>
    </w:p>
    <w:p w14:paraId="0E3E70A9">
      <w:pPr>
        <w:spacing w:after="120" w:line="240" w:lineRule="auto"/>
        <w:ind w:left="720" w:hanging="720"/>
        <w:jc w:val="both"/>
      </w:pPr>
      <w:r>
        <w:rPr>
          <w:rFonts w:ascii="Times New Roman" w:hAnsi="Times New Roman"/>
          <w:sz w:val="22"/>
        </w:rPr>
        <w:t xml:space="preserve">Vaswani, A. et al. (2017) ‘Attention is all you need’, in </w:t>
      </w:r>
      <w:r>
        <w:rPr>
          <w:rFonts w:ascii="Times New Roman" w:hAnsi="Times New Roman"/>
          <w:i/>
          <w:sz w:val="22"/>
        </w:rPr>
        <w:t>Advances in Neural Information Processing Systems</w:t>
      </w:r>
      <w:r>
        <w:rPr>
          <w:rFonts w:ascii="Times New Roman" w:hAnsi="Times New Roman"/>
          <w:sz w:val="22"/>
        </w:rPr>
        <w:t>.</w:t>
      </w:r>
    </w:p>
    <w:p w14:paraId="20A0CFE5">
      <w:pPr>
        <w:spacing w:after="120" w:line="240" w:lineRule="auto"/>
        <w:ind w:left="720" w:hanging="720"/>
        <w:jc w:val="both"/>
      </w:pPr>
      <w:r>
        <w:rPr>
          <w:rFonts w:ascii="Times New Roman" w:hAnsi="Times New Roman"/>
          <w:sz w:val="22"/>
        </w:rPr>
        <w:t xml:space="preserve">Velickovic, P. et al. (2018) ‘Graph Attention Networks’, in </w:t>
      </w:r>
      <w:r>
        <w:rPr>
          <w:rFonts w:ascii="Times New Roman" w:hAnsi="Times New Roman"/>
          <w:i/>
          <w:sz w:val="22"/>
        </w:rPr>
        <w:t>Proceedings of the International Conference on Learning Representations</w:t>
      </w:r>
      <w:r>
        <w:rPr>
          <w:rFonts w:ascii="Times New Roman" w:hAnsi="Times New Roman"/>
          <w:sz w:val="22"/>
        </w:rPr>
        <w:t>.</w:t>
      </w:r>
    </w:p>
    <w:p w14:paraId="7015D420">
      <w:pPr>
        <w:spacing w:after="120" w:line="240" w:lineRule="auto"/>
        <w:ind w:left="720" w:hanging="720"/>
        <w:jc w:val="both"/>
      </w:pPr>
      <w:r>
        <w:rPr>
          <w:rFonts w:ascii="Times New Roman" w:hAnsi="Times New Roman"/>
          <w:sz w:val="22"/>
        </w:rPr>
        <w:t xml:space="preserve">Wang, J. et al. (2025) ‘CoopRide: Cooperate all grids in city-scale ride-hailing dispatching with multi-agent reinforcement learning’, in </w:t>
      </w:r>
      <w:r>
        <w:rPr>
          <w:rFonts w:ascii="Times New Roman" w:hAnsi="Times New Roman"/>
          <w:i/>
          <w:sz w:val="22"/>
        </w:rPr>
        <w:t>Proceedings of the 31st ACM SIGKDD Conference on Knowledge Discovery and Data Mining</w:t>
      </w:r>
      <w:r>
        <w:rPr>
          <w:rFonts w:ascii="Times New Roman" w:hAnsi="Times New Roman"/>
          <w:sz w:val="22"/>
        </w:rPr>
        <w:t>, pp. 1457-1468.</w:t>
      </w:r>
    </w:p>
    <w:p w14:paraId="4B84119C">
      <w:pPr>
        <w:spacing w:after="120" w:line="240" w:lineRule="auto"/>
        <w:ind w:left="720" w:hanging="720"/>
        <w:jc w:val="both"/>
      </w:pPr>
      <w:r>
        <w:rPr>
          <w:rFonts w:ascii="Times New Roman" w:hAnsi="Times New Roman"/>
          <w:sz w:val="22"/>
        </w:rPr>
        <w:t xml:space="preserve">Wiegreffe, S. and Pinter, Y. (2019) ‘Attention is not not Explanation’, in </w:t>
      </w:r>
      <w:r>
        <w:rPr>
          <w:rFonts w:ascii="Times New Roman" w:hAnsi="Times New Roman"/>
          <w:i/>
          <w:sz w:val="22"/>
        </w:rPr>
        <w:t>Proceedings of the EMNLP-IJCNLP</w:t>
      </w:r>
      <w:r>
        <w:rPr>
          <w:rFonts w:ascii="Times New Roman" w:hAnsi="Times New Roman"/>
          <w:sz w:val="22"/>
        </w:rPr>
        <w:t>, pp. 11-20.</w:t>
      </w:r>
    </w:p>
    <w:p w14:paraId="15F0F2C6">
      <w:pPr>
        <w:spacing w:after="120" w:line="240" w:lineRule="auto"/>
        <w:ind w:left="720" w:hanging="720"/>
        <w:jc w:val="both"/>
      </w:pPr>
      <w:r>
        <w:rPr>
          <w:rFonts w:ascii="Times New Roman" w:hAnsi="Times New Roman"/>
          <w:sz w:val="22"/>
        </w:rPr>
        <w:t xml:space="preserve">Ying, R., Bourgeois, D., You, J., Zitnik, M. and Leskovec, J. (2019) ‘GNNExplainer: Generating explanations for graph neural networks’, in </w:t>
      </w:r>
      <w:r>
        <w:rPr>
          <w:rFonts w:ascii="Times New Roman" w:hAnsi="Times New Roman"/>
          <w:i/>
          <w:sz w:val="22"/>
        </w:rPr>
        <w:t>Advances in Neural Information Processing Systems</w:t>
      </w:r>
      <w:r>
        <w:rPr>
          <w:rFonts w:ascii="Times New Roman" w:hAnsi="Times New Roman"/>
          <w:sz w:val="22"/>
        </w:rPr>
        <w:t>, pp. 9240-9251.</w:t>
      </w:r>
    </w:p>
    <w:p w14:paraId="5BC66BC2">
      <w:pPr>
        <w:spacing w:after="120" w:line="240" w:lineRule="auto"/>
        <w:ind w:left="720" w:hanging="720"/>
        <w:jc w:val="both"/>
      </w:pPr>
      <w:r>
        <w:rPr>
          <w:rFonts w:ascii="Times New Roman" w:hAnsi="Times New Roman"/>
          <w:sz w:val="22"/>
        </w:rPr>
        <w:t xml:space="preserve">Yu, C. et al. (2022) ‘The surprising effectiveness of PPO in cooperative multi-agent games’, in </w:t>
      </w:r>
      <w:r>
        <w:rPr>
          <w:rFonts w:ascii="Times New Roman" w:hAnsi="Times New Roman"/>
          <w:i/>
          <w:sz w:val="22"/>
        </w:rPr>
        <w:t>Advances in Neural Information Processing Systems</w:t>
      </w:r>
      <w:r>
        <w:rPr>
          <w:rFonts w:ascii="Times New Roman" w:hAnsi="Times New Roman"/>
          <w:sz w:val="22"/>
        </w:rPr>
        <w:t>.</w:t>
      </w:r>
    </w:p>
    <w:p w14:paraId="4D3EB0E2">
      <w:pPr>
        <w:spacing w:after="120" w:line="240" w:lineRule="auto"/>
        <w:ind w:left="720" w:hanging="720"/>
        <w:jc w:val="both"/>
      </w:pPr>
      <w:r>
        <w:rPr>
          <w:rFonts w:ascii="Times New Roman" w:hAnsi="Times New Roman"/>
          <w:sz w:val="22"/>
        </w:rPr>
        <w:t xml:space="preserve">Yuan, H., Yu, H., Gui, S. and Ji, S. (2023) ‘Explainability in graph neural networks: A taxonomic survey’, </w:t>
      </w:r>
      <w:r>
        <w:rPr>
          <w:rFonts w:ascii="Times New Roman" w:hAnsi="Times New Roman"/>
          <w:i/>
          <w:sz w:val="22"/>
        </w:rPr>
        <w:t>IEEE Transactions on Pattern Analysis and Machine Intelligence</w:t>
      </w:r>
      <w:r>
        <w:rPr>
          <w:rFonts w:ascii="Times New Roman" w:hAnsi="Times New Roman"/>
          <w:sz w:val="22"/>
        </w:rPr>
        <w:t>, vol. 45, no. 5, pp. 5782-5799.</w:t>
      </w:r>
    </w:p>
    <w:p w14:paraId="5D6E610B">
      <w:pPr>
        <w:pStyle w:val="2"/>
        <w:pageBreakBefore/>
      </w:pPr>
      <w:r>
        <w:rPr>
          <w:rFonts w:ascii="Times New Roman" w:hAnsi="Times New Roman"/>
          <w:sz w:val="28"/>
        </w:rPr>
        <w:t>Appendices</w:t>
      </w:r>
    </w:p>
    <w:p w14:paraId="121AD0AB">
      <w:pPr>
        <w:pStyle w:val="3"/>
      </w:pPr>
      <w:r>
        <w:rPr>
          <w:rFonts w:ascii="Times New Roman" w:hAnsi="Times New Roman"/>
          <w:sz w:val="24"/>
        </w:rPr>
        <w:t>Appendix A: Experiment Reproduction</w:t>
      </w:r>
    </w:p>
    <w:p w14:paraId="7282F727">
      <w:pPr>
        <w:spacing w:after="120" w:line="276" w:lineRule="auto"/>
        <w:jc w:val="both"/>
      </w:pPr>
      <w:r>
        <w:t>The complete reproduction procedure is provided in docs/REPRODUCE_EXPERIMENTS.md. Compact citable outputs are stored under results/dissertation_v4/.</w:t>
      </w:r>
    </w:p>
    <w:p w14:paraId="26C50B5C">
      <w:pPr>
        <w:pStyle w:val="3"/>
      </w:pPr>
      <w:r>
        <w:rPr>
          <w:rFonts w:ascii="Times New Roman" w:hAnsi="Times New Roman"/>
          <w:sz w:val="24"/>
        </w:rPr>
        <w:t>Appendix B: Supporting Artefacts</w:t>
      </w:r>
    </w:p>
    <w:p w14:paraId="67ADD7F8">
      <w:pPr>
        <w:spacing w:after="120" w:line="276" w:lineRule="auto"/>
        <w:jc w:val="both"/>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numPr>
        <w:ilvl w:val="0"/>
        <w:numId w:val="1"/>
      </w:numPr>
      <w:spacing w:before="0" w:after="60" w:line="276" w:lineRule="auto"/>
      <w:ind w:left="461" w:hanging="317"/>
      <w:jc w:val="left"/>
    </w:pPr>
    <w:rPr>
      <w:rFonts w:ascii="Times New Roman" w:hAnsi="Times New Roman" w:eastAsiaTheme="minorEastAsia" w:cstheme="minorBidi"/>
      <w:kern w:val="2"/>
      <w:sz w:val="24"/>
      <w:szCs w:val="24"/>
      <w:lang w:val="zh-CN" w:eastAsia="en-US" w:bidi="ar-SA"/>
      <w14:ligatures w14:val="standardContextual"/>
    </w:rPr>
  </w:style>
  <w:style w:type="paragraph" w:customStyle="1" w:styleId="14">
    <w:name w:val="DMU Number"/>
    <w:uiPriority w:val="0"/>
    <w:pPr>
      <w:widowControl/>
      <w:numPr>
        <w:ilvl w:val="0"/>
        <w:numId w:val="2"/>
      </w:numPr>
      <w:spacing w:before="0" w:after="60" w:line="276" w:lineRule="auto"/>
      <w:ind w:left="461" w:hanging="317"/>
      <w:jc w:val="left"/>
    </w:pPr>
    <w:rPr>
      <w:rFonts w:ascii="Times New Roman" w:hAnsi="Times New Roman" w:eastAsiaTheme="minorEastAsia" w:cstheme="minorBidi"/>
      <w:kern w:val="2"/>
      <w:sz w:val="24"/>
      <w:szCs w:val="24"/>
      <w:lang w:val="zh-CN" w:eastAsia="en-US" w:bidi="ar-SA"/>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