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82" w:name="nav_front_list_of_figures"/>
      <w:r>
        <w:rPr>
          <w:rFonts w:ascii="Times New Roman" w:hAnsi="Times New Roman"/>
          <w:b/>
          <w:sz w:val="28"/>
        </w:rPr>
        <w:t>LIST OF FIGURES</w:t>
      </w:r>
      <w:bookmarkEnd w:id="82"/>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19</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20</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22</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23</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24</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25</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26</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27</w:t>
        </w:r>
      </w:hyperlink>
    </w:p>
    <w:p>
      <w:pPr>
        <w:keepLines/>
        <w:tabs>
          <w:tab w:pos="8784" w:val="right" w:leader="dot"/>
        </w:tabs>
        <w:spacing w:after="40" w:line="240" w:lineRule="auto"/>
        <w:ind w:left="0"/>
      </w:pPr>
      <w:hyperlink w:anchor="nav_figure_Figure_4_9" w:history="1">
        <w:r>
          <w:rPr>
            <w:noProof/>
          </w:rPr>
          <w:t xml:space="preserve">Figure 4.9  Action-stratified faithfulness diagnostic</w:t>
          <w:tab/>
          <w:t>28</w:t>
        </w:r>
      </w:hyperlink>
    </w:p>
    <w:p>
      <w:pPr>
        <w:keepLines/>
        <w:tabs>
          <w:tab w:pos="8784" w:val="right" w:leader="dot"/>
        </w:tabs>
        <w:spacing w:after="40" w:line="240" w:lineRule="auto"/>
        <w:ind w:left="0"/>
      </w:pPr>
      <w:hyperlink w:anchor="nav_figure_Figure_4_10" w:history="1">
        <w:r>
          <w:rPr>
            <w:noProof/>
          </w:rPr>
          <w:t xml:space="preserve">Figure 4.10  WAMSN-DEF correlation by training seed</w:t>
          <w:tab/>
          <w:t>29</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31</w:t>
        </w:r>
      </w:hyperlink>
    </w:p>
    <w:p w14:paraId="4E24840A">
      <w:pPr>
        <w:keepNext/>
        <w:spacing w:after="360"/>
        <w:jc w:val="center"/>
        <w:outlineLvl w:val="0"/>
      </w:pPr>
      <w:bookmarkStart w:id="83" w:name="nav_front_list_of_tables"/>
      <w:r>
        <w:rPr>
          <w:rFonts w:ascii="Times New Roman" w:hAnsi="Times New Roman"/>
          <w:b/>
          <w:sz w:val="28"/>
        </w:rPr>
        <w:t>LIST OF TABLES</w:t>
      </w:r>
      <w:bookmarkEnd w:id="83"/>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11</w:t>
        </w:r>
      </w:hyperlink>
    </w:p>
    <w:p>
      <w:pPr>
        <w:keepLines/>
        <w:tabs>
          <w:tab w:pos="8784" w:val="right" w:leader="dot"/>
        </w:tabs>
        <w:spacing w:after="40" w:line="240" w:lineRule="auto"/>
        <w:ind w:left="0"/>
      </w:pPr>
      <w:hyperlink w:anchor="nav_table_Table_3_4" w:history="1">
        <w:r>
          <w:rPr>
            <w:noProof/>
          </w:rPr>
          <w:t xml:space="preserve">Table 3.4  Shared training and optimization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15</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15</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20</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21</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21</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24</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26</w:t>
        </w:r>
      </w:hyperlink>
    </w:p>
    <w:p>
      <w:pPr>
        <w:keepLines/>
        <w:tabs>
          <w:tab w:pos="8784" w:val="right" w:leader="dot"/>
        </w:tabs>
        <w:spacing w:after="40" w:line="240" w:lineRule="auto"/>
        <w:ind w:left="0"/>
      </w:pPr>
      <w:hyperlink w:anchor="nav_table_Table_4_6" w:history="1">
        <w:r>
          <w:rPr>
            <w:noProof/>
          </w:rPr>
          <w:t xml:space="preserve">Table 4.6  Action composition and dispatch-stratified DEF diagnostic</w:t>
          <w:tab/>
          <w:t>27</w:t>
        </w:r>
      </w:hyperlink>
    </w:p>
    <w:p>
      <w:pPr>
        <w:keepLines/>
        <w:tabs>
          <w:tab w:pos="8784" w:val="right" w:leader="dot"/>
        </w:tabs>
        <w:spacing w:after="40" w:line="240" w:lineRule="auto"/>
        <w:ind w:left="0"/>
      </w:pPr>
      <w:hyperlink w:anchor="nav_table_Table_4_7" w:history="1">
        <w:r>
          <w:rPr>
            <w:noProof/>
          </w:rPr>
          <w:t xml:space="preserve">Table 4.7  Hypothesis outcomes across training seeds</w:t>
          <w:tab/>
          <w:t>29</w:t>
        </w:r>
      </w:hyperlink>
    </w:p>
    <w:p>
      <w:pPr>
        <w:keepLines/>
        <w:tabs>
          <w:tab w:pos="8784" w:val="right" w:leader="dot"/>
        </w:tabs>
        <w:spacing w:after="40" w:line="240" w:lineRule="auto"/>
        <w:ind w:left="0"/>
      </w:pPr>
      <w:hyperlink w:anchor="nav_table_Table_5_1" w:history="1">
        <w:r>
          <w:rPr>
            <w:noProof/>
          </w:rPr>
          <w:t xml:space="preserve">Table 5.1  Freshness-aware explanation assurance approach</w:t>
          <w:tab/>
          <w:t>34</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 xml:space="preserve">Graph-attention multi-agent reinforcement learning (GAT-MARL) can expose attention weights for use as candidate explanations of fleet-dispatch decisions. An attention map can remain visible when vehicle telemetry becomes stale, but it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a simulated outage, and the observation layer freezes the affected vehicle's last-known position and speed for 10, 20, 30, or 60 seconds. SUMO retains the true state, allowing paired clean and degraded observations. GAT policies trained on clean observations and on 30-second outage observations are evaluated across three independent training seeds. Decision-level explanation faithfulness (DEF) compares highly attended node subsets with type-matched random subsets, while WAMSN measures stale-data exposure. A construct-validity audit controls for request nodes that also define available actions.</w:t>
      </w:r>
    </w:p>
    <w:p>
      <w:pPr>
        <w:widowControl/>
      </w:pPr>
      <w:r>
        <w:t>Under stochastic action sampling, all selected policies exceed legal-random and naive greedy lower bounds on held-out demand. A deterministic diagnostic, however, produces no pickups for any GAT checkpoint. The reported capability therefore belongs to the sampled policy distribution, not to a reliable argmax dispatcher.</w:t>
      </w:r>
    </w:p>
    <w:p>
      <w:pPr>
        <w:widowControl/>
      </w:pPr>
      <w:r>
        <w:t>The results do not validate raw attention as a dependable explanation. Of the 56,550 decisions with at least one available request, 93.0% select no-op. Action-stratified analysis shows that the main duration and exposure associations are not reproduced for dispatch actions. In four of six checkpoints, the paired DEF direction also differs between the all-decision and dispatch strata. Under clean telemetry, DEF varies in sign across checkpoints and is lower than a leave-one-out perturbation control in all six selected checkpoints. Longer outages increase stale-data exposure, but the paired change in attention toward stale nodes is positive for two training seeds and negative for one under both training regimes. Within-policy tests show an association between greater exposure and lower DEF, but the direct paired DEF change is negative for four checkpoints and positive for two. The result also depends on the selected checkpoint and the rule used to aggregate attention into a single explanation.</w:t>
      </w:r>
    </w:p>
    <w:p>
      <w:pPr>
        <w:widowControl/>
      </w:pPr>
      <w:r>
        <w:t>The conclusion is not that stale telemetry always reduces faithfulness. It is that raw attention provides no stable guarantee of either data freshness or decision relevance across independently trained policies or action types. An attention map can therefore outlive the data supporting it while still appearing complete. In response, the dissertation proposes a freshness-aware explanation assurance approach that separates freshness monitoring from attention, applies action-aware faithfulness tests, checks aggregation sensitivity, and repeats the audit for each released checkpoint. Attention weights should remain model internals unless these checks give consistent results across independent training runs.</w:t>
      </w:r>
    </w:p>
    <w:p>
      <w:pPr/>
      <w:r>
        <w:rPr>
          <w:b/>
        </w:rPr>
        <w:t>Keywords:</w:t>
      </w:r>
      <w:r>
        <w:t xml:space="preserve"> explainable reinforcement learning; graph attention; multi-agent reinforcement learning; fleet dispatch; telemetry degradation; Age of Information; faithfulness.</w:t>
      </w:r>
    </w:p>
    <w:p w14:paraId="416F1070">
      <w:pPr>
        <w:keepNext/>
        <w:pageBreakBefore/>
        <w:spacing w:after="360"/>
        <w:jc w:val="center"/>
        <w:outlineLvl w:val="0"/>
      </w:pPr>
      <w:bookmarkStart w:id="81" w:name="nav_front_toc"/>
      <w:r>
        <w:rPr>
          <w:rFonts w:ascii="Times New Roman" w:hAnsi="Times New Roman"/>
          <w:b/>
          <w:sz w:val="28"/>
        </w:rPr>
        <w:t>TABLE OF CONTENTS</w:t>
      </w:r>
      <w:bookmarkEnd w:id="81"/>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12</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14</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15</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16</w:t>
        </w:r>
      </w:hyperlink>
    </w:p>
    <w:p>
      <w:pPr>
        <w:keepLines/>
        <w:tabs>
          <w:tab w:pos="8784" w:val="right" w:leader="dot"/>
        </w:tabs>
        <w:spacing w:after="40" w:line="240" w:lineRule="auto"/>
        <w:ind w:left="360"/>
      </w:pPr>
      <w:hyperlink w:anchor="nav_heading_3_10_Reproducibility" w:history="1">
        <w:r>
          <w:rPr>
            <w:noProof/>
          </w:rPr>
          <w:t xml:space="preserve">3.10 Reproducibility</w:t>
          <w:tab/>
          <w:t>17</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17</w:t>
        </w:r>
      </w:hyperlink>
    </w:p>
    <w:p>
      <w:pPr>
        <w:keepLines/>
        <w:tabs>
          <w:tab w:pos="8784" w:val="right" w:leader="dot"/>
        </w:tabs>
        <w:spacing w:after="40" w:line="240" w:lineRule="auto"/>
        <w:ind w:left="0"/>
      </w:pPr>
      <w:hyperlink w:anchor="nav_heading_Chapter_4_Results" w:history="1">
        <w:r>
          <w:rPr>
            <w:noProof/>
          </w:rPr>
          <w:t xml:space="preserve">Chapter 4: Results</w:t>
          <w:tab/>
          <w:t>19</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19</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21</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21</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24</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25</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26</w:t>
        </w:r>
      </w:hyperlink>
    </w:p>
    <w:p>
      <w:pPr>
        <w:keepLines/>
        <w:tabs>
          <w:tab w:pos="8784" w:val="right" w:leader="dot"/>
        </w:tabs>
        <w:spacing w:after="40" w:line="240" w:lineRule="auto"/>
        <w:ind w:left="360"/>
      </w:pPr>
      <w:hyperlink w:anchor="nav_heading_4_7_Action_stratified_diagno" w:history="1">
        <w:r>
          <w:rPr>
            <w:noProof/>
          </w:rPr>
          <w:t xml:space="preserve">4.7 Action-stratified diagnostic</w:t>
          <w:tab/>
          <w:t>27</w:t>
        </w:r>
      </w:hyperlink>
    </w:p>
    <w:p>
      <w:pPr>
        <w:keepLines/>
        <w:tabs>
          <w:tab w:pos="8784" w:val="right" w:leader="dot"/>
        </w:tabs>
        <w:spacing w:after="40" w:line="240" w:lineRule="auto"/>
        <w:ind w:left="360"/>
      </w:pPr>
      <w:hyperlink w:anchor="nav_heading_4_8_Faithfulness_hypotheses" w:history="1">
        <w:r>
          <w:rPr>
            <w:noProof/>
          </w:rPr>
          <w:t xml:space="preserve">4.8 Faithfulness hypotheses</w:t>
          <w:tab/>
          <w:t>28</w:t>
        </w:r>
      </w:hyperlink>
    </w:p>
    <w:p>
      <w:pPr>
        <w:keepLines/>
        <w:tabs>
          <w:tab w:pos="8784" w:val="right" w:leader="dot"/>
        </w:tabs>
        <w:spacing w:after="40" w:line="240" w:lineRule="auto"/>
        <w:ind w:left="360"/>
      </w:pPr>
      <w:hyperlink w:anchor="nav_heading_4_9_Result_summary" w:history="1">
        <w:r>
          <w:rPr>
            <w:noProof/>
          </w:rPr>
          <w:t xml:space="preserve">4.9 Result summary</w:t>
          <w:tab/>
          <w:t>29</w:t>
        </w:r>
      </w:hyperlink>
    </w:p>
    <w:p>
      <w:pPr>
        <w:keepLines/>
        <w:tabs>
          <w:tab w:pos="8784" w:val="right" w:leader="dot"/>
        </w:tabs>
        <w:spacing w:after="40" w:line="240" w:lineRule="auto"/>
        <w:ind w:left="0"/>
      </w:pPr>
      <w:hyperlink w:anchor="nav_heading_Chapter_5_Discussion" w:history="1">
        <w:r>
          <w:rPr>
            <w:noProof/>
          </w:rPr>
          <w:t xml:space="preserve">Chapter 5: Discussion</w:t>
          <w:tab/>
          <w:t>31</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31</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32</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32</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33</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33</w:t>
        </w:r>
      </w:hyperlink>
    </w:p>
    <w:p>
      <w:pPr>
        <w:keepLines/>
        <w:tabs>
          <w:tab w:pos="8784" w:val="right" w:leader="dot"/>
        </w:tabs>
        <w:spacing w:after="40" w:line="240" w:lineRule="auto"/>
        <w:ind w:left="360"/>
      </w:pPr>
      <w:hyperlink w:anchor="nav_heading_5_6_Proposed_assurance_appro" w:history="1">
        <w:r>
          <w:rPr>
            <w:noProof/>
          </w:rPr>
          <w:t xml:space="preserve">5.6 Proposed assurance approach</w:t>
          <w:tab/>
          <w:t>33</w:t>
        </w:r>
      </w:hyperlink>
    </w:p>
    <w:p>
      <w:pPr>
        <w:keepLines/>
        <w:tabs>
          <w:tab w:pos="8784" w:val="right" w:leader="dot"/>
        </w:tabs>
        <w:spacing w:after="40" w:line="240" w:lineRule="auto"/>
        <w:ind w:left="360"/>
      </w:pPr>
      <w:hyperlink w:anchor="nav_heading_5_7_Limitations" w:history="1">
        <w:r>
          <w:rPr>
            <w:noProof/>
          </w:rPr>
          <w:t xml:space="preserve">5.7 Limitations</w:t>
          <w:tab/>
          <w:t>34</w:t>
        </w:r>
      </w:hyperlink>
    </w:p>
    <w:p>
      <w:pPr>
        <w:keepLines/>
        <w:tabs>
          <w:tab w:pos="8784" w:val="right" w:leader="dot"/>
        </w:tabs>
        <w:spacing w:after="40" w:line="240" w:lineRule="auto"/>
        <w:ind w:left="360"/>
      </w:pPr>
      <w:hyperlink w:anchor="nav_heading_5_8_Future_work" w:history="1">
        <w:r>
          <w:rPr>
            <w:noProof/>
          </w:rPr>
          <w:t xml:space="preserve">5.8 Future work</w:t>
          <w:tab/>
          <w:t>35</w:t>
        </w:r>
      </w:hyperlink>
    </w:p>
    <w:p>
      <w:pPr>
        <w:keepLines/>
        <w:tabs>
          <w:tab w:pos="8784" w:val="right" w:leader="dot"/>
        </w:tabs>
        <w:spacing w:after="40" w:line="240" w:lineRule="auto"/>
        <w:ind w:left="0"/>
      </w:pPr>
      <w:hyperlink w:anchor="nav_heading_Chapter_6_Conclusion" w:history="1">
        <w:r>
          <w:rPr>
            <w:noProof/>
          </w:rPr>
          <w:t xml:space="preserve">Chapter 6: Conclusion</w:t>
          <w:tab/>
          <w:t>36</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This dissertation uses </w:t>
      </w:r>
      <w:r>
        <w:rPr>
          <w:b/>
          <w:i w:val="0"/>
        </w:rPr>
        <w:t>faithfulness decoupling</w:t>
      </w:r>
      <w:r>
        <w:t xml:space="preserve"> to describe the risk that an explanation remains available and visually plausible after its supporting data have become stale, without a dependable link between the displayed weights and the evidence that changes the decision. One possible pattern is declining faithfulness while dispatch performance remains stable. The broader problem, however, is whether attention provides reliable assurance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dependable?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training,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is sensitive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The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clean type-matched DEF varies from -0.0009 to +0.0031 across the six selected checkpoints. An LOO perturbation control is larger and positive in every checkpoint. Taxi-only rank agreement with LOO is positive but ranges from 0.088 to 0.699. Attention therefore shows some agreement with a decision-relevant perturbation ranking, but the strength of that agreement is not reproducible across checkpoints. The supporting audit also shows why a uniform random baseline is misleading when request nodes are actions.</w:t>
      </w:r>
    </w:p>
    <w:p>
      <w:pPr>
        <w:widowControl/>
      </w:pPr>
      <w:r>
        <w:t xml:space="preserve">Second, longer outages consistently increase WAMSN. This result appears in all three GAT checkpoints and all three GAT-Outage checkpoints.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checkpoints trained with seeds 42 and 43 but negative for checkpoints trained with seed 44 in both GAT and GAT-Outage. H1 is supported in five of six selected checkpoints, and the within-episode WAMSN-DEF association is supported in all six. However, the direct clean-twin DEF shift is negative for four checkpoints and positive for two. This distinction matters: a within-policy association can be reproducible without giving every trained policy the same response to degradation.</w:t>
      </w:r>
    </w:p>
    <w:p>
      <w:pPr>
        <w:widowControl/>
      </w:pPr>
      <w:r>
        <w:t>The action audit narrows this result further. After decisions with no available request are removed, 93.0% of records still select no-op and only 7.0% dispatch a request. The H1 and H4 patterns found in the combined data are not reproduced within the smaller dispatch stratum. In four of six checkpoints, the sign of the paired DEF change for dispatch decisions also differs from the sign in the combined analysis. The combined result therefore describes the sampled policy distribution; it cannot be presented as a dispatch-action-specific effect.</w:t>
      </w:r>
    </w:p>
    <w:p>
      <w:pPr>
        <w:widowControl/>
      </w:pPr>
      <w:r>
        <w:t>The result is also sensitive to how attention is turned into one explanation. Individual heads can reverse the stale-attention direction within a checkpoint, and changing from the self row to the selected request row mainly improves the checkpoints trained with seed 43. These checks define more precisely why the study does not establish a reliable default explanation.</w:t>
      </w:r>
    </w:p>
    <w:p>
      <w:pPr>
        <w:widowControl/>
      </w:pPr>
      <w:r>
        <w:t>Finally, degradation-aware training does not remove training-seed variation. All selected policies pass the declared stochastic capability and training stability gates. However, a deterministic diagnostic gives zero pickups for all six GAT checkpoints over three held-out episodes each. The learned action distributions can produce useful sampled behavior, but their argmax actions are collapsed to no-op. This limitation narrows the setting in which the explanation response can be interpreted. Taken together, the results do not prove that attention is always unfaithful. They show that attention cannot be assumed trustworthy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40"/>
      </w:pPr>
      <w:r>
        <w:t>an action-stratified diagnostic showing that combined decision statistics do not reliably represent the smaller set of dispatch actions;</w:t>
      </w:r>
    </w:p>
    <w:p>
      <w:pPr>
        <w:pStyle w:val="13"/>
        <w:keepLines/>
        <w:spacing w:after="40"/>
      </w:pPr>
      <w:r>
        <w:t>a freshness-aware explanation assurance approach that turns the findings into release checks for telemetry freshness, action-aware faithfulness, attention aggregation, and independent training runs;</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a sequence of connected stages.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pPr>
        <w:widowControl/>
      </w:pPr>
      <w:r>
        <w:t>MARL offers several ways to represent coordination. MADDPG learns decentralized actors with centralized critics (Lowe et al., 2017). QMIX factorizes a team value into agent values while preserving a monotonic relation to the joint action (Rashid et al., 2020). MAPPO uses the more familiar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universal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attention-based explanation behavior provide consistent evidence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What is not joined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The contribution is therefore an audit protocol and an empirical test, not a new dispatch algorithm. SUMO supplies a controlled simulated state (Lopez et al., 2018). The GAT-MAPPO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self-centered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centralized training and decentralized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p>
      <w:pPr>
        <w:keepLines/>
        <w:ind w:left="504" w:right="504"/>
        <w:jc w:val="left"/>
      </w:pPr>
      <w:r>
        <w:rPr>
          <w:rFonts w:ascii="Courier New" w:hAnsi="Courier New"/>
          <w:sz w:val="18"/>
        </w:rPr>
        <w:t>alpha_j = normalize((1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include periodic snapshots saved every ten epochs, the final snapshot, and a rolling-best snapshot updated when the ten-epoch mean pickup count improves. The implementation records zero-based epoch indices, so index 39 denotes the checkpoint saved after 40 training epochs. Selection uses eight stochastic validation episodes with seed 2026 and mean pickups as the primary criterion; mean reward and the earlier checkpoint index break ties. The test split is not read during selection. The selected checkpoint indices are:</w:t>
      </w:r>
    </w:p>
    <w:p>
      <w:pPr>
        <w:pStyle w:val="12"/>
        <w:keepNext/>
      </w:pPr>
      <w:bookmarkStart w:id="26" w:name="nav_table_Table_3_3"/>
      <w:r>
        <w:rPr>
          <w:b/>
        </w:rPr>
        <w:t>Table 3.3: Validation-selected checkpoint indices (zero-based)</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The shared optimization settings are shown below.</w:t>
      </w:r>
    </w:p>
    <w:p>
      <w:pPr>
        <w:pStyle w:val="12"/>
        <w:keepNext/>
      </w:pPr>
      <w:bookmarkStart w:id="27" w:name="nav_table_Table_3_4"/>
      <w:r>
        <w:rPr>
          <w:b/>
        </w:rPr>
        <w:t>Table 3.4: Shared training and optimization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890"/>
        <w:gridCol w:w="4130"/>
      </w:tblGrid>
      <w:tr>
        <w:trPr>
          <w:cantSplit/>
          <w:tblHeader w:val="true"/>
        </w:trPr>
        <w:tc>
          <w:tcPr>
            <w:tcW w:type="dxa" w:w="489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1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s(G,a) denote either p(G,a) or m(G,a). For explanation subset R_k and a matched random subset B_k:</w:t>
      </w:r>
    </w:p>
    <w:p>
      <w:pPr>
        <w:keepLines/>
        <w:ind w:left="504" w:right="504"/>
        <w:jc w:val="left"/>
      </w:pPr>
      <w:r>
        <w:rPr>
          <w:rFonts w:ascii="Courier New" w:hAnsi="Courier New"/>
          <w:sz w:val="18"/>
        </w:rPr>
        <w:t>Comp(R_k) = s(G,a) - s(G without R_k,a)</w:t>
        <w:br/>
        <w:t>Suff(R_k) = s(G,a) - s(G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confirmatory H1-H4 family and the paired clean-twin comparison use probability DEF, following the declared hypothesis analysis.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normalized_AoI_i)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summarized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350"/>
        <w:gridCol w:w="1100"/>
        <w:gridCol w:w="1500"/>
        <w:gridCol w:w="1250"/>
        <w:gridCol w:w="1600"/>
        <w:gridCol w:w="1220"/>
      </w:tblGrid>
      <w:tr>
        <w:trPr>
          <w:cantSplit/>
          <w:tblHeader w:val="true"/>
        </w:trPr>
        <w:tc>
          <w:tcPr>
            <w:tcW w:type="dxa" w:w="235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Evaluation</w:t>
            </w:r>
          </w:p>
        </w:tc>
        <w:tc>
          <w:tcPr>
            <w:tcW w:type="dxa" w:w="11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 of models</w:t>
            </w:r>
          </w:p>
        </w:tc>
        <w:tc>
          <w:tcPr>
            <w:tcW w:type="dxa" w:w="15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Frozen checkpoints</w:t>
            </w:r>
          </w:p>
        </w:tc>
        <w:tc>
          <w:tcPr>
            <w:tcW w:type="dxa" w:w="12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Telemetry cases</w:t>
            </w:r>
          </w:p>
        </w:tc>
        <w:tc>
          <w:tcPr>
            <w:tcW w:type="dxa" w:w="16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Total</w:t>
            </w:r>
          </w:p>
        </w:tc>
      </w:tr>
      <w:tr>
        <w:trPr>
          <w:cantSplit/>
        </w:trPr>
        <w:tc>
          <w:tcPr>
            <w:tcW w:type="dxa" w:w="235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Clean capability context</w:t>
            </w:r>
          </w:p>
        </w:tc>
        <w:tc>
          <w:tcPr>
            <w:tcW w:type="dxa" w:w="11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w:t>
            </w:r>
          </w:p>
        </w:tc>
        <w:tc>
          <w:tcPr>
            <w:tcW w:type="dxa" w:w="12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w:t>
            </w:r>
          </w:p>
        </w:tc>
        <w:tc>
          <w:tcPr>
            <w:tcW w:type="dxa" w:w="16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216</w:t>
            </w:r>
          </w:p>
        </w:tc>
      </w:tr>
      <w:tr>
        <w:trPr>
          <w:cantSplit/>
        </w:trPr>
        <w:tc>
          <w:tcPr>
            <w:tcW w:type="dxa" w:w="235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Exposure-conditioned faithfulness sweep</w:t>
            </w:r>
          </w:p>
        </w:tc>
        <w:tc>
          <w:tcPr>
            <w:tcW w:type="dxa" w:w="11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w:t>
            </w:r>
          </w:p>
        </w:tc>
        <w:tc>
          <w:tcPr>
            <w:tcW w:type="dxa" w:w="16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1,440</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6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50"/>
        <w:gridCol w:w="2550"/>
        <w:gridCol w:w="2200"/>
        <w:gridCol w:w="3120"/>
      </w:tblGrid>
      <w:tr>
        <w:trPr>
          <w:cantSplit/>
          <w:tblHeader w:val="true"/>
        </w:trPr>
        <w:tc>
          <w:tcPr>
            <w:tcW w:type="dxa" w:w="11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2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primary learned-policy evaluation samples from the policy distribution. This matches training and preserves both no-op and request-dispatch decisions for explanation auditing. A separate descriptive diagnostic evaluates each of the six selected GAT checkpoints by deterministic argmax over three held-out test episodes. This diagnostic is not used for checkpoint selection or the primary capability comparison. It checks whether sampled performance also corresponds to a usable deterministic policy.</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All six sweeps pass these gates.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compared with clean training, degradation-aware training reduces the decline in DEF associated with longer outages and higher WAMSN.</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decision-level p-value alone.</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An exploratory action-stratified audit separates eligible decisions into no-op and dispatch. Decisions with no available request are excluded because no-op is then forced rather than chosen. Within each stratum, records are still averaged by episode before permutation tests or bootstrap intervals are formed. This diagnostic tests whether the combined statistics describe both actions or are driven by the more common action. It was added after the primary analysis and is interpreted descriptively rather than as a new confirmatory hypothesis.</w:t>
      </w:r>
    </w:p>
    <w:p>
      <w:pPr>
        <w:widowControl/>
      </w:pPr>
      <w:r>
        <w:t>The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in versioned run directories. Compact outputs include the summary, performance context, deterministic diagnostic, action-stratified audit, and training-seed synthesis tables. The training-seed synthesis makes consistency across trained policies explicit. Reproduction commands, file locations,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42" w:name="nav_heading_Chapter_4_Results"/>
      <w:r>
        <w:t>Chapter 4: Results</w:t>
      </w:r>
      <w:bookmarkEnd w:id="42"/>
    </w:p>
    <w:p>
      <w:pPr>
        <w:widowControl/>
      </w:pPr>
      <w:r>
        <w:t>The automated preflight audit passed 100 checks covering provenance and protocol requirements. Results are reported by training seed because decisions and episodes from one checkpoint do not constitute independent model replications.</w:t>
      </w:r>
    </w:p>
    <w:p>
      <w:pPr>
        <w:pStyle w:val="3"/>
        <w:keepNext/>
      </w:pPr>
      <w:bookmarkStart w:id="43" w:name="nav_heading_4_1_Policy_capability_and_tr"/>
      <w:r>
        <w:t>4.1 Policy capability and training stability</w:t>
      </w:r>
      <w:bookmarkEnd w:id="43"/>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keepNext/>
        <w:keepLines/>
        <w:spacing w:before="120" w:after="40"/>
        <w:jc w:val="center"/>
      </w:pPr>
      <w:r>
        <w:drawing>
          <wp:inline xmlns:a="http://schemas.openxmlformats.org/drawingml/2006/main" xmlns:pic="http://schemas.openxmlformats.org/drawingml/2006/picture">
            <wp:extent cx="5623560" cy="3733940"/>
            <wp:docPr id="7" name="Picture 7"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8"/>
                    <a:stretch>
                      <a:fillRect/>
                    </a:stretch>
                  </pic:blipFill>
                  <pic:spPr>
                    <a:xfrm>
                      <a:off x="0" y="0"/>
                      <a:ext cx="5623560" cy="3733940"/>
                    </a:xfrm>
                    <a:prstGeom prst="rect"/>
                  </pic:spPr>
                </pic:pic>
              </a:graphicData>
            </a:graphic>
          </wp:inline>
        </w:drawing>
      </w:r>
    </w:p>
    <w:p>
      <w:pPr>
        <w:pStyle w:val="12"/>
        <w:keepLines/>
      </w:pPr>
      <w:bookmarkStart w:id="44" w:name="nav_figure_Figure_4_1"/>
      <w:r>
        <w:t>Figure 4.1. GAT training metrics use a ten-epoch moving mean. Stars mark validation-selected checkpoints. Reward and pickups still vary between epochs, but entropy remains above the collapse threshold and PPO clipping is limited.</w:t>
      </w:r>
      <w:bookmarkEnd w:id="44"/>
    </w:p>
    <w:p>
      <w:pPr>
        <w:widowControl/>
      </w:pPr>
      <w:r>
        <w:t>All nine training runs pass the declared stability gates. The following values describe the final ten training epochs, not the held-out evaluation in Table 4.1. For GAT, the final ten-epoch mean pickups are 13.3, 9.0, and 9.9, and final validation retains 100%, 100%, and 92.6% of the selected validation score. The corresponding GAT-Outage values are 12.4, 14.1, and 13.8 pickups, with validation retention of 100%, 93.9%, and 96.5%. Training metrics still fluctuate across epochs, but no selected checkpoint is a zero-pickup policy under stochastic validation. This statement does not apply to deterministic argmax action selection, reported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under stochastic action sampling. This establishes capability for the sampled policy distributions; it does not show that graph attention caused that capability or that the argmax policy is usable.</w:t>
      </w:r>
    </w:p>
    <w:p>
      <w:pPr>
        <w:widowControl/>
      </w:pPr>
      <w:r>
        <w:t>The audit does not require GAT to outperform MLP; it requires the audited checkpoint's sampled policy distribution to perform above the declared lower bounds. That condition is met. However, MLP has the highest cross-seed mean in this implementation, and the replicate ranges overlap. The experiment therefore does not establish a task-performance advantage for graph attention. This limits how broadly the audit can be generalized, but it does not answer the separate question of whether the exposed attention weights faithfully explain the GAT policies' decisions.</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widowControl/>
      </w:pPr>
      <w:r>
        <w:t>The deterministic diagnostic changes the capability interpretation. All six selected GAT checkpoints choose no-op throughout three held-out episodes, giving 0 pickups in 18 of 18 checkpoint-episodes. Their common mean reward is -46.58 and final pending-request wait is 905.9 seconds. The stochastic results are therefore not evidence of a stable argmax dispatcher. They show that the policy distributions retain enough probability on dispatch actions to produce pickups when sampled.</w:t>
      </w:r>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unlike interventions.</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it is not a separate answer to the primary research question. The reported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therefore shows the clean values and the condition difference separately instead of presenting two visually indistinguishable rows.</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therefore shows some agreement with decision-relevant LOO ordering, while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9" name="Picture 9"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0"/>
                    <a:stretch>
                      <a:fillRect/>
                    </a:stretch>
                  </pic:blipFill>
                  <pic:spPr>
                    <a:xfrm>
                      <a:off x="0" y="0"/>
                      <a:ext cx="5623560" cy="4033091"/>
                    </a:xfrm>
                    <a:prstGeom prst="rect"/>
                  </pic:spPr>
                </pic:pic>
              </a:graphicData>
            </a:graphic>
          </wp:inline>
        </w:drawing>
      </w:r>
    </w:p>
    <w:p>
      <w:pPr>
        <w:pStyle w:val="12"/>
        <w:keepLines/>
      </w:pPr>
      <w:bookmarkStart w:id="51" w:name="nav_figure_Figure_4_3"/>
      <w:r>
        <w:t>Figure 4.3. Top: clean logit-margin DEF. Bottom: 60-second minus clean DEF, multiplied by 10,000, from separate evaluations. Lines join methods for each checkpoint; non-zero changes confirm distinct records.</w:t>
      </w:r>
      <w:bookmarkEnd w:id="51"/>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keepNext/>
        <w:keepLines/>
        <w:spacing w:before="120" w:after="40"/>
        <w:jc w:val="center"/>
      </w:pPr>
      <w:r>
        <w:drawing>
          <wp:inline xmlns:a="http://schemas.openxmlformats.org/drawingml/2006/main" xmlns:pic="http://schemas.openxmlformats.org/drawingml/2006/picture">
            <wp:extent cx="5623560" cy="3797729"/>
            <wp:docPr id="10" name="Picture 10"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1"/>
                    <a:stretch>
                      <a:fillRect/>
                    </a:stretch>
                  </pic:blipFill>
                  <pic:spPr>
                    <a:xfrm>
                      <a:off x="0" y="0"/>
                      <a:ext cx="5623560" cy="3797729"/>
                    </a:xfrm>
                    <a:prstGeom prst="rect"/>
                  </pic:spPr>
                </pic:pic>
              </a:graphicData>
            </a:graphic>
          </wp:inline>
        </w:drawing>
      </w:r>
    </w:p>
    <w:p>
      <w:pPr>
        <w:pStyle w:val="12"/>
        <w:keepLines/>
      </w:pPr>
      <w:bookmarkStart w:id="52" w:name="nav_figure_Figure_4_4"/>
      <w:r>
        <w:t>Figure 4.4. Stale-attention shift multiplied by 1,000. Selecting a layer, head, or rollout rule after seeing the result could reverse the conclusion.</w:t>
      </w:r>
      <w:bookmarkEnd w:id="52"/>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keepNext/>
        <w:keepLines/>
        <w:spacing w:before="120" w:after="40"/>
        <w:jc w:val="center"/>
      </w:pPr>
      <w:r>
        <w:drawing>
          <wp:inline xmlns:a="http://schemas.openxmlformats.org/drawingml/2006/main" xmlns:pic="http://schemas.openxmlformats.org/drawingml/2006/picture">
            <wp:extent cx="5623560" cy="3899355"/>
            <wp:docPr id="11" name="Picture 11"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2"/>
                    <a:stretch>
                      <a:fillRect/>
                    </a:stretch>
                  </pic:blipFill>
                  <pic:spPr>
                    <a:xfrm>
                      <a:off x="0" y="0"/>
                      <a:ext cx="5623560" cy="3899355"/>
                    </a:xfrm>
                    <a:prstGeom prst="rect"/>
                  </pic:spPr>
                </pic:pic>
              </a:graphicData>
            </a:graphic>
          </wp:inline>
        </w:drawing>
      </w:r>
    </w:p>
    <w:p>
      <w:pPr>
        <w:pStyle w:val="12"/>
        <w:keepLines/>
      </w:pPr>
      <w:bookmarkStart w:id="53"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53"/>
    </w:p>
    <w:p>
      <w:pPr>
        <w:pStyle w:val="3"/>
        <w:keepNext/>
      </w:pPr>
      <w:bookmarkStart w:id="54" w:name="nav_heading_4_4_Small_graph_resolution"/>
      <w:r>
        <w:t>4.4 Small-graph resolution</w:t>
      </w:r>
      <w:bookmarkEnd w:id="54"/>
    </w:p>
    <w:p>
      <w:pPr>
        <w:widowControl/>
      </w:pPr>
      <w:r>
        <w:t>The scored graphs usually contain the maximum number of visible nodes.</w:t>
      </w:r>
    </w:p>
    <w:p>
      <w:pPr>
        <w:pStyle w:val="12"/>
        <w:keepNext/>
      </w:pPr>
      <w:bookmarkStart w:id="55" w:name="nav_table_Table_4_4"/>
      <w:r>
        <w:rPr>
          <w:b/>
        </w:rPr>
        <w:t>Table 4.4: Valid node-count distribution in scored graphs</w:t>
      </w:r>
      <w:bookmarkEnd w:id="5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keepNext/>
        <w:keepLines/>
        <w:spacing w:before="120" w:after="40"/>
        <w:jc w:val="center"/>
      </w:pPr>
      <w:r>
        <w:drawing>
          <wp:inline xmlns:a="http://schemas.openxmlformats.org/drawingml/2006/main" xmlns:pic="http://schemas.openxmlformats.org/drawingml/2006/picture">
            <wp:extent cx="5623560" cy="2561961"/>
            <wp:docPr id="12" name="Picture 12"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3"/>
                    <a:stretch>
                      <a:fillRect/>
                    </a:stretch>
                  </pic:blipFill>
                  <pic:spPr>
                    <a:xfrm>
                      <a:off x="0" y="0"/>
                      <a:ext cx="5623560" cy="2561961"/>
                    </a:xfrm>
                    <a:prstGeom prst="rect"/>
                  </pic:spPr>
                </pic:pic>
              </a:graphicData>
            </a:graphic>
          </wp:inline>
        </w:drawing>
      </w:r>
    </w:p>
    <w:p>
      <w:pPr>
        <w:pStyle w:val="12"/>
        <w:keepLines/>
      </w:pPr>
      <w:bookmarkStart w:id="56" w:name="nav_figure_Figure_4_6"/>
      <w:r>
        <w:t>Figure 4.6. Large expected overlap between the explanation and its matched random set reduces the contrast available to DEF, especially at k=3.</w:t>
      </w:r>
      <w:bookmarkEnd w:id="56"/>
    </w:p>
    <w:p>
      <w:pPr>
        <w:pStyle w:val="3"/>
        <w:keepNext/>
      </w:pPr>
      <w:bookmarkStart w:id="57" w:name="nav_heading_4_5_Telemetry_manipulation_a"/>
      <w:r>
        <w:t>4.5 Telemetry manipulation and stale exposure</w:t>
      </w:r>
      <w:bookmarkEnd w:id="57"/>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w:t>
      </w:r>
    </w:p>
    <w:p>
      <w:pPr>
        <w:keepNext/>
        <w:keepLines/>
        <w:spacing w:before="120" w:after="40"/>
        <w:jc w:val="center"/>
      </w:pPr>
      <w:r>
        <w:drawing>
          <wp:inline xmlns:a="http://schemas.openxmlformats.org/drawingml/2006/main" xmlns:pic="http://schemas.openxmlformats.org/drawingml/2006/picture">
            <wp:extent cx="5623560" cy="5471659"/>
            <wp:docPr id="13" name="Picture 13" descr="WAMSN, type-matched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4"/>
                    <a:stretch>
                      <a:fillRect/>
                    </a:stretch>
                  </pic:blipFill>
                  <pic:spPr>
                    <a:xfrm>
                      <a:off x="0" y="0"/>
                      <a:ext cx="5623560" cy="5471659"/>
                    </a:xfrm>
                    <a:prstGeom prst="rect"/>
                  </pic:spPr>
                </pic:pic>
              </a:graphicData>
            </a:graphic>
          </wp:inline>
        </w:drawing>
      </w:r>
    </w:p>
    <w:p>
      <w:pPr>
        <w:pStyle w:val="12"/>
        <w:keepLines/>
      </w:pPr>
      <w:bookmarkStart w:id="58" w:name="nav_figure_Figure_4_7"/>
      <w:r>
        <w:t>Figure 4.7. Longer observation outages increase WAMSN for every policy. DEF changes are much smaller, while pickups remain supporting context rather than the research outcome.</w:t>
      </w:r>
      <w:bookmarkEnd w:id="58"/>
    </w:p>
    <w:p>
      <w:pPr>
        <w:pStyle w:val="3"/>
        <w:keepNext/>
      </w:pPr>
      <w:bookmarkStart w:id="59" w:name="nav_heading_4_6_Exposure_conditioned_pai"/>
      <w:r>
        <w:t>4.6 Exposure-conditioned paired audit</w:t>
      </w:r>
      <w:bookmarkEnd w:id="59"/>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w:t>
      </w:r>
    </w:p>
    <w:p>
      <w:pPr>
        <w:pStyle w:val="12"/>
        <w:keepNext/>
      </w:pPr>
      <w:bookmarkStart w:id="60" w:name="nav_table_Table_4_5"/>
      <w:r>
        <w:rPr>
          <w:b/>
        </w:rPr>
        <w:t>Table 4.5: Exposure-conditioned paired attention and DEF shifts</w:t>
      </w:r>
      <w:bookmarkEnd w:id="6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3042"/>
        <w:gridCol w:w="4023"/>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4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Attention shift [95% CI]</w:t>
            </w:r>
          </w:p>
        </w:tc>
        <w:tc>
          <w:tcPr>
            <w:tcW w:type="dxa" w:w="40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[95% CI]</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+0.004074 [+0.0039, +0.0042]</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-0.0000041 [-0.0000060, -0.0000022]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+0.000208 [+0.0002, +0.0003]</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-0.0000839 [-0.0001892, +0.0000143]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-0.003483 [-0.0036, -0.0034]</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+0.0000092 [+0.0000068, +0.0000116]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+0.003975 [+0.0038, +0.0041]</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-0.0000253 [-0.0000323, -0.0000193]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+0.000959 [+0.0009, +0.0010]</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-0.0000114 [-0.0000343, +0.0000061]</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-0.003038 [-0.0031, -0.0029]</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+0.0000172 [+0.0000135, +0.0000212]</w:t>
            </w:r>
          </w:p>
        </w:tc>
      </w:tr>
    </w:tbl>
    <w:p>
      <w:pPr>
        <w:keepNext/>
        <w:keepLines/>
        <w:spacing w:before="120" w:after="40"/>
        <w:jc w:val="center"/>
      </w:pPr>
      <w:r>
        <w:drawing>
          <wp:inline xmlns:a="http://schemas.openxmlformats.org/drawingml/2006/main" xmlns:pic="http://schemas.openxmlformats.org/drawingml/2006/picture">
            <wp:extent cx="5623560" cy="2680961"/>
            <wp:docPr id="14" name="Picture 14"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5"/>
                    <a:stretch>
                      <a:fillRect/>
                    </a:stretch>
                  </pic:blipFill>
                  <pic:spPr>
                    <a:xfrm>
                      <a:off x="0" y="0"/>
                      <a:ext cx="5623560" cy="2680961"/>
                    </a:xfrm>
                    <a:prstGeom prst="rect"/>
                  </pic:spPr>
                </pic:pic>
              </a:graphicData>
            </a:graphic>
          </wp:inline>
        </w:drawing>
      </w:r>
    </w:p>
    <w:p>
      <w:pPr>
        <w:pStyle w:val="12"/>
        <w:keepLines/>
      </w:pPr>
      <w:bookmarkStart w:id="61"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61"/>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directionally heterogeneous.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62" w:name="nav_heading_4_7_Action_stratified_diagno"/>
      <w:r>
        <w:t>4.7 Action-stratified diagnostic</w:t>
      </w:r>
      <w:bookmarkEnd w:id="62"/>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w:t>
      </w:r>
    </w:p>
    <w:p>
      <w:pPr>
        <w:pStyle w:val="12"/>
        <w:keepNext/>
      </w:pPr>
      <w:bookmarkStart w:id="63" w:name="nav_table_Table_4_6"/>
      <w:r>
        <w:rPr>
          <w:b/>
        </w:rPr>
        <w:t>Table 4.6: Action composition and dispatch-stratified DEF diagnostic</w:t>
      </w:r>
      <w:bookmarkEnd w:id="6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950"/>
        <w:gridCol w:w="950"/>
        <w:gridCol w:w="1900"/>
        <w:gridCol w:w="35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selected dispatch probability</w:t>
            </w:r>
          </w:p>
        </w:tc>
        <w:tc>
          <w:tcPr>
            <w:tcW w:type="dxa" w:w="35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dispatch DEF shift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0.0000000 [0.0000000, 0.0000000]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-0.0020358 [-0.0032488, -0.0008371]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-0.0000011 [-0.0000029, 0.0000000]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+0.0000088 [+0.0000047, +0.0000131]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-0.0004403 [-0.0008368, -0.0001285]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-0.0000044 [-0.0000092, +0.0000004]</w:t>
            </w:r>
          </w:p>
        </w:tc>
      </w:tr>
    </w:tbl>
    <w:p>
      <w:pPr>
        <w:keepNext/>
        <w:keepLines/>
        <w:spacing w:before="120" w:after="40"/>
        <w:jc w:val="center"/>
      </w:pPr>
      <w:r>
        <w:drawing>
          <wp:inline xmlns:a="http://schemas.openxmlformats.org/drawingml/2006/main" xmlns:pic="http://schemas.openxmlformats.org/drawingml/2006/picture">
            <wp:extent cx="5623560" cy="2674344"/>
            <wp:docPr id="15" name="Picture 15" descr="Action-stratified faithfulness diagnostic"/>
            <wp:cNvGraphicFramePr>
              <a:graphicFrameLocks noChangeAspect="1"/>
            </wp:cNvGraphicFramePr>
            <a:graphic>
              <a:graphicData uri="http://schemas.openxmlformats.org/drawingml/2006/picture">
                <pic:pic>
                  <pic:nvPicPr>
                    <pic:cNvPr id="0" name="v9_action_stratified_faithfulness.png"/>
                    <pic:cNvPicPr/>
                  </pic:nvPicPr>
                  <pic:blipFill>
                    <a:blip r:embed="rId56"/>
                    <a:stretch>
                      <a:fillRect/>
                    </a:stretch>
                  </pic:blipFill>
                  <pic:spPr>
                    <a:xfrm>
                      <a:off x="0" y="0"/>
                      <a:ext cx="5623560" cy="2674344"/>
                    </a:xfrm>
                    <a:prstGeom prst="rect"/>
                  </pic:spPr>
                </pic:pic>
              </a:graphicData>
            </a:graphic>
          </wp:inline>
        </w:drawing>
      </w:r>
    </w:p>
    <w:p>
      <w:pPr>
        <w:pStyle w:val="12"/>
        <w:keepLines/>
      </w:pPr>
      <w:bookmarkStart w:id="64" w:name="nav_figure_Figure_4_9"/>
      <w:r>
        <w:t>Figure 4.9. Left: eligible action composition for each checkpoint. Right: paired degraded-minus-clean probability DEF for all eligible decisions, chosen no-op actions, and dispatch actions. Error bars are 95% episode-block bootstrap intervals.</w:t>
      </w:r>
      <w:bookmarkEnd w:id="64"/>
    </w:p>
    <w:p>
      <w:pPr>
        <w:widowControl/>
      </w:pPr>
      <w:r>
        <w:t>The no-op stratum closely follows the combined result because it supplies most records. The dispatch stratum does not reproduce the combined H1 trend in any checkpoint (p = 0.44-1.00), and it provides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law for dispatch decisions. It shows that the combined H1 and H4 findings should not be generalized to dispatch actions.</w:t>
      </w:r>
    </w:p>
    <w:p>
      <w:pPr>
        <w:pStyle w:val="3"/>
        <w:keepNext/>
      </w:pPr>
      <w:bookmarkStart w:id="65" w:name="nav_heading_4_8_Faithfulness_hypotheses"/>
      <w:r>
        <w:t>4.8 Faithfulness hypotheses</w:t>
      </w:r>
      <w:bookmarkEnd w:id="65"/>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w:t>
      </w:r>
    </w:p>
    <w:p>
      <w:pPr>
        <w:keepNext/>
        <w:keepLines/>
        <w:spacing w:before="120" w:after="40"/>
        <w:jc w:val="center"/>
      </w:pPr>
      <w:r>
        <w:drawing>
          <wp:inline xmlns:a="http://schemas.openxmlformats.org/drawingml/2006/main" xmlns:pic="http://schemas.openxmlformats.org/drawingml/2006/picture">
            <wp:extent cx="5623560" cy="3099630"/>
            <wp:docPr id="16" name="Picture 16"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7"/>
                    <a:stretch>
                      <a:fillRect/>
                    </a:stretch>
                  </pic:blipFill>
                  <pic:spPr>
                    <a:xfrm>
                      <a:off x="0" y="0"/>
                      <a:ext cx="5623560" cy="3099630"/>
                    </a:xfrm>
                    <a:prstGeom prst="rect"/>
                  </pic:spPr>
                </pic:pic>
              </a:graphicData>
            </a:graphic>
          </wp:inline>
        </w:drawing>
      </w:r>
    </w:p>
    <w:p>
      <w:pPr>
        <w:pStyle w:val="12"/>
        <w:keepLines/>
      </w:pPr>
      <w:bookmarkStart w:id="66" w:name="nav_figure_Figure_4_10"/>
      <w:r>
        <w:t>Figure 4.10. All checkpoints have a negative within-episode WAMSN-DEF association after Holm correction; the direct paired effect remains mixed.</w:t>
      </w:r>
      <w:bookmarkEnd w:id="66"/>
    </w:p>
    <w:p>
      <w:pPr>
        <w:pStyle w:val="12"/>
        <w:keepNext/>
      </w:pPr>
      <w:bookmarkStart w:id="67" w:name="nav_table_Table_4_7"/>
      <w:r>
        <w:rPr>
          <w:b/>
        </w:rPr>
        <w:t>Table 4.7: Hypothesis outcomes across training seeds</w:t>
      </w:r>
      <w:bookmarkEnd w:id="6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122"/>
        <w:gridCol w:w="1387"/>
        <w:gridCol w:w="1873"/>
        <w:gridCol w:w="2638"/>
      </w:tblGrid>
      <w:tr>
        <w:trPr>
          <w:cantSplit/>
          <w:tblHeader w:val="true"/>
        </w:trPr>
        <w:tc>
          <w:tcPr>
            <w:tcW w:type="dxa" w:w="31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87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63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reduces the adverse DEF relationships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retained as exploratory because clean DEF is close to zero and the relative-rate formulation is unstable.</w:t>
      </w:r>
    </w:p>
    <w:p>
      <w:pPr>
        <w:pStyle w:val="3"/>
        <w:keepNext/>
      </w:pPr>
      <w:bookmarkStart w:id="68" w:name="nav_heading_4_9_Result_summary"/>
      <w:r>
        <w:t>4.9 Result summary</w:t>
      </w:r>
      <w:bookmarkEnd w:id="68"/>
    </w:p>
    <w:p>
      <w:pPr>
        <w:widowControl/>
      </w:pPr>
      <w:r>
        <w:t>The experiment establishes three points. First, longer outages reliably increase stale-data exposure. Second, higher exposure is associated with lower DEF within episodes, but the direct paired change in attention and DEF reverses for seed 44. Third, 30-second outage training does not remove this seed dependence. The action-stratified audit further shows that combined associations are dominated by no-op decisions and do not reproduce for dispatch actions. The supported conclusion is therefore not that degradation has one fixed effect. It is that raw attention does not provide a reproducible freshness or faithfulness guarantee across independently trained policies.</w:t>
      </w:r>
    </w:p>
    <w:p>
      <w:pPr>
        <w:pStyle w:val="2"/>
        <w:keepNext/>
      </w:pPr>
      <w:bookmarkStart w:id="69" w:name="nav_heading_Chapter_5_Discussion"/>
      <w:r>
        <w:t>Chapter 5: Discussion</w:t>
      </w:r>
      <w:bookmarkEnd w:id="69"/>
    </w:p>
    <w:p>
      <w:pPr>
        <w:pStyle w:val="3"/>
        <w:keepNext/>
      </w:pPr>
      <w:bookmarkStart w:id="70" w:name="nav_heading_5_1_Answer_to_the_central_pr"/>
      <w:r>
        <w:t>5.1 Answer to the central problem</w:t>
      </w:r>
      <w:bookmarkEnd w:id="70"/>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Raw attention is not shown to provide a stable assurance of freshness or decision relevance.</w:t>
      </w:r>
    </w:p>
    <w:p>
      <w:pPr>
        <w:widowControl/>
      </w:pPr>
      <w:r>
        <w:t>This answer does not depend on one p-value. Longer outages increase stale-data exposure, and within-policy tests usually associate that exposure with lower DEF. The direct clean-twin comparison is less uniform: attention reallocation and paired DEF shift have the expected directions for checkpoints trained with seeds 42 and 43, but both directions reverse for checkpoints trained with seed 44 under both training regimes. The measured effects are also small.</w:t>
      </w:r>
    </w:p>
    <w:p>
      <w:pPr>
        <w:widowControl/>
      </w:pPr>
      <w:r>
        <w:t>The action-stratified diagnostic prevents a broader interpretation. Chosen no-op actions account for 93.0% of eligible decisions, and the combined H1 and H4 patterns are not reproduced among dispatch actions. Four checkpoints also change paired-DEF direction between the combined and dispatch strata. The primary statistics therefore characterize the sampled action mixture, not a universal explanation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37354"/>
            <wp:docPr id="17" name="Picture 17"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58"/>
                    <a:stretch>
                      <a:fillRect/>
                    </a:stretch>
                  </pic:blipFill>
                  <pic:spPr>
                    <a:xfrm>
                      <a:off x="0" y="0"/>
                      <a:ext cx="5623560" cy="3137354"/>
                    </a:xfrm>
                    <a:prstGeom prst="rect"/>
                  </pic:spPr>
                </pic:pic>
              </a:graphicData>
            </a:graphic>
          </wp:inline>
        </w:drawing>
      </w:r>
    </w:p>
    <w:p>
      <w:pPr>
        <w:pStyle w:val="12"/>
        <w:keepLines/>
      </w:pPr>
      <w:bookmarkStart w:id="71" w:name="nav_figure_Figure_5_1"/>
      <w:r>
        <w:t>Figure 5.1. The evidence separates capability, evaluator validity, stale exposure, attention response, and decision relevance. These are not treated as one causal chain.</w:t>
      </w:r>
      <w:bookmarkEnd w:id="71"/>
    </w:p>
    <w:p>
      <w:pPr>
        <w:pStyle w:val="3"/>
        <w:keepNext/>
      </w:pPr>
      <w:bookmarkStart w:id="72" w:name="nav_heading_5_2_What_the_stale_exposure_"/>
      <w:r>
        <w:t>5.2 What the stale-exposure result means</w:t>
      </w:r>
      <w:bookmarkEnd w:id="72"/>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paired intervention therefore answer different questions and should remain separate.</w:t>
      </w:r>
    </w:p>
    <w:p>
      <w:pPr>
        <w:pStyle w:val="3"/>
        <w:keepNext/>
      </w:pPr>
      <w:bookmarkStart w:id="73" w:name="nav_heading_5_3_Dependence_on_checkpoint"/>
      <w:r>
        <w:t>5.3 Dependence on checkpoint and analysis choice</w:t>
      </w:r>
      <w:bookmarkEnd w:id="73"/>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not a variance decomposition or evidence that the seed value itself causes the response.</w:t>
      </w:r>
    </w:p>
    <w:p>
      <w:pPr>
        <w:widowControl/>
      </w:pPr>
      <w:r>
        <w:t>The paired probability-DEF effects are small enough that their practical importance should not be overstated. Reading all six estimates as operationally close to zero is a reasonable challenge. The evidence against a dependable explanation is not a large universal decrease; it is that even these small changes reverse direction across independently trained checkpoints, while the raw clean-telemetry DEF is already near its matched control. The study therefore supports a lack of reproducible assurance, not a claim of large degradation damage.</w:t>
      </w:r>
    </w:p>
    <w:p>
      <w:pPr>
        <w:widowControl/>
      </w:pPr>
      <w:r>
        <w:t>The aggregation audit reveals a second problem. Individual heads can reverse the sign within the same checkpoint. The six checkpoint ranges extend from -0.0109 to +0.0089 across the tested reductions.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This does not support the claim that one query-row change generally corrects near-zero or negative DEF. An operator-facing attention map needs a declared and tested rule for choosing its query, layer, and heads.</w:t>
      </w:r>
    </w:p>
    <w:p>
      <w:pPr>
        <w:widowControl/>
      </w:pPr>
      <w:r>
        <w:t>The deterministic diagnostic reveals a related policy limitation. All six GAT checkpoints choose no-op in all 18 argmax episode evaluations, although their sampled policies outperform the declared lower bounds. This does not invalidate the faithfulness calculations for the actions actually sampled. It does mean that the experiment audits stochastic policy decisions and does not establish a deployable deterministic dispatcher. The assurance process should therefore report action composition and deterministic behavior before an attention map is exposed to an operator.</w:t>
      </w:r>
    </w:p>
    <w:p>
      <w:pPr>
        <w:pStyle w:val="3"/>
        <w:keepNext/>
      </w:pPr>
      <w:bookmarkStart w:id="74" w:name="nav_heading_5_4_Role_of_the_construct_va"/>
      <w:r>
        <w:t>5.4 Role of the construct-validity audit</w:t>
      </w:r>
      <w:bookmarkEnd w:id="74"/>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is partial evidence of decision relevance, not a stable default assurance.</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75" w:name="nav_heading_5_5_Degradation_aware_traini"/>
      <w:r>
        <w:t>5.5 Degradation-aware training</w:t>
      </w:r>
      <w:bookmarkEnd w:id="75"/>
    </w:p>
    <w:p>
      <w:pPr>
        <w:widowControl/>
      </w:pPr>
      <w:r>
        <w:t>Training with 30-second outages does not solve the explanation problem. GAT-Outage retains the same seed-dependent attention and paired DEF directions as GAT. It strengthens the H1 and H4 associations, but does not make the direct degraded-minus-clean response consistent across independently trained policies.</w:t>
      </w:r>
    </w:p>
    <w:p>
      <w:pPr>
        <w:widowControl/>
      </w:pPr>
      <w:r>
        <w:t>This does not show that all robustness training is ineffective. The reward contains no term for explanation stability or faithfulness, so task-reward optimization alone is not designed to align attention with a human explanation. A future intervention would need an explicit explanation objective and evaluation on independently trained models.</w:t>
      </w:r>
    </w:p>
    <w:p>
      <w:pPr>
        <w:pStyle w:val="3"/>
        <w:keepNext/>
      </w:pPr>
      <w:bookmarkStart w:id="76" w:name="nav_heading_5_6_Proposed_assurance_appro"/>
      <w:r>
        <w:t>5.6 Proposed assurance approach</w:t>
      </w:r>
      <w:bookmarkEnd w:id="76"/>
    </w:p>
    <w:p>
      <w:pPr>
        <w:widowControl/>
      </w:pPr>
      <w:r>
        <w:t xml:space="preserve">The thesis responds to the identified risk with a </w:t>
      </w:r>
      <w:r>
        <w:rPr>
          <w:b/>
          <w:i w:val="0"/>
        </w:rPr>
        <w:t>freshness-aware explanation assurance approach</w:t>
      </w:r>
      <w:r>
        <w:t>. It does not change the trained policy or claim to make attention faithful. Instead, it provides a release process that reduces the risk of presenting an unsupported attention map as a trustworthy explanation. Table 5.1 links each observed risk to the required evidence and release rule.</w:t>
      </w:r>
    </w:p>
    <w:p>
      <w:pPr>
        <w:pStyle w:val="12"/>
        <w:keepNext/>
        <w:pageBreakBefore/>
      </w:pPr>
      <w:bookmarkStart w:id="77" w:name="nav_table_Table_5_1"/>
      <w:r>
        <w:rPr>
          <w:b/>
        </w:rPr>
        <w:t>Table 5.1: Freshness-aware explanation assurance approach</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Assurance measure</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 used</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Release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strata</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stratified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release checkpoint</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Cross-seed synthesis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bl>
    <w:p>
      <w:pPr>
        <w:widowControl/>
      </w:pPr>
      <w:r>
        <w:t>The process is sequential: report freshness and action composition separately; run the action-aware audit; predeclare and test the attention extraction rule; audit every candidate checkpoint; and require a consistent conclusion across independent training runs. A failure at any stage keeps the attention map as an internal diagnostic.</w:t>
      </w:r>
    </w:p>
    <w:p>
      <w:pPr>
        <w:widowControl/>
      </w:pPr>
      <w:r>
        <w:t>Sampled dispatch performance provides capability context, but it cannot show that the displayed reason is current or decision-relevant.</w:t>
      </w:r>
    </w:p>
    <w:p>
      <w:pPr>
        <w:widowControl/>
      </w:pPr>
      <w:r>
        <w:t>This is a risk-control and validation solution, not a model-level cure for faithfulness decoupling. A model-level intervention would require an explicit explanation objective and independent evaluation, as discussed in Section 5.8.</w:t>
      </w:r>
    </w:p>
    <w:p>
      <w:pPr>
        <w:pStyle w:val="3"/>
        <w:keepNext/>
      </w:pPr>
      <w:bookmarkStart w:id="78" w:name="nav_heading_5_7_Limitations"/>
      <w:r>
        <w:t>5.7 Limitations</w:t>
      </w:r>
      <w:bookmarkEnd w:id="78"/>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are sufficient to reveal heterogeneity, but not to estimate a population distribution of training outcomes. The selected policies pass the training stability gates and their stochastic evaluations outperform random and greedy lower bounds. However, every selected GAT checkpoint collapses to no-op under the small deterministic diagnostic. The study therefore does not establish deterministic deployment capability and does not isolate the contribution of graph edges to sampled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scenario-design bias.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79" w:name="nav_heading_5_8_Future_work"/>
      <w:r>
        <w:t>5.8 Future work</w:t>
      </w:r>
      <w:bookmarkEnd w:id="79"/>
    </w:p>
    <w:p>
      <w:pPr>
        <w:widowControl/>
      </w:pPr>
      <w:r>
        <w:t>Future experiments should add training seeds and use multiple road networks, demand levels, tunnel placements, and public mobility traces. A randomized telemetry-loss control would help distinguish a general stale-node effect from one produced by tunnel location.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80" w:name="nav_heading_Chapter_6_Conclusion"/>
      <w:r>
        <w:t>Chapter 6: Conclusion</w:t>
      </w:r>
      <w:bookmarkEnd w:id="80"/>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central answer is clear: </w:t>
      </w:r>
      <w:r>
        <w:rPr>
          <w:b/>
          <w:i w:val="0"/>
        </w:rPr>
        <w:t>this experiment does not validate raw graph-attention weights as dependable explanations under clean or degraded telemetry</w:t>
      </w:r>
      <w:r>
        <w:t>. This is not a claim that every attention map is wrong. It means that attention cannot be assumed trustworthy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-0.0009 to +0.0031 across checkpoints. LOO gives a larger positive result for all six checkpoints, while taxi-only attention-LOO rank correlation ranges from +0.088 to +0.699.</w:t>
      </w:r>
    </w:p>
    <w:p>
      <w:pPr>
        <w:pStyle w:val="13"/>
        <w:keepLines/>
        <w:spacing w:after="40"/>
      </w:pPr>
      <w:r>
        <w:rPr>
          <w:b/>
          <w:i w:val="0"/>
        </w:rPr>
        <w:t>RQ2: Does attention move toward stale vehicle nodes?</w:t>
      </w:r>
      <w:r>
        <w:t xml:space="preserve"> Not consistently. The declared aggregation moves toward stale nodes for checkpoints trained with seeds 42 and 43 and away from them for checkpoints trained with seed 44 under both training regimes. Individual heads can reverse the direction within one checkpoint.</w:t>
      </w:r>
    </w:p>
    <w:p>
      <w:pPr>
        <w:pStyle w:val="13"/>
        <w:keepLines/>
        <w:spacing w:after="40"/>
      </w:pPr>
      <w:r>
        <w:rPr>
          <w:b/>
          <w:i w:val="0"/>
        </w:rPr>
        <w:t>RQ3: Does the explanation remain dependable as outage duration increases?</w:t>
      </w:r>
      <w:r>
        <w:t xml:space="preserve"> No cross-policy guarantee is found. H1 is supported in five of six selected checkpoints and H4 in all six, but the direct paired DEF shift is negative for four checkpoints and positive for two. The effect is small and reverses for the checkpoints trained with seed 44. Moreover, 93.0% of eligible decisions are no-op, and the H1/H4 patterns are not reproduced in the dispatch stratum.</w:t>
      </w:r>
    </w:p>
    <w:p>
      <w:pPr>
        <w:pStyle w:val="13"/>
        <w:keepLines/>
        <w:spacing w:after="120"/>
      </w:pPr>
      <w:r>
        <w:rPr>
          <w:b/>
          <w:i w:val="0"/>
        </w:rPr>
        <w:t>RQ4: Does degradation-aware training improve explanation reliability?</w:t>
      </w:r>
      <w:r>
        <w:t xml:space="preserve"> No consistent mitigation is observed. GAT-Outage retains the same seed-dependent paired direction as GAT.</w:t>
      </w:r>
    </w:p>
    <w:p>
      <w:pPr>
        <w:widowControl/>
      </w:pPr>
      <w:r>
        <w:t>The construct-validity audit is essential to this interpretation.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is therefore based on several checks rather than one near-zero number.</w:t>
      </w:r>
    </w:p>
    <w:p>
      <w:pPr>
        <w:widowControl/>
      </w:pPr>
      <w:r>
        <w:t>The capability evidence also has a clear boundary. Sampled policies outperform the basic lower bounds, but all six GAT checkpoints choose no-op in 18 of 18 deterministic diagnostic episodes. The study audits explanations for sampled stochastic actions; it does not demonstrate a deployable argmax dispatcher.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thesis addresses this gap with a freshness-aware explanation assurance approach. It separates freshness and action composition from attention, uses action-aware and type-matched tests, checks the attention extraction rule, audits every candidate checkpoint, and requires consistency across independent training runs. Stable dispatch output is not an explanation test.</w:t>
      </w:r>
    </w:p>
    <w:p>
      <w:pPr>
        <w:widowControl/>
      </w:pPr>
      <w:r>
        <w:t>The approach controls operational risk; it does not claim to remove faithfulness decoupling from the model. Attention remains an internal diagnostic unless the full assurance process provides consistent evidence.</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in the version-controlled results directory identified in that guide.</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