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When Explanations Outlive Their Data: Faithfulness Decoupling in Graph-Attention Multi-Agent Reinforcement Learning for Fleet Dispatch under Telemetry Degradation</w:t>
      </w:r>
    </w:p>
    <w:p>
      <w:pPr>
        <w:pStyle w:val="Subtitle"/>
      </w:pPr>
      <w:r>
        <w:t xml:space="preserve">MSc Dissertation — De Montfort University, Dubai · Supervisor: Farhan Ujager</w:t>
      </w:r>
    </w:p>
    <w:p>
      <w:pPr>
        <w:pStyle w:val="Author"/>
      </w:pPr>
      <w:r>
        <w:t xml:space="preserve">Hongwei Lin (P2982757@my365.dmu.ac.uk)</w:t>
      </w:r>
    </w:p>
    <w:p>
      <w:pPr>
        <w:pStyle w:val="Date"/>
      </w:pPr>
      <w:r>
        <w:t xml:space="preserve">Working draft — 19 July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Graph-attention multi-agent reinforcement learning (GAT-MARL) is</w:t>
      </w:r>
      <w:r>
        <w:t xml:space="preserve"> </w:t>
      </w:r>
      <w:r>
        <w:t xml:space="preserve">increasingly used for fleet dispatch, and its attention weights are</w:t>
      </w:r>
      <w:r>
        <w:t xml:space="preserve"> </w:t>
      </w:r>
      <w:r>
        <w:t xml:space="preserve">routinely surfaced on operator dashboards as built-in explanations of</w:t>
      </w:r>
      <w:r>
        <w:t xml:space="preserve"> </w:t>
      </w:r>
      <w:r>
        <w:t xml:space="preserve">dispatch decisions. In real operations the telemetry feeding such</w:t>
      </w:r>
      <w:r>
        <w:t xml:space="preserve"> </w:t>
      </w:r>
      <w:r>
        <w:t xml:space="preserve">systems degrades — vehicles entering tunnels lose GPS and V2X signal —</w:t>
      </w:r>
      <w:r>
        <w:t xml:space="preserve"> </w:t>
      </w:r>
      <w:r>
        <w:t xml:space="preserve">so the data behind an explanation can be stale precisely when operators</w:t>
      </w:r>
      <w:r>
        <w:t xml:space="preserve"> </w:t>
      </w:r>
      <w:r>
        <w:t xml:space="preserve">most need to trust it. This dissertation asks whether attention-based</w:t>
      </w:r>
      <w:r>
        <w:t xml:space="preserve"> </w:t>
      </w:r>
      <w:r>
        <w:t xml:space="preserve">explanations remain faithful as telemetry ages, formalising the risk as</w:t>
      </w:r>
      <w:r>
        <w:t xml:space="preserve"> </w:t>
      </w:r>
      <w:r>
        <w:rPr>
          <w:i/>
          <w:iCs/>
        </w:rPr>
        <w:t xml:space="preserve">faithfulness decoupling</w:t>
      </w:r>
      <w:r>
        <w:t xml:space="preserve">: explanations that outlive their data.</w:t>
      </w:r>
    </w:p>
    <w:p>
      <w:pPr>
        <w:pStyle w:val="BodyText"/>
      </w:pPr>
      <w:r>
        <w:t xml:space="preserve">A reproducible benchmark is built: a SUMO simulation of a tunnel-rich</w:t>
      </w:r>
      <w:r>
        <w:t xml:space="preserve"> </w:t>
      </w:r>
      <w:r>
        <w:t xml:space="preserve">district of Chongqing with a 20-taxi fleet, a GAT-MAPPO dispatcher, a</w:t>
      </w:r>
      <w:r>
        <w:t xml:space="preserve"> </w:t>
      </w:r>
      <w:r>
        <w:t xml:space="preserve">freeze-semantics degradation layer parameterised by maximum Age of</w:t>
      </w:r>
      <w:r>
        <w:t xml:space="preserve"> </w:t>
      </w:r>
      <w:r>
        <w:t xml:space="preserve">Information (AoI), and a per-decision faithfulness protocol (DEF,</w:t>
      </w:r>
      <w:r>
        <w:t xml:space="preserve"> </w:t>
      </w:r>
      <w:r>
        <w:t xml:space="preserve">occlusion-based; WAMSN, attention mass on stale nodes) with exact</w:t>
      </w:r>
      <w:r>
        <w:t xml:space="preserve"> </w:t>
      </w:r>
      <w:r>
        <w:t xml:space="preserve">paired clean/degraded observations.</w:t>
      </w:r>
    </w:p>
    <w:p>
      <w:pPr>
        <w:pStyle w:val="BodyText"/>
      </w:pPr>
      <w:r>
        <w:t xml:space="preserve">Three findings emerge. First, the built-in attention channel carries no</w:t>
      </w:r>
      <w:r>
        <w:t xml:space="preserve"> </w:t>
      </w:r>
      <w:r>
        <w:t xml:space="preserve">measurable decision-relevant information even on clean telemetry: an</w:t>
      </w:r>
      <w:r>
        <w:t xml:space="preserve"> </w:t>
      </w:r>
      <w:r>
        <w:t xml:space="preserve">apparent</w:t>
      </w:r>
      <w:r>
        <w:t xml:space="preserve"> </w:t>
      </w:r>
      <w:r>
        <w:t xml:space="preserve">“worse than random”</w:t>
      </w:r>
      <w:r>
        <w:t xml:space="preserve"> </w:t>
      </w:r>
      <w:r>
        <w:t xml:space="preserve">faithfulness score (margin-DEF −0.55) is</w:t>
      </w:r>
      <w:r>
        <w:t xml:space="preserve"> </w:t>
      </w:r>
      <w:r>
        <w:t xml:space="preserve">shown, via a construct-validity audit, to be 98 % a protocol artifact —</w:t>
      </w:r>
      <w:r>
        <w:t xml:space="preserve"> </w:t>
      </w:r>
      <w:r>
        <w:t xml:space="preserve">in candidate-action architectures, occluding a reservation node deletes</w:t>
      </w:r>
      <w:r>
        <w:t xml:space="preserve"> </w:t>
      </w:r>
      <w:r>
        <w:t xml:space="preserve">the corresponding action, and uniform random baselines are</w:t>
      </w:r>
      <w:r>
        <w:t xml:space="preserve"> </w:t>
      </w:r>
      <w:r>
        <w:t xml:space="preserve">systematically inflated. Under a composition-matched baseline the</w:t>
      </w:r>
      <w:r>
        <w:t xml:space="preserve"> </w:t>
      </w:r>
      <w:r>
        <w:t xml:space="preserve">channel scores ≈0 across every capability level, architecture variant,</w:t>
      </w:r>
      <w:r>
        <w:t xml:space="preserve"> </w:t>
      </w:r>
      <w:r>
        <w:t xml:space="preserve">and training seed tested. Second, under staleness the explanation’s</w:t>
      </w:r>
      <w:r>
        <w:t xml:space="preserve"> </w:t>
      </w:r>
      <w:r>
        <w:t xml:space="preserve">content silently shifts onto stale nodes (WAMSN 0→0.013, p = 10⁻⁴,</w:t>
      </w:r>
      <w:r>
        <w:t xml:space="preserve"> </w:t>
      </w:r>
      <w:r>
        <w:t xml:space="preserve">cluster-robust) while neither faithfulness nor task performance</w:t>
      </w:r>
      <w:r>
        <w:t xml:space="preserve"> </w:t>
      </w:r>
      <w:r>
        <w:t xml:space="preserve">responds — the operational hazard in its purest form. Third, neither</w:t>
      </w:r>
      <w:r>
        <w:t xml:space="preserve"> </w:t>
      </w:r>
      <w:r>
        <w:t xml:space="preserve">mitigation tested restores faithfulness: degradation-aware training has</w:t>
      </w:r>
      <w:r>
        <w:t xml:space="preserve"> </w:t>
      </w:r>
      <w:r>
        <w:t xml:space="preserve">no effect in either direction, while an occlusion-distilled decoupled</w:t>
      </w:r>
      <w:r>
        <w:t xml:space="preserve"> </w:t>
      </w:r>
      <w:r>
        <w:t xml:space="preserve">explanation head yields a modest, significant improvement on clean data</w:t>
      </w:r>
      <w:r>
        <w:t xml:space="preserve"> </w:t>
      </w:r>
      <w:r>
        <w:t xml:space="preserve">only (+0.023, p = 10⁻⁴).</w:t>
      </w:r>
    </w:p>
    <w:p>
      <w:pPr>
        <w:pStyle w:val="BodyText"/>
      </w:pPr>
      <w:r>
        <w:t xml:space="preserve">Beyond the empirical verdicts, the work contributes the artifact</w:t>
      </w:r>
      <w:r>
        <w:t xml:space="preserve"> </w:t>
      </w:r>
      <w:r>
        <w:t xml:space="preserve">characterisation itself — a warning applicable to any explainable-RL</w:t>
      </w:r>
      <w:r>
        <w:t xml:space="preserve"> </w:t>
      </w:r>
      <w:r>
        <w:t xml:space="preserve">system whose explanation units double as action candidates — together</w:t>
      </w:r>
      <w:r>
        <w:t xml:space="preserve"> </w:t>
      </w:r>
      <w:r>
        <w:t xml:space="preserve">with an open, seed-pinned benchmark and audit trail.</w:t>
      </w:r>
    </w:p>
    <w:bookmarkEnd w:id="9"/>
    <w:bookmarkStart w:id="16" w:name="introduction"/>
    <w:p>
      <w:pPr>
        <w:pStyle w:val="Heading1"/>
      </w:pPr>
      <w:r>
        <w:t xml:space="preserve">1. Introduction</w:t>
      </w:r>
    </w:p>
    <w:bookmarkStart w:id="10" w:name="Xcca4abfe865e0d7645e805ca290cfb0eb70ed62"/>
    <w:p>
      <w:pPr>
        <w:pStyle w:val="Heading2"/>
      </w:pPr>
      <w:r>
        <w:t xml:space="preserve">1.1 Context: explanations as an operational interface</w:t>
      </w:r>
    </w:p>
    <w:p>
      <w:pPr>
        <w:pStyle w:val="FirstParagraph"/>
      </w:pPr>
      <w:r>
        <w:t xml:space="preserve">Modern ride-hailing and logistics platforms increasingly delegate</w:t>
      </w:r>
      <w:r>
        <w:t xml:space="preserve"> </w:t>
      </w:r>
      <w:r>
        <w:t xml:space="preserve">dispatch decisions to multi-agent reinforcement learning (MARL).</w:t>
      </w:r>
      <w:r>
        <w:t xml:space="preserve"> </w:t>
      </w:r>
      <w:r>
        <w:t xml:space="preserve">Because dispatch is inherently relational — vehicles interact through</w:t>
      </w:r>
      <w:r>
        <w:t xml:space="preserve"> </w:t>
      </w:r>
      <w:r>
        <w:t xml:space="preserve">shared road space, competing demand, and nearby peers — graph neural</w:t>
      </w:r>
      <w:r>
        <w:t xml:space="preserve"> </w:t>
      </w:r>
      <w:r>
        <w:t xml:space="preserve">encoders, and graph attention networks (GAT) in particular, have become</w:t>
      </w:r>
      <w:r>
        <w:t xml:space="preserve"> </w:t>
      </w:r>
      <w:r>
        <w:t xml:space="preserve">a natural architectural choice [6], [7]. GAT-based dispatchers carry an</w:t>
      </w:r>
      <w:r>
        <w:t xml:space="preserve"> </w:t>
      </w:r>
      <w:r>
        <w:t xml:space="preserve">attractive by-product: per-decision attention distributions over</w:t>
      </w:r>
      <w:r>
        <w:t xml:space="preserve"> </w:t>
      </w:r>
      <w:r>
        <w:t xml:space="preserve">neighbouring vehicles and candidate orders, which platforms surface on</w:t>
      </w:r>
      <w:r>
        <w:t xml:space="preserve"> </w:t>
      </w:r>
      <w:r>
        <w:t xml:space="preserve">operator dashboards as</w:t>
      </w:r>
      <w:r>
        <w:t xml:space="preserve"> </w:t>
      </w:r>
      <w:r>
        <w:rPr>
          <w:i/>
          <w:iCs/>
        </w:rPr>
        <w:t xml:space="preserve">explanations</w:t>
      </w:r>
      <w:r>
        <w:t xml:space="preserve"> </w:t>
      </w:r>
      <w:r>
        <w:t xml:space="preserve">of why a vehicle was assigned to</w:t>
      </w:r>
      <w:r>
        <w:t xml:space="preserve"> </w:t>
      </w:r>
      <w:r>
        <w:t xml:space="preserve">an order. The practice mirrors the broader habit, inherited from the</w:t>
      </w:r>
      <w:r>
        <w:t xml:space="preserve"> </w:t>
      </w:r>
      <w:r>
        <w:t xml:space="preserve">Transformer literature [9], of reading attention as a window into model</w:t>
      </w:r>
      <w:r>
        <w:t xml:space="preserve"> </w:t>
      </w:r>
      <w:r>
        <w:t xml:space="preserve">reasoning.</w:t>
      </w:r>
    </w:p>
    <w:p>
      <w:pPr>
        <w:pStyle w:val="BodyText"/>
      </w:pPr>
      <w:r>
        <w:t xml:space="preserve">Whether that window shows anything real is contested. Jain and Wallace</w:t>
      </w:r>
      <w:r>
        <w:t xml:space="preserve"> </w:t>
      </w:r>
      <w:r>
        <w:t xml:space="preserve">demonstrated that attention is often uncorrelated with gradient-based</w:t>
      </w:r>
      <w:r>
        <w:t xml:space="preserve"> </w:t>
      </w:r>
      <w:r>
        <w:t xml:space="preserve">importance and can be perturbed without changing predictions [12];</w:t>
      </w:r>
      <w:r>
        <w:t xml:space="preserve"> </w:t>
      </w:r>
      <w:r>
        <w:t xml:space="preserve">subsequent work argued the verdict depends on how faithfulness is</w:t>
      </w:r>
      <w:r>
        <w:t xml:space="preserve"> </w:t>
      </w:r>
      <w:r>
        <w:t xml:space="preserve">defined and tested [13], [14], [17]. This debate, however, has been</w:t>
      </w:r>
      <w:r>
        <w:t xml:space="preserve"> </w:t>
      </w:r>
      <w:r>
        <w:t xml:space="preserve">conducted almost entirely on clean, static NLP data. Operational fleet</w:t>
      </w:r>
      <w:r>
        <w:t xml:space="preserve"> </w:t>
      </w:r>
      <w:r>
        <w:t xml:space="preserve">telemetry is neither clean nor static.</w:t>
      </w:r>
    </w:p>
    <w:bookmarkEnd w:id="10"/>
    <w:bookmarkStart w:id="11" w:name="Xa552a8e3d77b6a2416d005f669b2292a1303625"/>
    <w:p>
      <w:pPr>
        <w:pStyle w:val="Heading2"/>
      </w:pPr>
      <w:r>
        <w:t xml:space="preserve">1.2 The problem: explanations that outlive their data</w:t>
      </w:r>
    </w:p>
    <w:p>
      <w:pPr>
        <w:pStyle w:val="FirstParagraph"/>
      </w:pPr>
      <w:r>
        <w:t xml:space="preserve">Fleet telemetry — GPS position, velocity, occupancy — degrades in</w:t>
      </w:r>
      <w:r>
        <w:t xml:space="preserve"> </w:t>
      </w:r>
      <w:r>
        <w:t xml:space="preserve">structured, physically grounded ways. A vehicle entering a tunnel stops</w:t>
      </w:r>
      <w:r>
        <w:t xml:space="preserve"> </w:t>
      </w:r>
      <w:r>
        <w:t xml:space="preserve">transmitting; every consumer of its state, human or model, continues to</w:t>
      </w:r>
      <w:r>
        <w:t xml:space="preserve"> </w:t>
      </w:r>
      <w:r>
        <w:t xml:space="preserve">act on the last received reading while its Age of Information (AoI)</w:t>
      </w:r>
      <w:r>
        <w:t xml:space="preserve"> </w:t>
      </w:r>
      <w:r>
        <w:t xml:space="preserve">[21] grows. If an attention-based explanation continues to look</w:t>
      </w:r>
      <w:r>
        <w:t xml:space="preserve"> </w:t>
      </w:r>
      <w:r>
        <w:t xml:space="preserve">plausible and confident while the data behind it ages, the explanation</w:t>
      </w:r>
      <w:r>
        <w:t xml:space="preserve"> </w:t>
      </w:r>
      <w:r>
        <w:rPr>
          <w:i/>
          <w:iCs/>
        </w:rPr>
        <w:t xml:space="preserve">outlives its data</w:t>
      </w:r>
      <w:r>
        <w:t xml:space="preserve">: it offers accountability theatre precisely in the</w:t>
      </w:r>
      <w:r>
        <w:t xml:space="preserve"> </w:t>
      </w:r>
      <w:r>
        <w:t xml:space="preserve">conditions — degraded, congested, abnormal — where operators most need</w:t>
      </w:r>
      <w:r>
        <w:t xml:space="preserve"> </w:t>
      </w:r>
      <w:r>
        <w:t xml:space="preserve">genuine insight. This dissertation names the risk</w:t>
      </w:r>
      <w:r>
        <w:t xml:space="preserve"> </w:t>
      </w:r>
      <w:r>
        <w:rPr>
          <w:b/>
          <w:bCs/>
        </w:rPr>
        <w:t xml:space="preserve">faithfulness</w:t>
      </w:r>
      <w:r>
        <w:rPr>
          <w:b/>
          <w:bCs/>
        </w:rPr>
        <w:t xml:space="preserve"> </w:t>
      </w:r>
      <w:r>
        <w:rPr>
          <w:b/>
          <w:bCs/>
        </w:rPr>
        <w:t xml:space="preserve">decoupling</w:t>
      </w:r>
      <w:r>
        <w:t xml:space="preserve">: the hypothesised phenomenon in which explanation</w:t>
      </w:r>
      <w:r>
        <w:t xml:space="preserve"> </w:t>
      </w:r>
      <w:r>
        <w:t xml:space="preserve">faithfulness degrades faster than task performance as telemetry ages,</w:t>
      </w:r>
      <w:r>
        <w:t xml:space="preserve"> </w:t>
      </w:r>
      <w:r>
        <w:t xml:space="preserve">so neither the dashboard nor the KPIs warn the operator that the</w:t>
      </w:r>
      <w:r>
        <w:t xml:space="preserve"> </w:t>
      </w:r>
      <w:r>
        <w:t xml:space="preserve">explanation has gone bad.</w:t>
      </w:r>
    </w:p>
    <w:bookmarkEnd w:id="11"/>
    <w:bookmarkStart w:id="12" w:name="research-questions"/>
    <w:p>
      <w:pPr>
        <w:pStyle w:val="Heading2"/>
      </w:pPr>
      <w:r>
        <w:t xml:space="preserve">1.3 Research questions</w:t>
      </w:r>
    </w:p>
    <w:p>
      <w:pPr>
        <w:pStyle w:val="FirstParagraph"/>
      </w:pPr>
      <w:r>
        <w:t xml:space="preserve">The study is organised around four questions, formalised in the</w:t>
      </w:r>
      <w:r>
        <w:t xml:space="preserve"> </w:t>
      </w:r>
      <w:r>
        <w:t xml:space="preserve">research proposal and answered in full in Chapters 4–5: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RQ1a.</w:t>
      </w:r>
      <w:r>
        <w:t xml:space="preserve"> </w:t>
      </w:r>
      <w:r>
        <w:t xml:space="preserve">Are attention-based explanations reasonably faithful on</w:t>
      </w:r>
      <w:r>
        <w:t xml:space="preserve"> </w:t>
      </w:r>
      <w:r>
        <w:t xml:space="preserve">clean telemetry to begin with?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RQ1.</w:t>
      </w:r>
      <w:r>
        <w:t xml:space="preserve"> </w:t>
      </w:r>
      <w:r>
        <w:t xml:space="preserve">How does explanation faithfulness change as telemetry</w:t>
      </w:r>
      <w:r>
        <w:t xml:space="preserve"> </w:t>
      </w:r>
      <w:r>
        <w:t xml:space="preserve">degradation increases?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RQ2.</w:t>
      </w:r>
      <w:r>
        <w:t xml:space="preserve"> </w:t>
      </w:r>
      <w:r>
        <w:t xml:space="preserve">Does faithfulness degrade faster than dispatch performance</w:t>
      </w:r>
      <w:r>
        <w:t xml:space="preserve"> </w:t>
      </w:r>
      <w:r>
        <w:t xml:space="preserve">(faithfulness decoupling)?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RQ3.</w:t>
      </w:r>
      <w:r>
        <w:t xml:space="preserve"> </w:t>
      </w:r>
      <w:r>
        <w:t xml:space="preserve">What mechanisms drive the change — in particular, does</w:t>
      </w:r>
      <w:r>
        <w:t xml:space="preserve"> </w:t>
      </w:r>
      <w:r>
        <w:t xml:space="preserve">attention increasingly concentrate on stale telemetry?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RQ4.</w:t>
      </w:r>
      <w:r>
        <w:t xml:space="preserve"> </w:t>
      </w:r>
      <w:r>
        <w:t xml:space="preserve">Can telemetry-awareness mitigate the effect?</w:t>
      </w:r>
    </w:p>
    <w:p>
      <w:pPr>
        <w:pStyle w:val="FirstParagraph"/>
      </w:pPr>
      <w:r>
        <w:t xml:space="preserve">Five preregistered hypotheses (H1–H5, Chapter 3) operationalise these</w:t>
      </w:r>
      <w:r>
        <w:t xml:space="preserve"> </w:t>
      </w:r>
      <w:r>
        <w:t xml:space="preserve">questions. The proposal deliberately included a reinterpretation</w:t>
      </w:r>
      <w:r>
        <w:t xml:space="preserve"> </w:t>
      </w:r>
      <w:r>
        <w:t xml:space="preserve">clause:</w:t>
      </w:r>
      <w:r>
        <w:t xml:space="preserve"> </w:t>
      </w:r>
      <w:r>
        <w:rPr>
          <w:i/>
          <w:iCs/>
        </w:rPr>
        <w:t xml:space="preserve">if clean-data faithfulness is itself near zero, decoupling is</w:t>
      </w:r>
      <w:r>
        <w:rPr>
          <w:i/>
          <w:iCs/>
        </w:rPr>
        <w:t xml:space="preserve"> </w:t>
      </w:r>
      <w:r>
        <w:rPr>
          <w:i/>
          <w:iCs/>
        </w:rPr>
        <w:t xml:space="preserve">reinterpreted accordingly</w:t>
      </w:r>
      <w:r>
        <w:t xml:space="preserve">. That clause turned out to govern the entire</w:t>
      </w:r>
      <w:r>
        <w:t xml:space="preserve"> </w:t>
      </w:r>
      <w:r>
        <w:t xml:space="preserve">story.</w:t>
      </w:r>
    </w:p>
    <w:bookmarkEnd w:id="12"/>
    <w:bookmarkStart w:id="13" w:name="X93eef768d954f91765a9f5d9f49442dfbebb5dc"/>
    <w:p>
      <w:pPr>
        <w:pStyle w:val="Heading2"/>
      </w:pPr>
      <w:r>
        <w:t xml:space="preserve">1.4 What the study found — and how the findings changed shape</w:t>
      </w:r>
    </w:p>
    <w:p>
      <w:pPr>
        <w:pStyle w:val="FirstParagraph"/>
      </w:pPr>
      <w:r>
        <w:t xml:space="preserve">Three results, in the order they were established: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built-in explanation channel is uninformative from the start</w:t>
      </w:r>
      <w:r>
        <w:rPr>
          <w:b/>
          <w:bCs/>
        </w:rPr>
        <w:t xml:space="preserve"> </w:t>
      </w:r>
      <w:r>
        <w:rPr>
          <w:b/>
          <w:bCs/>
        </w:rPr>
        <w:t xml:space="preserve">(RQ1a).</w:t>
      </w:r>
      <w:r>
        <w:t xml:space="preserve"> </w:t>
      </w:r>
      <w:r>
        <w:t xml:space="preserve">Under the standard occlusion protocol the attention channel</w:t>
      </w:r>
      <w:r>
        <w:t xml:space="preserve"> </w:t>
      </w:r>
      <w:r>
        <w:t xml:space="preserve">of a trained GAT-MAPPO dispatcher scores</w:t>
      </w:r>
      <w:r>
        <w:t xml:space="preserve"> </w:t>
      </w:r>
      <w:r>
        <w:rPr>
          <w:i/>
          <w:iCs/>
        </w:rPr>
        <w:t xml:space="preserve">worse than random</w:t>
      </w:r>
      <w:r>
        <w:t xml:space="preserve"> </w:t>
      </w:r>
      <w:r>
        <w:t xml:space="preserve">(margin-DEF −0.54). A construct-validity audit — prompted by a</w:t>
      </w:r>
      <w:r>
        <w:t xml:space="preserve"> </w:t>
      </w:r>
      <w:r>
        <w:t xml:space="preserve">mock-review question — showed 98 % of that deficit to be a protocol</w:t>
      </w:r>
      <w:r>
        <w:t xml:space="preserve"> </w:t>
      </w:r>
      <w:r>
        <w:t xml:space="preserve">artifact: in an architecture where explanation nodes double as action</w:t>
      </w:r>
      <w:r>
        <w:t xml:space="preserve"> </w:t>
      </w:r>
      <w:r>
        <w:t xml:space="preserve">candidates, occluding a reservation node deletes the corresponding</w:t>
      </w:r>
      <w:r>
        <w:t xml:space="preserve"> </w:t>
      </w:r>
      <w:r>
        <w:t xml:space="preserve">action, and uniform random baselines trip this mechanism far more</w:t>
      </w:r>
      <w:r>
        <w:t xml:space="preserve"> </w:t>
      </w:r>
      <w:r>
        <w:t xml:space="preserve">often than attention’s top-k does. Under a composition-matched</w:t>
      </w:r>
      <w:r>
        <w:t xml:space="preserve"> </w:t>
      </w:r>
      <w:r>
        <w:t xml:space="preserve">baseline the channel scores ≈0 — across every capability level,</w:t>
      </w:r>
      <w:r>
        <w:t xml:space="preserve"> </w:t>
      </w:r>
      <w:r>
        <w:t xml:space="preserve">architecture variant, and training seed tested. The honest verdict is</w:t>
      </w:r>
      <w:r>
        <w:t xml:space="preserve"> </w:t>
      </w:r>
      <w:r>
        <w:rPr>
          <w:i/>
          <w:iCs/>
        </w:rPr>
        <w:t xml:space="preserve">uninformative, not anti-informative</w:t>
      </w:r>
      <w:r>
        <w:t xml:space="preserve">; the artifact characterisation</w:t>
      </w:r>
      <w:r>
        <w:t xml:space="preserve"> </w:t>
      </w:r>
      <w:r>
        <w:t xml:space="preserve">itself became a methodological contribution.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Under staleness, the explanation drifts silently (RQ1–RQ3).</w:t>
      </w:r>
      <w:r>
        <w:t xml:space="preserve"> </w:t>
      </w:r>
      <w:r>
        <w:t xml:space="preserve">Attention mass shifts onto stale nodes as soon as staleness exists</w:t>
      </w:r>
      <w:r>
        <w:t xml:space="preserve"> </w:t>
      </w:r>
      <w:r>
        <w:t xml:space="preserve">(WAMSN 0→0.013; cluster-robust p = 10⁻⁴), and within episodes the</w:t>
      </w:r>
      <w:r>
        <w:t xml:space="preserve"> </w:t>
      </w:r>
      <w:r>
        <w:t xml:space="preserve">decisions that attend most to stale nodes are the least faithful</w:t>
      </w:r>
      <w:r>
        <w:t xml:space="preserve"> </w:t>
      </w:r>
      <w:r>
        <w:t xml:space="preserve">(negative correlation in 89 % of episodes). Meanwhile neither the</w:t>
      </w:r>
      <w:r>
        <w:t xml:space="preserve"> </w:t>
      </w:r>
      <w:r>
        <w:t xml:space="preserve">faithfulness score (already at its floor) nor task performance</w:t>
      </w:r>
      <w:r>
        <w:t xml:space="preserve"> </w:t>
      </w:r>
      <w:r>
        <w:t xml:space="preserve">(statistically flat) moves — no observable signal warns that the</w:t>
      </w:r>
      <w:r>
        <w:t xml:space="preserve"> </w:t>
      </w:r>
      <w:r>
        <w:t xml:space="preserve">explanation’s content has changed.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tested mitigation restores faithfulness (RQ4).</w:t>
      </w:r>
      <w:r>
        <w:t xml:space="preserve"> </w:t>
      </w:r>
      <w:r>
        <w:t xml:space="preserve">Degradation-aware training leaves the channel exactly as</w:t>
      </w:r>
      <w:r>
        <w:t xml:space="preserve"> </w:t>
      </w:r>
      <w:r>
        <w:t xml:space="preserve">uninformative as clean training, across three seeds. An</w:t>
      </w:r>
      <w:r>
        <w:t xml:space="preserve"> </w:t>
      </w:r>
      <w:r>
        <w:t xml:space="preserve">occlusion-distilled</w:t>
      </w:r>
      <w:r>
        <w:t xml:space="preserve"> </w:t>
      </w:r>
      <w:r>
        <w:rPr>
          <w:i/>
          <w:iCs/>
        </w:rPr>
        <w:t xml:space="preserve">decoupled</w:t>
      </w:r>
      <w:r>
        <w:t xml:space="preserve"> </w:t>
      </w:r>
      <w:r>
        <w:t xml:space="preserve">explanation head — the only channel</w:t>
      </w:r>
      <w:r>
        <w:t xml:space="preserve"> </w:t>
      </w:r>
      <w:r>
        <w:t xml:space="preserve">to score above the fair random baseline — improves faithfulness</w:t>
      </w:r>
      <w:r>
        <w:t xml:space="preserve"> </w:t>
      </w:r>
      <w:r>
        <w:t xml:space="preserve">modestly and significantly on clean data (+0.023, p = 10⁻⁴) but</w:t>
      </w:r>
      <w:r>
        <w:t xml:space="preserve"> </w:t>
      </w:r>
      <w:r>
        <w:t xml:space="preserve">undetectably under degradation.</w:t>
      </w:r>
    </w:p>
    <w:bookmarkEnd w:id="13"/>
    <w:bookmarkStart w:id="14" w:name="contributions"/>
    <w:p>
      <w:pPr>
        <w:pStyle w:val="Heading2"/>
      </w:pPr>
      <w:r>
        <w:t xml:space="preserve">1.5 Contributions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C1.</w:t>
      </w:r>
      <w:r>
        <w:t xml:space="preserve"> </w:t>
      </w:r>
      <w:r>
        <w:t xml:space="preserve">Among the first empirical studies of explanation faithfulness</w:t>
      </w:r>
      <w:r>
        <w:t xml:space="preserve"> </w:t>
      </w:r>
      <w:r>
        <w:t xml:space="preserve">under telemetry degradation in GAT-MARL fleet dispatch, with all five</w:t>
      </w:r>
      <w:r>
        <w:t xml:space="preserve"> </w:t>
      </w:r>
      <w:r>
        <w:t xml:space="preserve">preregistered hypotheses resolved under cluster-robust statistics.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C2.</w:t>
      </w:r>
      <w:r>
        <w:t xml:space="preserve"> </w:t>
      </w:r>
      <w:r>
        <w:t xml:space="preserve">The DEF protocol for dispatch explanations — and, beyond the</w:t>
      </w:r>
      <w:r>
        <w:t xml:space="preserve"> </w:t>
      </w:r>
      <w:r>
        <w:t xml:space="preserve">proposal, the demonstration that ERASER-style occlusion baselines are</w:t>
      </w:r>
      <w:r>
        <w:t xml:space="preserve"> </w:t>
      </w:r>
      <w:r>
        <w:t xml:space="preserve">systematically confounded in candidate-action architectures, together</w:t>
      </w:r>
      <w:r>
        <w:t xml:space="preserve"> </w:t>
      </w:r>
      <w:r>
        <w:t xml:space="preserve">with two practical controls (composition-matched baselines; protected</w:t>
      </w:r>
      <w:r>
        <w:t xml:space="preserve"> </w:t>
      </w:r>
      <w:r>
        <w:t xml:space="preserve">chosen-action nodes).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C3.</w:t>
      </w:r>
      <w:r>
        <w:t xml:space="preserve"> </w:t>
      </w:r>
      <w:r>
        <w:t xml:space="preserve">WAMSN, a graded measure of explanation reliance on stale</w:t>
      </w:r>
      <w:r>
        <w:t xml:space="preserve"> </w:t>
      </w:r>
      <w:r>
        <w:t xml:space="preserve">telemetry, with an operational reading (conditional exposure and</w:t>
      </w:r>
      <w:r>
        <w:t xml:space="preserve"> </w:t>
      </w:r>
      <w:r>
        <w:t xml:space="preserve">top-k membership statistics).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C4.</w:t>
      </w:r>
      <w:r>
        <w:t xml:space="preserve"> </w:t>
      </w:r>
      <w:r>
        <w:t xml:space="preserve">Mechanistic evidence for the silent-drift phenomenon: the</w:t>
      </w:r>
      <w:r>
        <w:t xml:space="preserve"> </w:t>
      </w:r>
      <w:r>
        <w:t xml:space="preserve">AoI → attention-shift link is robust, while the predicted downstream</w:t>
      </w:r>
      <w:r>
        <w:t xml:space="preserve"> </w:t>
      </w:r>
      <w:r>
        <w:t xml:space="preserve">faithfulness decline is blocked by a floor effect that is itself the</w:t>
      </w:r>
      <w:r>
        <w:t xml:space="preserve"> </w:t>
      </w:r>
      <w:r>
        <w:t xml:space="preserve">central finding.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C5.</w:t>
      </w:r>
      <w:r>
        <w:t xml:space="preserve"> </w:t>
      </w:r>
      <w:r>
        <w:t xml:space="preserve">Evidence that neither training-side nor architecture-side</w:t>
      </w:r>
      <w:r>
        <w:t xml:space="preserve"> </w:t>
      </w:r>
      <w:r>
        <w:t xml:space="preserve">mitigation restores faithful explanation under degradation — sharpening</w:t>
      </w:r>
      <w:r>
        <w:t xml:space="preserve"> </w:t>
      </w:r>
      <w:r>
        <w:t xml:space="preserve">the open problem rather than closing it.</w:t>
      </w:r>
    </w:p>
    <w:p>
      <w:pPr>
        <w:pStyle w:val="Compact"/>
        <w:numPr>
          <w:ilvl w:val="0"/>
          <w:numId w:val="1003"/>
        </w:numPr>
      </w:pPr>
      <w:r>
        <w:t xml:space="preserve">A fully reproducible benchmark: seed-pinned SUMO scenarios, versioned</w:t>
      </w:r>
      <w:r>
        <w:t xml:space="preserve"> </w:t>
      </w:r>
      <w:r>
        <w:t xml:space="preserve">manifests, committed checkpoints, and an audited deviations register.</w:t>
      </w:r>
    </w:p>
    <w:bookmarkEnd w:id="14"/>
    <w:bookmarkStart w:id="15" w:name="thesis-structure"/>
    <w:p>
      <w:pPr>
        <w:pStyle w:val="Heading2"/>
      </w:pPr>
      <w:r>
        <w:t xml:space="preserve">1.6 Thesis structure</w:t>
      </w:r>
    </w:p>
    <w:p>
      <w:pPr>
        <w:pStyle w:val="FirstParagraph"/>
      </w:pPr>
      <w:r>
        <w:t xml:space="preserve">Chapter 2 reviews the three literatures this work joins (RL dispatch,</w:t>
      </w:r>
      <w:r>
        <w:t xml:space="preserve"> </w:t>
      </w:r>
      <w:r>
        <w:t xml:space="preserve">attention faithfulness, AoI). Chapter 3 details the benchmark,</w:t>
      </w:r>
      <w:r>
        <w:t xml:space="preserve"> </w:t>
      </w:r>
      <w:r>
        <w:t xml:space="preserve">degradation framework, metrics, audit instruments, and statistical</w:t>
      </w:r>
      <w:r>
        <w:t xml:space="preserve"> </w:t>
      </w:r>
      <w:r>
        <w:t xml:space="preserve">methodology. Chapter 4 reports results as a three-act narrative</w:t>
      </w:r>
      <w:r>
        <w:t xml:space="preserve"> </w:t>
      </w:r>
      <w:r>
        <w:t xml:space="preserve">mirroring the discovery order. Chapter 5 discusses implications,</w:t>
      </w:r>
      <w:r>
        <w:t xml:space="preserve"> </w:t>
      </w:r>
      <w:r>
        <w:t xml:space="preserve">limitations, and the generality of the occlusion artifact. Chapter 6</w:t>
      </w:r>
      <w:r>
        <w:t xml:space="preserve"> </w:t>
      </w:r>
      <w:r>
        <w:t xml:space="preserve">concludes. Appendix A is the deviations register mapping every departure</w:t>
      </w:r>
      <w:r>
        <w:t xml:space="preserve"> </w:t>
      </w:r>
      <w:r>
        <w:t xml:space="preserve">from the proposal to its rationale.</w:t>
      </w:r>
    </w:p>
    <w:bookmarkEnd w:id="15"/>
    <w:bookmarkEnd w:id="16"/>
    <w:bookmarkStart w:id="22" w:name="literature-review"/>
    <w:p>
      <w:pPr>
        <w:pStyle w:val="Heading1"/>
      </w:pPr>
      <w:r>
        <w:t xml:space="preserve">2. Literature review</w:t>
      </w:r>
    </w:p>
    <w:p>
      <w:pPr>
        <w:pStyle w:val="FirstParagraph"/>
      </w:pPr>
      <w:r>
        <w:t xml:space="preserve">This work sits at the intersection of three literatures that have not</w:t>
      </w:r>
      <w:r>
        <w:t xml:space="preserve"> </w:t>
      </w:r>
      <w:r>
        <w:t xml:space="preserve">previously met: reinforcement learning for fleet dispatch, the</w:t>
      </w:r>
      <w:r>
        <w:t xml:space="preserve"> </w:t>
      </w:r>
      <w:r>
        <w:t xml:space="preserve">faithfulness of attention-based explanations, and the Age of</w:t>
      </w:r>
      <w:r>
        <w:t xml:space="preserve"> </w:t>
      </w:r>
      <w:r>
        <w:t xml:space="preserve">Information. Each is reviewed for what it contributes and for the</w:t>
      </w:r>
      <w:r>
        <w:t xml:space="preserve"> </w:t>
      </w:r>
      <w:r>
        <w:t xml:space="preserve">assumption this dissertation removes.</w:t>
      </w:r>
    </w:p>
    <w:bookmarkStart w:id="17" w:name="Xc5951070f730af04732fafde25310e22bef7f34"/>
    <w:p>
      <w:pPr>
        <w:pStyle w:val="Heading2"/>
      </w:pPr>
      <w:r>
        <w:t xml:space="preserve">2.1 Reinforcement learning for fleet dispatch</w:t>
      </w:r>
    </w:p>
    <w:p>
      <w:pPr>
        <w:pStyle w:val="FirstParagraph"/>
      </w:pPr>
      <w:r>
        <w:t xml:space="preserve">Lin et al. framed city-scale fleet management as a contextual</w:t>
      </w:r>
      <w:r>
        <w:t xml:space="preserve"> </w:t>
      </w:r>
      <w:r>
        <w:t xml:space="preserve">multi-agent RL problem and demonstrated strong gains on real ride-hailing</w:t>
      </w:r>
      <w:r>
        <w:t xml:space="preserve"> </w:t>
      </w:r>
      <w:r>
        <w:t xml:space="preserve">data [1]; surveys confirm RL as the state of the art for ridesharing</w:t>
      </w:r>
      <w:r>
        <w:t xml:space="preserve"> </w:t>
      </w:r>
      <w:r>
        <w:t xml:space="preserve">operations [2]. Because dispatch couples agents through shared roads</w:t>
      </w:r>
      <w:r>
        <w:t xml:space="preserve"> </w:t>
      </w:r>
      <w:r>
        <w:t xml:space="preserve">and demand, cooperative MARL methods dominate: MADDPG [3], value</w:t>
      </w:r>
      <w:r>
        <w:t xml:space="preserve"> </w:t>
      </w:r>
      <w:r>
        <w:t xml:space="preserve">factorisation in QMIX [4], and — the backbone adopted here — MAPPO,</w:t>
      </w:r>
      <w:r>
        <w:t xml:space="preserve"> </w:t>
      </w:r>
      <w:r>
        <w:t xml:space="preserve">whose combination of parameter sharing and centralised training /</w:t>
      </w:r>
      <w:r>
        <w:t xml:space="preserve"> </w:t>
      </w:r>
      <w:r>
        <w:t xml:space="preserve">decentralised execution (CTDE) is simple and empirically strong [5].</w:t>
      </w:r>
    </w:p>
    <w:p>
      <w:pPr>
        <w:pStyle w:val="BodyText"/>
      </w:pPr>
      <w:r>
        <w:t xml:space="preserve">Two formulations recur.</w:t>
      </w:r>
      <w:r>
        <w:t xml:space="preserve"> </w:t>
      </w:r>
      <w:r>
        <w:rPr>
          <w:i/>
          <w:iCs/>
        </w:rPr>
        <w:t xml:space="preserve">Centralised</w:t>
      </w:r>
      <w:r>
        <w:t xml:space="preserve"> </w:t>
      </w:r>
      <w:r>
        <w:t xml:space="preserve">dispatch computes a global</w:t>
      </w:r>
      <w:r>
        <w:t xml:space="preserve"> </w:t>
      </w:r>
      <w:r>
        <w:t xml:space="preserve">vehicle–order matching each step;</w:t>
      </w:r>
      <w:r>
        <w:t xml:space="preserve"> </w:t>
      </w:r>
      <w:r>
        <w:rPr>
          <w:i/>
          <w:iCs/>
        </w:rPr>
        <w:t xml:space="preserve">decentralised</w:t>
      </w:r>
      <w:r>
        <w:t xml:space="preserve"> </w:t>
      </w:r>
      <w:r>
        <w:t xml:space="preserve">dispatch lets each</w:t>
      </w:r>
      <w:r>
        <w:t xml:space="preserve"> </w:t>
      </w:r>
      <w:r>
        <w:t xml:space="preserve">idle vehicle choose independently whether to accept a nearby order</w:t>
      </w:r>
      <w:r>
        <w:t xml:space="preserve"> </w:t>
      </w:r>
      <w:r>
        <w:t xml:space="preserve">[1]. This work adopts the decentralised formulation for a reason</w:t>
      </w:r>
      <w:r>
        <w:t xml:space="preserve"> </w:t>
      </w:r>
      <w:r>
        <w:t xml:space="preserve">specific to its explanation focus (elaborated in §3.2): a per-agent</w:t>
      </w:r>
      <w:r>
        <w:t xml:space="preserve"> </w:t>
      </w:r>
      <w:r>
        <w:t xml:space="preserve">graph makes every attention distribution correspond one-to-one to a</w:t>
      </w:r>
      <w:r>
        <w:t xml:space="preserve"> </w:t>
      </w:r>
      <w:r>
        <w:t xml:space="preserve">single vehicle’s decision, so faithfulness can be evaluated per</w:t>
      </w:r>
      <w:r>
        <w:t xml:space="preserve"> </w:t>
      </w:r>
      <w:r>
        <w:t xml:space="preserve">decision rather than on an aggregate dispatcher output.</w:t>
      </w:r>
    </w:p>
    <w:p>
      <w:pPr>
        <w:pStyle w:val="BodyText"/>
      </w:pPr>
      <w:r>
        <w:t xml:space="preserve">Graph structure enters through graph neural networks [6]; graph</w:t>
      </w:r>
      <w:r>
        <w:t xml:space="preserve"> </w:t>
      </w:r>
      <w:r>
        <w:rPr>
          <w:i/>
          <w:iCs/>
        </w:rPr>
        <w:t xml:space="preserve">attention</w:t>
      </w:r>
      <w:r>
        <w:t xml:space="preserve"> </w:t>
      </w:r>
      <w:r>
        <w:t xml:space="preserve">networks [7] additionally learn a per-node weighting that</w:t>
      </w:r>
      <w:r>
        <w:t xml:space="preserve"> </w:t>
      </w:r>
      <w:r>
        <w:t xml:space="preserve">attention-based MARL such as MAAC exploits for inter-agent reasoning</w:t>
      </w:r>
      <w:r>
        <w:t xml:space="preserve"> </w:t>
      </w:r>
      <w:r>
        <w:t xml:space="preserve">[8]. It is exactly this weighting that platforms surface as an</w:t>
      </w:r>
      <w:r>
        <w:t xml:space="preserve"> </w:t>
      </w:r>
      <w:r>
        <w:t xml:space="preserve">explanation — the object under audit here.</w:t>
      </w:r>
    </w:p>
    <w:bookmarkEnd w:id="17"/>
    <w:bookmarkStart w:id="18" w:name="is-attention-an-explanation"/>
    <w:p>
      <w:pPr>
        <w:pStyle w:val="Heading2"/>
      </w:pPr>
      <w:r>
        <w:t xml:space="preserve">2.2 Is attention an explanation?</w:t>
      </w:r>
    </w:p>
    <w:p>
      <w:pPr>
        <w:pStyle w:val="FirstParagraph"/>
      </w:pPr>
      <w:r>
        <w:t xml:space="preserve">The debate opened by</w:t>
      </w:r>
      <w:r>
        <w:t xml:space="preserve"> </w:t>
      </w:r>
      <w:r>
        <w:t xml:space="preserve">“Attention is not Explanation”</w:t>
      </w:r>
      <w:r>
        <w:t xml:space="preserve"> </w:t>
      </w:r>
      <w:r>
        <w:t xml:space="preserve">[12] established</w:t>
      </w:r>
      <w:r>
        <w:t xml:space="preserve"> </w:t>
      </w:r>
      <w:r>
        <w:t xml:space="preserve">that attention maps can be uncorrelated with feature importance and can</w:t>
      </w:r>
      <w:r>
        <w:t xml:space="preserve"> </w:t>
      </w:r>
      <w:r>
        <w:t xml:space="preserve">be substituted without behavioural change. Wiegreffe and Pinter’s reply</w:t>
      </w:r>
      <w:r>
        <w:t xml:space="preserve"> </w:t>
      </w:r>
      <w:r>
        <w:t xml:space="preserve">[13] and Serrano and Smith’s analysis [14] refined rather than reversed</w:t>
      </w:r>
      <w:r>
        <w:t xml:space="preserve"> </w:t>
      </w:r>
      <w:r>
        <w:t xml:space="preserve">the verdict: whether attention</w:t>
      </w:r>
      <w:r>
        <w:t xml:space="preserve"> </w:t>
      </w:r>
      <w:r>
        <w:t xml:space="preserve">“explains”</w:t>
      </w:r>
      <w:r>
        <w:t xml:space="preserve"> </w:t>
      </w:r>
      <w:r>
        <w:t xml:space="preserve">depends on the definition and</w:t>
      </w:r>
      <w:r>
        <w:t xml:space="preserve"> </w:t>
      </w:r>
      <w:r>
        <w:t xml:space="preserve">the test. Jacovi and Goldberg’s position piece [17] supplied the</w:t>
      </w:r>
      <w:r>
        <w:t xml:space="preserve"> </w:t>
      </w:r>
      <w:r>
        <w:t xml:space="preserve">discipline this dissertation adopts wholesale — faithfulness must be</w:t>
      </w:r>
      <w:r>
        <w:t xml:space="preserve"> </w:t>
      </w:r>
      <w:r>
        <w:rPr>
          <w:i/>
          <w:iCs/>
        </w:rPr>
        <w:t xml:space="preserve">defined and measured</w:t>
      </w:r>
      <w:r>
        <w:t xml:space="preserve">, never assumed, and the measurement must itself</w:t>
      </w:r>
      <w:r>
        <w:t xml:space="preserve"> </w:t>
      </w:r>
      <w:r>
        <w:t xml:space="preserve">be scrutinised.</w:t>
      </w:r>
    </w:p>
    <w:p>
      <w:pPr>
        <w:pStyle w:val="BodyText"/>
      </w:pPr>
      <w:r>
        <w:t xml:space="preserve">The dominant measurement family is perturbation-based:</w:t>
      </w:r>
      <w:r>
        <w:t xml:space="preserve"> </w:t>
      </w:r>
      <w:r>
        <w:t xml:space="preserve">comprehensiveness and sufficiency in the ERASER benchmark [16], the</w:t>
      </w:r>
      <w:r>
        <w:t xml:space="preserve"> </w:t>
      </w:r>
      <w:r>
        <w:t xml:space="preserve">faithfulness-violation test for attention models [15], and</w:t>
      </w:r>
      <w:r>
        <w:t xml:space="preserve"> </w:t>
      </w:r>
      <w:r>
        <w:t xml:space="preserve">reference-attribution methods such as LIME [18]. Robustness studies</w:t>
      </w:r>
      <w:r>
        <w:t xml:space="preserve"> </w:t>
      </w:r>
      <w:r>
        <w:t xml:space="preserve">warn that interpretability methods are themselves fragile [19], and</w:t>
      </w:r>
      <w:r>
        <w:t xml:space="preserve"> </w:t>
      </w:r>
      <w:r>
        <w:t xml:space="preserve">Lipton’s survey cautions against conflating plausibility with validity</w:t>
      </w:r>
      <w:r>
        <w:t xml:space="preserve"> </w:t>
      </w:r>
      <w:r>
        <w:t xml:space="preserve">[20].</w:t>
      </w:r>
    </w:p>
    <w:p>
      <w:pPr>
        <w:pStyle w:val="BodyText"/>
      </w:pPr>
      <w:r>
        <w:t xml:space="preserve">Two gaps matter here. First, the entire debate operates on clean,</w:t>
      </w:r>
      <w:r>
        <w:t xml:space="preserve"> </w:t>
      </w:r>
      <w:r>
        <w:t xml:space="preserve">static inputs; no prior work asks what happens to faithfulness when the</w:t>
      </w:r>
      <w:r>
        <w:t xml:space="preserve"> </w:t>
      </w:r>
      <w:r>
        <w:rPr>
          <w:i/>
          <w:iCs/>
        </w:rPr>
        <w:t xml:space="preserve">data behind the explanation</w:t>
      </w:r>
      <w:r>
        <w:t xml:space="preserve"> </w:t>
      </w:r>
      <w:r>
        <w:t xml:space="preserve">ages. Second — a gap this work discovered</w:t>
      </w:r>
      <w:r>
        <w:t xml:space="preserve"> </w:t>
      </w:r>
      <w:r>
        <w:t xml:space="preserve">rather than inherited — perturbation protocols implicitly assume that</w:t>
      </w:r>
      <w:r>
        <w:t xml:space="preserve"> </w:t>
      </w:r>
      <w:r>
        <w:t xml:space="preserve">occluding an explanation unit leaves the model’s output space intact.</w:t>
      </w:r>
      <w:r>
        <w:t xml:space="preserve"> </w:t>
      </w:r>
      <w:r>
        <w:t xml:space="preserve">In RL architectures where explanation nodes double as action</w:t>
      </w:r>
      <w:r>
        <w:t xml:space="preserve"> </w:t>
      </w:r>
      <w:r>
        <w:t xml:space="preserve">candidates, that assumption fails: occlusion deletes actions. The</w:t>
      </w:r>
      <w:r>
        <w:t xml:space="preserve"> </w:t>
      </w:r>
      <w:r>
        <w:t xml:space="preserve">resulting baseline confound (Chapter 4) is closest in spirit to the</w:t>
      </w:r>
      <w:r>
        <w:t xml:space="preserve"> </w:t>
      </w:r>
      <w:r>
        <w:t xml:space="preserve">critique that removal-based evaluation puts inputs off-distribution</w:t>
      </w:r>
      <w:r>
        <w:t xml:space="preserve"> </w:t>
      </w:r>
      <w:r>
        <w:t xml:space="preserve">(the ROAR line of argument), but is more severe: the perturbation</w:t>
      </w:r>
      <w:r>
        <w:t xml:space="preserve"> </w:t>
      </w:r>
      <w:r>
        <w:t xml:space="preserve">changes the</w:t>
      </w:r>
      <w:r>
        <w:t xml:space="preserve"> </w:t>
      </w:r>
      <w:r>
        <w:rPr>
          <w:i/>
          <w:iCs/>
        </w:rPr>
        <w:t xml:space="preserve">decision problem</w:t>
      </w:r>
      <w:r>
        <w:t xml:space="preserve">, not merely the input distribution. To</w:t>
      </w:r>
      <w:r>
        <w:t xml:space="preserve"> </w:t>
      </w:r>
      <w:r>
        <w:t xml:space="preserve">the author’s knowledge no prior faithfulness study controls for it.</w:t>
      </w:r>
    </w:p>
    <w:bookmarkEnd w:id="18"/>
    <w:bookmarkStart w:id="19" w:name="age-of-information"/>
    <w:p>
      <w:pPr>
        <w:pStyle w:val="Heading2"/>
      </w:pPr>
      <w:r>
        <w:t xml:space="preserve">2.3 Age of Information</w:t>
      </w:r>
    </w:p>
    <w:p>
      <w:pPr>
        <w:pStyle w:val="FirstParagraph"/>
      </w:pPr>
      <w:r>
        <w:t xml:space="preserve">The AoI literature [21] formalises data freshness as time since last</w:t>
      </w:r>
      <w:r>
        <w:t xml:space="preserve"> </w:t>
      </w:r>
      <w:r>
        <w:t xml:space="preserve">update and studies its cost for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— how stale state degrades</w:t>
      </w:r>
      <w:r>
        <w:t xml:space="preserve"> </w:t>
      </w:r>
      <w:r>
        <w:t xml:space="preserve">estimation and decision quality. AoI has not previously been coupled to</w:t>
      </w:r>
      <w:r>
        <w:t xml:space="preserve"> </w:t>
      </w:r>
      <w:r>
        <w:rPr>
          <w:i/>
          <w:iCs/>
        </w:rPr>
        <w:t xml:space="preserve">explanation</w:t>
      </w:r>
      <w:r>
        <w:t xml:space="preserve"> </w:t>
      </w:r>
      <w:r>
        <w:t xml:space="preserve">quality. This dissertation uses AoI in two roles: as the</w:t>
      </w:r>
      <w:r>
        <w:t xml:space="preserve"> </w:t>
      </w:r>
      <w:r>
        <w:t xml:space="preserve">physically grounded severity axis of its degradation framework (tunnel</w:t>
      </w:r>
      <w:r>
        <w:t xml:space="preserve"> </w:t>
      </w:r>
      <w:r>
        <w:t xml:space="preserve">signal loss with bounded maximum AoI, §3.3), and as the per-node</w:t>
      </w:r>
      <w:r>
        <w:t xml:space="preserve"> </w:t>
      </w:r>
      <w:r>
        <w:t xml:space="preserve">staleness weight inside the WAMSN metric (§3.4).</w:t>
      </w:r>
    </w:p>
    <w:bookmarkEnd w:id="19"/>
    <w:bookmarkStart w:id="20" w:name="simulation-platform"/>
    <w:p>
      <w:pPr>
        <w:pStyle w:val="Heading2"/>
      </w:pPr>
      <w:r>
        <w:t xml:space="preserve">2.4 Simulation platform</w:t>
      </w:r>
    </w:p>
    <w:p>
      <w:pPr>
        <w:pStyle w:val="FirstParagraph"/>
      </w:pPr>
      <w:r>
        <w:t xml:space="preserve">SUMO [22] provides the microscopic traffic substrate: a real</w:t>
      </w:r>
      <w:r>
        <w:t xml:space="preserve"> </w:t>
      </w:r>
      <w:r>
        <w:t xml:space="preserve">OpenStreetMap district with tunnel attributes preserved, a taxi</w:t>
      </w:r>
      <w:r>
        <w:t xml:space="preserve"> </w:t>
      </w:r>
      <w:r>
        <w:t xml:space="preserve">dispatch device driven through TraCI, and reproducible demand</w:t>
      </w:r>
      <w:r>
        <w:t xml:space="preserve"> </w:t>
      </w:r>
      <w:r>
        <w:t xml:space="preserve">generation. SUMO is an experimental vehicle here, not a contribution;</w:t>
      </w:r>
      <w:r>
        <w:t xml:space="preserve"> </w:t>
      </w:r>
      <w:r>
        <w:t xml:space="preserve">the same applies to the GAT-MAPPO dispatcher itself.</w:t>
      </w:r>
    </w:p>
    <w:bookmarkEnd w:id="20"/>
    <w:bookmarkStart w:id="21" w:name="positioning"/>
    <w:p>
      <w:pPr>
        <w:pStyle w:val="Heading2"/>
      </w:pPr>
      <w:r>
        <w:t xml:space="preserve">2.5 Positioning</w:t>
      </w:r>
    </w:p>
    <w:p>
      <w:pPr>
        <w:pStyle w:val="FirstParagraph"/>
      </w:pPr>
      <w:r>
        <w:t xml:space="preserve">Relative to [12] and its successors, this work contributes (i) the</w:t>
      </w:r>
      <w:r>
        <w:t xml:space="preserve"> </w:t>
      </w:r>
      <w:r>
        <w:t xml:space="preserve">temporal axis — faithfulness under data ageing, with AoI as the</w:t>
      </w:r>
      <w:r>
        <w:t xml:space="preserve"> </w:t>
      </w:r>
      <w:r>
        <w:t xml:space="preserve">controlled cause; (ii) the closed-loop MARL setting, where explanations</w:t>
      </w:r>
      <w:r>
        <w:t xml:space="preserve"> </w:t>
      </w:r>
      <w:r>
        <w:t xml:space="preserve">attach to individual dispatch decisions taken under the degraded</w:t>
      </w:r>
      <w:r>
        <w:t xml:space="preserve"> </w:t>
      </w:r>
      <w:r>
        <w:t xml:space="preserve">observations themselves; (iii) a paired clean/degraded evaluation</w:t>
      </w:r>
      <w:r>
        <w:t xml:space="preserve"> </w:t>
      </w:r>
      <w:r>
        <w:t xml:space="preserve">design with exact per-decision counterfactuals; and (iv) the</w:t>
      </w:r>
      <w:r>
        <w:t xml:space="preserve"> </w:t>
      </w:r>
      <w:r>
        <w:t xml:space="preserve">candidate-action occlusion artifact and its controls. A structured</w:t>
      </w:r>
      <w:r>
        <w:t xml:space="preserve"> </w:t>
      </w:r>
      <w:r>
        <w:t xml:space="preserve">search for prior work at the staleness × explanation intersection</w:t>
      </w:r>
      <w:r>
        <w:t xml:space="preserve"> </w:t>
      </w:r>
      <w:r>
        <w:t xml:space="preserve">(databases and query strings are listed in Appendix A) returned no</w:t>
      </w:r>
      <w:r>
        <w:t xml:space="preserve"> </w:t>
      </w:r>
      <w:r>
        <w:t xml:space="preserve">direct precedent; the nearest neighbours are the robustness studies of</w:t>
      </w:r>
      <w:r>
        <w:t xml:space="preserve"> </w:t>
      </w:r>
      <w:r>
        <w:t xml:space="preserve">interpretability [19], which perturb inputs but not their freshness.</w:t>
      </w:r>
    </w:p>
    <w:bookmarkEnd w:id="21"/>
    <w:bookmarkEnd w:id="22"/>
    <w:bookmarkStart w:id="31" w:name="methodology"/>
    <w:p>
      <w:pPr>
        <w:pStyle w:val="Heading1"/>
      </w:pPr>
      <w:r>
        <w:t xml:space="preserve">3. Methodology</w:t>
      </w:r>
    </w:p>
    <w:p>
      <w:pPr>
        <w:pStyle w:val="FirstParagraph"/>
      </w:pPr>
      <w:r>
        <w:t xml:space="preserve">The study is a controlled simulation experiment: a known cause</w:t>
      </w:r>
      <w:r>
        <w:t xml:space="preserve"> </w:t>
      </w:r>
      <w:r>
        <w:t xml:space="preserve">(telemetry staleness, parameterised by maximum AoI) is injected at the</w:t>
      </w:r>
      <w:r>
        <w:t xml:space="preserve"> </w:t>
      </w:r>
      <w:r>
        <w:t xml:space="preserve">observation boundary of a trained dispatcher, and its effect on</w:t>
      </w:r>
      <w:r>
        <w:t xml:space="preserve"> </w:t>
      </w:r>
      <w:r>
        <w:t xml:space="preserve">explanation faithfulness is measured per decision with paired</w:t>
      </w:r>
      <w:r>
        <w:t xml:space="preserve"> </w:t>
      </w:r>
      <w:r>
        <w:t xml:space="preserve">clean/degraded counterfactuals. This chapter describes the benchmark</w:t>
      </w:r>
      <w:r>
        <w:t xml:space="preserve"> </w:t>
      </w:r>
      <w:r>
        <w:t xml:space="preserve">(§3.1–3.2), the degradation framework (§3.3), the faithfulness metrics</w:t>
      </w:r>
      <w:r>
        <w:t xml:space="preserve"> </w:t>
      </w:r>
      <w:r>
        <w:t xml:space="preserve">and their audit instruments (§3.4–3.5), the experimental design (§3.6),</w:t>
      </w:r>
      <w:r>
        <w:t xml:space="preserve"> </w:t>
      </w:r>
      <w:r>
        <w:t xml:space="preserve">and the statistical methodology (§3.7). Departures from the proposal</w:t>
      </w:r>
      <w:r>
        <w:t xml:space="preserve"> </w:t>
      </w:r>
      <w:r>
        <w:t xml:space="preserve">are cross-referenced to Appendix A throughout.</w:t>
      </w:r>
    </w:p>
    <w:bookmarkStart w:id="23" w:name="simulation-environment"/>
    <w:p>
      <w:pPr>
        <w:pStyle w:val="Heading2"/>
      </w:pPr>
      <w:r>
        <w:t xml:space="preserve">3.1 Simulation environment</w:t>
      </w:r>
    </w:p>
    <w:p>
      <w:pPr>
        <w:pStyle w:val="FirstParagraph"/>
      </w:pPr>
      <w:r>
        <w:rPr>
          <w:b/>
          <w:bCs/>
        </w:rPr>
        <w:t xml:space="preserve">Scenario.</w:t>
      </w:r>
      <w:r>
        <w:t xml:space="preserve"> </w:t>
      </w:r>
      <w:r>
        <w:t xml:space="preserve">Vehicle movement is simulated in SUMO [22] on a real</w:t>
      </w:r>
      <w:r>
        <w:t xml:space="preserve"> </w:t>
      </w:r>
      <w:r>
        <w:t xml:space="preserve">OpenStreetMap extract of the Central Park area of Chongqing’s Yubei</w:t>
      </w:r>
      <w:r>
        <w:t xml:space="preserve"> </w:t>
      </w:r>
      <w:r>
        <w:t xml:space="preserve">district, chosen because its road network contains real tunnels —</w:t>
      </w:r>
      <w:r>
        <w:t xml:space="preserve"> </w:t>
      </w:r>
      <w:r>
        <w:t xml:space="preserve">physically grounded dead zones for GPS/V2X telemetry. Tunnel edges are</w:t>
      </w:r>
      <w:r>
        <w:t xml:space="preserve"> </w:t>
      </w:r>
      <w:r>
        <w:t xml:space="preserve">extracted from the OSM</w:t>
      </w:r>
      <w:r>
        <w:t xml:space="preserve"> </w:t>
      </w:r>
      <w:r>
        <w:rPr>
          <w:rStyle w:val="VerbatimChar"/>
        </w:rPr>
        <w:t xml:space="preserve">tunnel=yes</w:t>
      </w:r>
      <w:r>
        <w:t xml:space="preserve"> </w:t>
      </w:r>
      <w:r>
        <w:t xml:space="preserve">attribute and filtered to the</w:t>
      </w:r>
      <w:r>
        <w:t xml:space="preserve"> </w:t>
      </w:r>
      <w:r>
        <w:t xml:space="preserve">navigable subset (both incoming and outgoing connections); the network,</w:t>
      </w:r>
      <w:r>
        <w:t xml:space="preserve"> </w:t>
      </w:r>
      <w:r>
        <w:t xml:space="preserve">demand files, and tunnel manifest are committed and seed-pinned.</w:t>
      </w:r>
    </w:p>
    <w:p>
      <w:pPr>
        <w:pStyle w:val="BodyText"/>
      </w:pPr>
      <w:r>
        <w:rPr>
          <w:b/>
          <w:bCs/>
        </w:rPr>
        <w:t xml:space="preserve">Fleet and demand.</w:t>
      </w:r>
      <w:r>
        <w:t xml:space="preserve"> </w:t>
      </w:r>
      <w:r>
        <w:t xml:space="preserve">20 taxis with SUMO’s taxi device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dispatch-algorithm=traci</w:t>
      </w:r>
      <w:r>
        <w:t xml:space="preserve">, so the learned policy performs all</w:t>
      </w:r>
      <w:r>
        <w:t xml:space="preserve"> </w:t>
      </w:r>
      <w:r>
        <w:t xml:space="preserve">matching) serve 50 ride requests per 1 200 s episode. Rider demand is</w:t>
      </w:r>
      <w:r>
        <w:t xml:space="preserve"> </w:t>
      </w:r>
      <w:r>
        <w:t xml:space="preserve">generated from fixed seeds; twenty demand variants with identical fleet</w:t>
      </w:r>
      <w:r>
        <w:t xml:space="preserve"> </w:t>
      </w:r>
      <w:r>
        <w:t xml:space="preserve">initialisation and independently seeded rider realisations are split</w:t>
      </w:r>
      <w:r>
        <w:t xml:space="preserve"> </w:t>
      </w:r>
      <w:r>
        <w:t xml:space="preserve">chronologically 70/15/15 into train/validation/test sets. All headline</w:t>
      </w:r>
      <w:r>
        <w:t xml:space="preserve"> </w:t>
      </w:r>
      <w:r>
        <w:t xml:space="preserve">evaluations run on the three held-out test variants (Fig. 1).</w:t>
      </w:r>
    </w:p>
    <w:p>
      <w:pPr>
        <w:pStyle w:val="BodyText"/>
      </w:pPr>
      <w:r>
        <w:rPr>
          <w:b/>
          <w:bCs/>
        </w:rPr>
        <w:t xml:space="preserve">Observation graph</w:t>
      </w:r>
      <w:r>
        <w:t xml:space="preserve"> </w:t>
      </w:r>
      <w:r>
        <w:t xml:space="preserve">(Fig. 2). Each idle taxi observes a self-centric</w:t>
      </w:r>
      <w:r>
        <w:t xml:space="preserve"> </w:t>
      </w:r>
      <w:r>
        <w:t xml:space="preserve">heterogeneous graph: itself (position, episode time, speed, AoI), its</w:t>
      </w:r>
      <w:r>
        <w:t xml:space="preserve"> </w:t>
      </w:r>
      <w:r>
        <w:t xml:space="preserve">K_n = 5 nearest peers (relative position, availability, distance, AoI),</w:t>
      </w:r>
      <w:r>
        <w:t xml:space="preserve"> </w:t>
      </w:r>
      <w:r>
        <w:t xml:space="preserve">and the K_r = 5 nearest pending reservations (relative pickup/drop-off</w:t>
      </w:r>
      <w:r>
        <w:t xml:space="preserve"> </w:t>
      </w:r>
      <w:r>
        <w:t xml:space="preserve">vectors, waiting time). Coordinates are relative and normalised, so</w:t>
      </w:r>
      <w:r>
        <w:t xml:space="preserve"> </w:t>
      </w:r>
      <w:r>
        <w:t xml:space="preserve">learned patterns are geometric rather than absolute.</w:t>
      </w:r>
    </w:p>
    <w:p>
      <w:pPr>
        <w:pStyle w:val="BodyText"/>
      </w:pPr>
      <w:r>
        <w:rPr>
          <w:b/>
          <w:bCs/>
        </w:rPr>
        <w:t xml:space="preserve">Action space.</w:t>
      </w:r>
      <w:r>
        <w:t xml:space="preserve"> </w:t>
      </w:r>
      <w:r>
        <w:t xml:space="preserve">Discrete(K_r + 1): no-op, or accept the k-th nearest</w:t>
      </w:r>
      <w:r>
        <w:t xml:space="preserve"> </w:t>
      </w:r>
      <w:r>
        <w:t xml:space="preserve">reservation. Every reservation node therefore corresponds one-to-one to</w:t>
      </w:r>
      <w:r>
        <w:t xml:space="preserve"> </w:t>
      </w:r>
      <w:r>
        <w:t xml:space="preserve">an action — a property central to both the explanation analysis and the</w:t>
      </w:r>
      <w:r>
        <w:t xml:space="preserve"> </w:t>
      </w:r>
      <w:r>
        <w:t xml:space="preserve">artifact of §3.5.</w:t>
      </w:r>
    </w:p>
    <w:p>
      <w:pPr>
        <w:pStyle w:val="BodyText"/>
      </w:pPr>
      <w:r>
        <w:rPr>
          <w:b/>
          <w:bCs/>
        </w:rPr>
        <w:t xml:space="preserve">Reward.</w:t>
      </w:r>
      <w:r>
        <w:t xml:space="preserve"> </w:t>
      </w:r>
      <w:r>
        <w:t xml:space="preserve">A team reward broadcast to all acting agents:</w:t>
      </w:r>
      <w:r>
        <w:t xml:space="preserve"> </w:t>
      </w:r>
      <w:r>
        <w:t xml:space="preserve">R = 10·pickups + 0.5·successful dispatches − 0.001·mean pending wait.</w:t>
      </w:r>
      <w:r>
        <w:t xml:space="preserve"> </w:t>
      </w:r>
      <w:r>
        <w:t xml:space="preserve">The shaping magnitudes were established after an initial formulation</w:t>
      </w:r>
      <w:r>
        <w:t xml:space="preserve"> </w:t>
      </w:r>
      <w:r>
        <w:t xml:space="preserve">collapsed to a no-action policy (Appendix A).</w:t>
      </w:r>
    </w:p>
    <w:bookmarkEnd w:id="23"/>
    <w:bookmarkStart w:id="24" w:name="dispatcher"/>
    <w:p>
      <w:pPr>
        <w:pStyle w:val="Heading2"/>
      </w:pPr>
      <w:r>
        <w:t xml:space="preserve">3.2 Dispatcher</w:t>
      </w:r>
    </w:p>
    <w:p>
      <w:pPr>
        <w:pStyle w:val="FirstParagraph"/>
      </w:pPr>
      <w:r>
        <w:t xml:space="preserve">The policy is a hand-rolled GAT-MAPPO: per-type linear projections into</w:t>
      </w:r>
      <w:r>
        <w:t xml:space="preserve"> </w:t>
      </w:r>
      <w:r>
        <w:t xml:space="preserve">a shared embedding, two GAT layers with four heads (masked softmax over</w:t>
      </w:r>
      <w:r>
        <w:t xml:space="preserve"> </w:t>
      </w:r>
      <w:r>
        <w:t xml:space="preserve">valid nodes), an actor head over Discrete(K_r + 1), and a critic head.</w:t>
      </w:r>
      <w:r>
        <w:t xml:space="preserve"> </w:t>
      </w:r>
      <w:r>
        <w:t xml:space="preserve">Training uses MAPPO [5] with parameter sharing, GAE (γ = 0.99,</w:t>
      </w:r>
      <w:r>
        <w:t xml:space="preserve"> </w:t>
      </w:r>
      <w:r>
        <w:t xml:space="preserve">λ = 0.95), clipped PPO (ε = 0.2), and a centralised critic (CTDE),</w:t>
      </w:r>
      <w:r>
        <w:t xml:space="preserve"> </w:t>
      </w:r>
      <w:r>
        <w:t xml:space="preserve">which an A/B comparison showed to improve pickups by ~18 % and delay</w:t>
      </w:r>
      <w:r>
        <w:t xml:space="preserve"> </w:t>
      </w:r>
      <w:r>
        <w:t xml:space="preserve">entropy collapse. The attention implementation is deliberately</w:t>
      </w:r>
      <w:r>
        <w:t xml:space="preserve"> </w:t>
      </w:r>
      <w:r>
        <w:t xml:space="preserve">hand-rolled rather than a library layer so that attention weights are</w:t>
      </w:r>
      <w:r>
        <w:t xml:space="preserve"> </w:t>
      </w:r>
      <w:r>
        <w:t xml:space="preserve">first-class outputs of the forward pass, consumable by the faithfulness</w:t>
      </w:r>
      <w:r>
        <w:t xml:space="preserve"> </w:t>
      </w:r>
      <w:r>
        <w:t xml:space="preserve">pipeline without instrumentation tricks.</w:t>
      </w:r>
    </w:p>
    <w:p>
      <w:pPr>
        <w:pStyle w:val="BodyText"/>
      </w:pPr>
      <w:r>
        <w:t xml:space="preserve">The decentralised per-agent formulation is chosen for statistical</w:t>
      </w:r>
      <w:r>
        <w:t xml:space="preserve"> </w:t>
      </w:r>
      <w:r>
        <w:t xml:space="preserve">reasons: each acting vehicle contributes one attention distribution per</w:t>
      </w:r>
      <w:r>
        <w:t xml:space="preserve"> </w:t>
      </w:r>
      <w:r>
        <w:t xml:space="preserve">decision (~1 500–2 400 per episode), giving the faithfulness analysis</w:t>
      </w:r>
      <w:r>
        <w:t xml:space="preserve"> </w:t>
      </w:r>
      <w:r>
        <w:t xml:space="preserve">per-decision resolution instead of ~120 aggregate dispatcher outputs.</w:t>
      </w:r>
    </w:p>
    <w:p>
      <w:pPr>
        <w:pStyle w:val="BodyText"/>
      </w:pPr>
      <w:r>
        <w:rPr>
          <w:b/>
          <w:bCs/>
        </w:rPr>
        <w:t xml:space="preserve">Best-checkpoint selection.</w:t>
      </w:r>
      <w:r>
        <w:t xml:space="preserve"> </w:t>
      </w:r>
      <w:r>
        <w:t xml:space="preserve">All trained policies exhibit entropy</w:t>
      </w:r>
      <w:r>
        <w:t xml:space="preserve"> </w:t>
      </w:r>
      <w:r>
        <w:t xml:space="preserve">collapse (Chapter 4); checkpoints are therefore selected by a rolling</w:t>
      </w:r>
      <w:r>
        <w:t xml:space="preserve"> </w:t>
      </w:r>
      <w:r>
        <w:t xml:space="preserve">mean of training pickups, and — because argmax evaluation of a</w:t>
      </w:r>
      <w:r>
        <w:t xml:space="preserve"> </w:t>
      </w:r>
      <w:r>
        <w:t xml:space="preserve">collapsed policy degenerates to all-no-op —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evaluation is</w:t>
      </w:r>
      <w:r>
        <w:t xml:space="preserve"> </w:t>
      </w:r>
      <w:r>
        <w:t xml:space="preserve">stochastic (sampled actions), matching training-time behaviour.</w:t>
      </w:r>
    </w:p>
    <w:bookmarkEnd w:id="24"/>
    <w:bookmarkStart w:id="25" w:name="telemetry-degradation-framework"/>
    <w:p>
      <w:pPr>
        <w:pStyle w:val="Heading2"/>
      </w:pPr>
      <w:r>
        <w:t xml:space="preserve">3.3 Telemetry-degradation framework</w:t>
      </w:r>
    </w:p>
    <w:p>
      <w:pPr>
        <w:pStyle w:val="FirstParagraph"/>
      </w:pPr>
      <w:r>
        <w:t xml:space="preserve">Degradation is applied</w:t>
      </w:r>
      <w:r>
        <w:t xml:space="preserve"> </w:t>
      </w:r>
      <w:r>
        <w:rPr>
          <w:b/>
          <w:bCs/>
        </w:rPr>
        <w:t xml:space="preserve">at the observation boundary only</w:t>
      </w:r>
      <w:r>
        <w:t xml:space="preserve"> </w:t>
      </w:r>
      <w:r>
        <w:t xml:space="preserve">(Fig. 1):</w:t>
      </w:r>
      <w:r>
        <w:t xml:space="preserve"> </w:t>
      </w:r>
      <w:r>
        <w:t xml:space="preserve">the simulator always holds ground truth, so any behavioural or</w:t>
      </w:r>
      <w:r>
        <w:t xml:space="preserve"> </w:t>
      </w:r>
      <w:r>
        <w:t xml:space="preserve">explanatory change is attributable exactly to what the policy observed,</w:t>
      </w:r>
      <w:r>
        <w:t xml:space="preserve"> </w:t>
      </w:r>
      <w:r>
        <w:t xml:space="preserve">and every degraded observation has an exact clean twin generated in the</w:t>
      </w:r>
      <w:r>
        <w:t xml:space="preserve"> </w:t>
      </w:r>
      <w:r>
        <w:t xml:space="preserve">same step — the basis of all paired analyses.</w:t>
      </w:r>
    </w:p>
    <w:p>
      <w:pPr>
        <w:pStyle w:val="BodyText"/>
      </w:pPr>
      <w:r>
        <w:rPr>
          <w:b/>
          <w:bCs/>
        </w:rPr>
        <w:t xml:space="preserve">Freeze semantics</w:t>
      </w:r>
      <w:r>
        <w:t xml:space="preserve"> </w:t>
      </w:r>
      <w:r>
        <w:t xml:space="preserve">(Fig. 3). When a vehicle’s signal drops (its</w:t>
      </w:r>
      <w:r>
        <w:t xml:space="preserve"> </w:t>
      </w:r>
      <w:r>
        <w:t xml:space="preserve">current edge is in the tunnel set), it stops transmitting: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observer — the vehicle itself and all peers — sees its last valid</w:t>
      </w:r>
      <w:r>
        <w:t xml:space="preserve"> </w:t>
      </w:r>
      <w:r>
        <w:t xml:space="preserve">position and speed, frozen, while the reading’s AoI grows. Neighbour</w:t>
      </w:r>
      <w:r>
        <w:t xml:space="preserve"> </w:t>
      </w:r>
      <w:r>
        <w:t xml:space="preserve">ordering, relative vectors, and the observer’s own frame all use the</w:t>
      </w:r>
      <w:r>
        <w:t xml:space="preserve"> </w:t>
      </w:r>
      <w:r>
        <w:t xml:space="preserve">frozen states, exactly as a dispatch platform working from a last-known</w:t>
      </w:r>
      <w:r>
        <w:t xml:space="preserve"> </w:t>
      </w:r>
      <w:r>
        <w:t xml:space="preserve">table would.</w:t>
      </w:r>
    </w:p>
    <w:p>
      <w:pPr>
        <w:pStyle w:val="BodyText"/>
      </w:pPr>
      <w:r>
        <w:rPr>
          <w:b/>
          <w:bCs/>
        </w:rPr>
        <w:t xml:space="preserve">Severity = maximum AoI.</w:t>
      </w:r>
      <w:r>
        <w:t xml:space="preserve"> </w:t>
      </w:r>
      <w:r>
        <w:t xml:space="preserve">Each severity level s ∈ {5, 15, 30, 60} s</w:t>
      </w:r>
      <w:r>
        <w:t xml:space="preserve"> </w:t>
      </w:r>
      <w:r>
        <w:t xml:space="preserve">keeps the signal lost until the vehicle’s AoI reaches s (physically,</w:t>
      </w:r>
      <w:r>
        <w:t xml:space="preserve"> </w:t>
      </w:r>
      <w:r>
        <w:t xml:space="preserve">receiver re-acquisition delay), so the level bounds the maximum AoI</w:t>
      </w:r>
      <w:r>
        <w:t xml:space="preserve"> </w:t>
      </w:r>
      <w:r>
        <w:t xml:space="preserve">directly; geography can exceed low levels during long transits, and the</w:t>
      </w:r>
      <w:r>
        <w:t xml:space="preserve"> </w:t>
      </w:r>
      <w:r>
        <w:t xml:space="preserve">empirical AoI distribution is reported per level. The clean condition</w:t>
      </w:r>
      <w:r>
        <w:t xml:space="preserve"> </w:t>
      </w:r>
      <w:r>
        <w:t xml:space="preserve">(s = 0) is the shared reference. A matched random-dropout axis (same</w:t>
      </w:r>
      <w:r>
        <w:t xml:space="preserve"> </w:t>
      </w:r>
      <w:r>
        <w:t xml:space="preserve">outage ladder, spatially uncorrelated triggers) is retained as an</w:t>
      </w:r>
      <w:r>
        <w:t xml:space="preserve"> </w:t>
      </w:r>
      <w:r>
        <w:t xml:space="preserve">appendix robustness check.</w:t>
      </w:r>
    </w:p>
    <w:bookmarkEnd w:id="25"/>
    <w:bookmarkStart w:id="26" w:name="faithfulness-metrics"/>
    <w:p>
      <w:pPr>
        <w:pStyle w:val="Heading2"/>
      </w:pPr>
      <w:r>
        <w:t xml:space="preserve">3.4 Faithfulness metrics</w:t>
      </w:r>
    </w:p>
    <w:p>
      <w:pPr>
        <w:pStyle w:val="FirstParagraph"/>
      </w:pPr>
      <w:r>
        <w:rPr>
          <w:b/>
          <w:bCs/>
        </w:rPr>
        <w:t xml:space="preserve">DEF (Dispatch Explanation Faithfulness).</w:t>
      </w:r>
      <w:r>
        <w:t xml:space="preserve"> </w:t>
      </w:r>
      <w:r>
        <w:t xml:space="preserve">For a decision with chosen</w:t>
      </w:r>
      <w:r>
        <w:t xml:space="preserve"> </w:t>
      </w:r>
      <w:r>
        <w:t xml:space="preserve">action a*, let R_k be the explanation’s top-k nodes. Comprehensiveness</w:t>
      </w:r>
      <w:r>
        <w:t xml:space="preserve"> </w:t>
      </w:r>
      <w:r>
        <w:t xml:space="preserve">is the confidence drop when R_k is occluded; sufficiency the drop when</w:t>
      </w:r>
      <w:r>
        <w:t xml:space="preserve"> </w:t>
      </w:r>
      <w:r>
        <w:t xml:space="preserve">only R_k is kept:</w:t>
      </w:r>
    </w:p>
    <w:p>
      <w:pPr>
        <w:pStyle w:val="SourceCode"/>
      </w:pPr>
      <w:r>
        <w:rPr>
          <w:rStyle w:val="VerbatimChar"/>
        </w:rPr>
        <w:t xml:space="preserve">Comp = f(a*|G) − f(a*|G \ R_k)        Suff = f(a*|G) − f(a*|R_k)</w:t>
      </w:r>
    </w:p>
    <w:p>
      <w:pPr>
        <w:pStyle w:val="FirstParagraph"/>
      </w:pPr>
      <w:r>
        <w:t xml:space="preserve">Each is normalised against size-matched random occlusions,</w:t>
      </w:r>
      <w:r>
        <w:t xml:space="preserve"> </w:t>
      </w:r>
      <w:r>
        <w:t xml:space="preserve">g_comp = Comp − Comp_rand, g_suff = Suff_rand − Suff, and</w:t>
      </w:r>
      <w:r>
        <w:t xml:space="preserve"> </w:t>
      </w:r>
      <w:r>
        <w:t xml:space="preserve">DEF = ½(g_comp + g_suff), averaged over k ∈ {1, 2, 3} with five random</w:t>
      </w:r>
      <w:r>
        <w:t xml:space="preserve"> </w:t>
      </w:r>
      <w:r>
        <w:t xml:space="preserve">subsets per k. DEF &gt; 0 iff the explanation identifies information more</w:t>
      </w:r>
      <w:r>
        <w:t xml:space="preserve"> </w:t>
      </w:r>
      <w:r>
        <w:t xml:space="preserve">faithfully than a random one.</w:t>
      </w:r>
    </w:p>
    <w:p>
      <w:pPr>
        <w:pStyle w:val="BodyText"/>
      </w:pPr>
      <w:r>
        <w:rPr>
          <w:b/>
          <w:bCs/>
        </w:rPr>
        <w:t xml:space="preserve">Margin readout.</w:t>
      </w:r>
      <w:r>
        <w:t xml:space="preserve"> </w:t>
      </w:r>
      <w:r>
        <w:t xml:space="preserve">The proposal specifies f = π(a*), the action</w:t>
      </w:r>
      <w:r>
        <w:t xml:space="preserve"> </w:t>
      </w:r>
      <w:r>
        <w:t xml:space="preserve">probability. Trained policies here are severely entropy-collapsed</w:t>
      </w:r>
      <w:r>
        <w:t xml:space="preserve"> </w:t>
      </w:r>
      <w:r>
        <w:t xml:space="preserve">(π(a*) ≈ 0.94–1.0), and the softmax saturates: occlusions move</w:t>
      </w:r>
      <w:r>
        <w:t xml:space="preserve"> </w:t>
      </w:r>
      <w:r>
        <w:t xml:space="preserve">probabilities by ~10⁻³ regardless of relevance. The dissertation</w:t>
      </w:r>
      <w:r>
        <w:t xml:space="preserve"> </w:t>
      </w:r>
      <w:r>
        <w:t xml:space="preserve">therefore reports, alongside the probability form, a</w:t>
      </w:r>
      <w:r>
        <w:t xml:space="preserve"> </w:t>
      </w:r>
      <w:r>
        <w:rPr>
          <w:b/>
          <w:bCs/>
        </w:rPr>
        <w:t xml:space="preserve">margin-DEF</w:t>
      </w:r>
      <w:r>
        <w:t xml:space="preserve"> </w:t>
      </w:r>
      <w:r>
        <w:t xml:space="preserve">using f = m(a*) = logit(a*) − max other logit (clamped to ±10),</w:t>
      </w:r>
      <w:r>
        <w:t xml:space="preserve"> </w:t>
      </w:r>
      <w:r>
        <w:t xml:space="preserve">computed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counterfactual forward passes (≈37 per scored</w:t>
      </w:r>
      <w:r>
        <w:t xml:space="preserve"> </w:t>
      </w:r>
      <w:r>
        <w:t xml:space="preserve">decision). The two readouts share the counterfactual semantics of [16]</w:t>
      </w:r>
      <w:r>
        <w:t xml:space="preserve"> </w:t>
      </w:r>
      <w:r>
        <w:t xml:space="preserve">and differ only in where the output is read; their per-decision rank</w:t>
      </w:r>
      <w:r>
        <w:t xml:space="preserve"> </w:t>
      </w:r>
      <w:r>
        <w:t xml:space="preserve">agreement is ρ ≈ 0.58–0.61. Margin-DEF is the primary lens for the</w:t>
      </w:r>
      <w:r>
        <w:t xml:space="preserve"> </w:t>
      </w:r>
      <w:r>
        <w:t xml:space="preserve">saturation reason; every probability-DEF figure is reported with it</w:t>
      </w:r>
      <w:r>
        <w:t xml:space="preserve"> </w:t>
      </w:r>
      <w:r>
        <w:t xml:space="preserve">(Appendix A).</w:t>
      </w:r>
    </w:p>
    <w:p>
      <w:pPr>
        <w:pStyle w:val="BodyText"/>
      </w:pPr>
      <w:r>
        <w:rPr>
          <w:b/>
          <w:bCs/>
        </w:rPr>
        <w:t xml:space="preserve">WAMSN (Weighted Attention Mass on Stale Nodes).</w:t>
      </w:r>
      <w:r>
        <w:t xml:space="preserve"> </w:t>
      </w:r>
      <w:r>
        <w:t xml:space="preserve">With attention</w:t>
      </w:r>
      <w:r>
        <w:t xml:space="preserve"> </w:t>
      </w:r>
      <w:r>
        <w:t xml:space="preserve">weight α_i and staleness AoI_i/AoI_max on vehicle node i:</w:t>
      </w:r>
    </w:p>
    <w:p>
      <w:pPr>
        <w:pStyle w:val="SourceCode"/>
      </w:pPr>
      <w:r>
        <w:rPr>
          <w:rStyle w:val="VerbatimChar"/>
        </w:rPr>
        <w:t xml:space="preserve">WAMSN = Σ α_i·(AoI_i/AoI_max) / Σ α_i   ∈ [0, 1]</w:t>
      </w:r>
    </w:p>
    <w:p>
      <w:pPr>
        <w:pStyle w:val="FirstParagraph"/>
      </w:pPr>
      <w:r>
        <w:t xml:space="preserve">graded, not thresholded. Because pooled WAMSN conflates exposure (</w:t>
      </w:r>
      <w:r>
        <w:t xml:space="preserve">“how</w:t>
      </w:r>
      <w:r>
        <w:t xml:space="preserve"> </w:t>
      </w:r>
      <w:r>
        <w:t xml:space="preserve">often is anything stale”</w:t>
      </w:r>
      <w:r>
        <w:t xml:space="preserve">) with allocation (</w:t>
      </w:r>
      <w:r>
        <w:t xml:space="preserve">“how much attention goes to</w:t>
      </w:r>
      <w:r>
        <w:t xml:space="preserve"> </w:t>
      </w:r>
      <w:r>
        <w:t xml:space="preserve">stale nodes when present”</w:t>
      </w:r>
      <w:r>
        <w:t xml:space="preserve">), results also report exposure-conditional</w:t>
      </w:r>
      <w:r>
        <w:t xml:space="preserve"> </w:t>
      </w:r>
      <w:r>
        <w:t xml:space="preserve">WAMSN and two operator-facing translations: the rate at which stale</w:t>
      </w:r>
      <w:r>
        <w:t xml:space="preserve"> </w:t>
      </w:r>
      <w:r>
        <w:t xml:space="preserve">nodes enter the explanation’s top-3, and top-3 membership churn against</w:t>
      </w:r>
      <w:r>
        <w:t xml:space="preserve"> </w:t>
      </w:r>
      <w:r>
        <w:t xml:space="preserve">the clean twin.</w:t>
      </w:r>
    </w:p>
    <w:p>
      <w:pPr>
        <w:pStyle w:val="BodyText"/>
      </w:pPr>
      <w:r>
        <w:rPr>
          <w:b/>
          <w:bCs/>
        </w:rPr>
        <w:t xml:space="preserve">Attention drift.</w:t>
      </w:r>
      <w:r>
        <w:t xml:space="preserve"> </w:t>
      </w:r>
      <w:r>
        <w:t xml:space="preserve">Jensen–Shannon divergence between the attention</w:t>
      </w:r>
      <w:r>
        <w:t xml:space="preserve"> </w:t>
      </w:r>
      <w:r>
        <w:t xml:space="preserve">rows of a decision’s degraded observation and its clean twin (base-2,</w:t>
      </w:r>
      <w:r>
        <w:t xml:space="preserve"> </w:t>
      </w:r>
      <w:r>
        <w:t xml:space="preserve">∈ [0, 1]); reported descriptively.</w:t>
      </w:r>
    </w:p>
    <w:bookmarkEnd w:id="26"/>
    <w:bookmarkStart w:id="27" w:name="construct-validity-instrumentation"/>
    <w:p>
      <w:pPr>
        <w:pStyle w:val="Heading2"/>
      </w:pPr>
      <w:r>
        <w:t xml:space="preserve">3.5 Construct-validity instrumentation</w:t>
      </w:r>
    </w:p>
    <w:p>
      <w:pPr>
        <w:pStyle w:val="FirstParagraph"/>
      </w:pPr>
      <w:r>
        <w:t xml:space="preserve">Because every reservation node doubles as an action candidate,</w:t>
      </w:r>
      <w:r>
        <w:t xml:space="preserve"> </w:t>
      </w:r>
      <w:r>
        <w:t xml:space="preserve">occluding one deletes an action: if a* itself is deleted the margin</w:t>
      </w:r>
      <w:r>
        <w:t xml:space="preserve"> </w:t>
      </w:r>
      <w:r>
        <w:t xml:space="preserve">clamps to −cap, an event unrelated to information content (Fig. 4).</w:t>
      </w:r>
      <w:r>
        <w:t xml:space="preserve"> </w:t>
      </w:r>
      <w:r>
        <w:t xml:space="preserve">Three instruments quantify and control this: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Clamp audit.</w:t>
      </w:r>
      <w:r>
        <w:t xml:space="preserve"> </w:t>
      </w:r>
      <w:r>
        <w:t xml:space="preserve">Every counterfactual forward records whether its</w:t>
      </w:r>
      <w:r>
        <w:t xml:space="preserve"> </w:t>
      </w:r>
      <w:r>
        <w:t xml:space="preserve">margin hit ±cap, tallied separately for explanation-top-k and</w:t>
      </w:r>
      <w:r>
        <w:t xml:space="preserve"> </w:t>
      </w:r>
      <w:r>
        <w:t xml:space="preserve">random-baseline occlusion sets.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Exclusion variant.</w:t>
      </w:r>
      <w:r>
        <w:t xml:space="preserve"> </w:t>
      </w:r>
      <w:r>
        <w:t xml:space="preserve">DEF recomputed with the chosen action’s node</w:t>
      </w:r>
      <w:r>
        <w:t xml:space="preserve"> </w:t>
      </w:r>
      <w:r>
        <w:rPr>
          <w:i/>
          <w:iCs/>
        </w:rPr>
        <w:t xml:space="preserve">protected</w:t>
      </w:r>
      <w:r>
        <w:t xml:space="preserve"> </w:t>
      </w:r>
      <w:r>
        <w:t xml:space="preserve">— never occluded in Comp, always retained in Suff, and</w:t>
      </w:r>
      <w:r>
        <w:t xml:space="preserve"> </w:t>
      </w:r>
      <w:r>
        <w:t xml:space="preserve">excluded from both candidate pools.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Composition-matched (type-matched) baseline.</w:t>
      </w:r>
      <w:r>
        <w:t xml:space="preserve"> </w:t>
      </w:r>
      <w:r>
        <w:t xml:space="preserve">Random occlusion</w:t>
      </w:r>
      <w:r>
        <w:t xml:space="preserve"> </w:t>
      </w:r>
      <w:r>
        <w:t xml:space="preserve">sets drawn with the same taxi/reservation composition as the</w:t>
      </w:r>
      <w:r>
        <w:t xml:space="preserve"> </w:t>
      </w:r>
      <w:r>
        <w:t xml:space="preserve">explanation’s top-k, so action-deletion events strike both sides of</w:t>
      </w:r>
      <w:r>
        <w:t xml:space="preserve"> </w:t>
      </w:r>
      <w:r>
        <w:t xml:space="preserve">the comparison equally.</w:t>
      </w:r>
    </w:p>
    <w:p>
      <w:pPr>
        <w:pStyle w:val="FirstParagraph"/>
      </w:pPr>
      <w:r>
        <w:t xml:space="preserve">These instruments were added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artifact was discovered during</w:t>
      </w:r>
      <w:r>
        <w:t xml:space="preserve"> </w:t>
      </w:r>
      <w:r>
        <w:t xml:space="preserve">an internal mock review; the discovery order is preserved in Chapter 4</w:t>
      </w:r>
      <w:r>
        <w:t xml:space="preserve"> </w:t>
      </w:r>
      <w:r>
        <w:t xml:space="preserve">and the protocol change is registered in Appendix A. Headline claims</w:t>
      </w:r>
      <w:r>
        <w:t xml:space="preserve"> </w:t>
      </w:r>
      <w:r>
        <w:t xml:space="preserve">cite the type-matched numbers; uniform-baseline numbers are retained to</w:t>
      </w:r>
      <w:r>
        <w:t xml:space="preserve"> </w:t>
      </w:r>
      <w:r>
        <w:t xml:space="preserve">document the artifact.</w:t>
      </w:r>
    </w:p>
    <w:bookmarkEnd w:id="27"/>
    <w:bookmarkStart w:id="28" w:name="experimental-design"/>
    <w:p>
      <w:pPr>
        <w:pStyle w:val="Heading2"/>
      </w:pPr>
      <w:r>
        <w:t xml:space="preserve">3.6 Experimental design</w:t>
      </w:r>
    </w:p>
    <w:p>
      <w:pPr>
        <w:pStyle w:val="FirstParagraph"/>
      </w:pPr>
      <w:r>
        <w:rPr>
          <w:b/>
          <w:bCs/>
        </w:rPr>
        <w:t xml:space="preserve">Conditions.</w:t>
      </w:r>
      <w:r>
        <w:t xml:space="preserve"> </w:t>
      </w:r>
      <w:r>
        <w:t xml:space="preserve">B0: SUMO’s built-in greedy matcher (non-learned upper</w:t>
      </w:r>
      <w:r>
        <w:t xml:space="preserve"> </w:t>
      </w:r>
      <w:r>
        <w:t xml:space="preserve">reference). B1: MAPPO + MLP, no graph (performance context; no</w:t>
      </w:r>
      <w:r>
        <w:t xml:space="preserve"> </w:t>
      </w:r>
      <w:r>
        <w:t xml:space="preserve">attention channel). B2: GAT-MAPPO (the audited system). B3: B2 without</w:t>
      </w:r>
      <w:r>
        <w:t xml:space="preserve"> </w:t>
      </w:r>
      <w:r>
        <w:t xml:space="preserve">the AoI input feature. H5′: B2’s exact configuration trained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tunnel-freeze degradation (outage 30 s), three seeds (42/43/44).</w:t>
      </w:r>
      <w:r>
        <w:t xml:space="preserve"> </w:t>
      </w:r>
      <w:r>
        <w:t xml:space="preserve">B0–B3 are trained on clean telemetry per protocol; note that under</w:t>
      </w:r>
      <w:r>
        <w:t xml:space="preserve"> </w:t>
      </w:r>
      <w:r>
        <w:t xml:space="preserve">clean training the AoI feature is identically zero, so the B2/B3</w:t>
      </w:r>
      <w:r>
        <w:t xml:space="preserve"> </w:t>
      </w:r>
      <w:r>
        <w:t xml:space="preserve">contrast is informative only as a performance control (Appendix A).</w:t>
      </w:r>
    </w:p>
    <w:p>
      <w:pPr>
        <w:pStyle w:val="BodyText"/>
      </w:pPr>
      <w:r>
        <w:rPr>
          <w:b/>
          <w:bCs/>
        </w:rPr>
        <w:t xml:space="preserve">Decoupled explanation head.</w:t>
      </w:r>
      <w:r>
        <w:t xml:space="preserve"> </w:t>
      </w:r>
      <w:r>
        <w:t xml:space="preserve">A two-layer scorer over the policy’s</w:t>
      </w:r>
      <w:r>
        <w:t xml:space="preserve"> </w:t>
      </w:r>
      <w:r>
        <w:rPr>
          <w:i/>
          <w:iCs/>
        </w:rPr>
        <w:t xml:space="preserve">detached</w:t>
      </w:r>
      <w:r>
        <w:t xml:space="preserve"> </w:t>
      </w:r>
      <w:r>
        <w:t xml:space="preserve">post-GAT node embeddings — architecturally incapable of</w:t>
      </w:r>
      <w:r>
        <w:t xml:space="preserve"> </w:t>
      </w:r>
      <w:r>
        <w:t xml:space="preserve">influencing the action — trained by occlusion distillation: targets are</w:t>
      </w:r>
      <w:r>
        <w:t xml:space="preserve"> </w:t>
      </w:r>
      <w:r>
        <w:t xml:space="preserve">per-node margin drops from single-node occlusions, softmax-normalised,</w:t>
      </w:r>
      <w:r>
        <w:t xml:space="preserve"> </w:t>
      </w:r>
      <w:r>
        <w:t xml:space="preserve">KL loss. Distillation rollouts use a seed disjoint from all evaluation</w:t>
      </w:r>
      <w:r>
        <w:t xml:space="preserve"> </w:t>
      </w:r>
      <w:r>
        <w:t xml:space="preserve">seeds; held-out rank agreement with occlusion importance is</w:t>
      </w:r>
      <w:r>
        <w:t xml:space="preserve"> </w:t>
      </w:r>
      <w:r>
        <w:t xml:space="preserve">Spearman +0.60. At evaluation the head is scored by the identical DEF</w:t>
      </w:r>
      <w:r>
        <w:t xml:space="preserve"> </w:t>
      </w:r>
      <w:r>
        <w:t xml:space="preserve">machinery via an importance-row override, in exactly-paired comparison</w:t>
      </w:r>
      <w:r>
        <w:t xml:space="preserve"> </w:t>
      </w:r>
      <w:r>
        <w:t xml:space="preserve">with attention (same decisions, same random subsets).</w:t>
      </w:r>
    </w:p>
    <w:p>
      <w:pPr>
        <w:pStyle w:val="BodyText"/>
      </w:pPr>
      <w:r>
        <w:rPr>
          <w:b/>
          <w:bCs/>
        </w:rPr>
        <w:t xml:space="preserve">Sweep.</w:t>
      </w:r>
      <w:r>
        <w:t xml:space="preserve"> </w:t>
      </w:r>
      <w:r>
        <w:t xml:space="preserve">Each faithfulness sweep covers {clean + 4 severity levels} ×</w:t>
      </w:r>
      <w:r>
        <w:t xml:space="preserve"> </w:t>
      </w:r>
      <w:r>
        <w:t xml:space="preserve">8 environment seeds × 3 test-demand episodes, scoring one decision in</w:t>
      </w:r>
      <w:r>
        <w:t xml:space="preserve"> </w:t>
      </w:r>
      <w:r>
        <w:t xml:space="preserve">eight (~18 000 scored decisions per sweep), with per-decision records,</w:t>
      </w:r>
      <w:r>
        <w:t xml:space="preserve"> </w:t>
      </w:r>
      <w:r>
        <w:t xml:space="preserve">manifests (seeds, git revision), and empirical degradation exposure</w:t>
      </w:r>
      <w:r>
        <w:t xml:space="preserve"> </w:t>
      </w:r>
      <w:r>
        <w:t xml:space="preserve">(~2 % of decisions at this geography) all archived.</w:t>
      </w:r>
    </w:p>
    <w:bookmarkEnd w:id="28"/>
    <w:bookmarkStart w:id="29" w:name="statistical-methodology"/>
    <w:p>
      <w:pPr>
        <w:pStyle w:val="Heading2"/>
      </w:pPr>
      <w:r>
        <w:t xml:space="preserve">3.7 Statistical methodology</w:t>
      </w:r>
    </w:p>
    <w:p>
      <w:pPr>
        <w:pStyle w:val="FirstParagraph"/>
      </w:pPr>
      <w:r>
        <w:t xml:space="preserve">Decisions cluster within episodes and seeds, and severity is assigned</w:t>
      </w:r>
      <w:r>
        <w:t xml:space="preserve"> </w:t>
      </w:r>
      <w:r>
        <w:t xml:space="preserve">per (level × seed) cell, so per-decision tests that assume independence</w:t>
      </w:r>
      <w:r>
        <w:t xml:space="preserve"> </w:t>
      </w:r>
      <w:r>
        <w:t xml:space="preserve">are anticonservative. The confirmatory analysis therefore uses: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Episode-block restricted permutation</w:t>
      </w:r>
      <w:r>
        <w:t xml:space="preserve"> </w:t>
      </w:r>
      <w:r>
        <w:t xml:space="preserve">for monotone-trend tests</w:t>
      </w:r>
      <w:r>
        <w:t xml:space="preserve"> </w:t>
      </w:r>
      <w:r>
        <w:t xml:space="preserve">(H1, H3): severity labels are permuted across whole episode blocks</w:t>
      </w:r>
      <w:r>
        <w:t xml:space="preserve"> </w:t>
      </w:r>
      <w:r>
        <w:t xml:space="preserve">within each seed, respecting the crossed design (120 blocks per</w:t>
      </w:r>
      <w:r>
        <w:t xml:space="preserve"> </w:t>
      </w:r>
      <w:r>
        <w:t xml:space="preserve">sweep); reported with episode-cluster bootstrap CIs on Spearman 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Within-episode stratification</w:t>
      </w:r>
      <w:r>
        <w:t xml:space="preserve"> </w:t>
      </w:r>
      <w:r>
        <w:t xml:space="preserve">for the WAMSN–DEF association</w:t>
      </w:r>
      <w:r>
        <w:t xml:space="preserve"> </w:t>
      </w:r>
      <w:r>
        <w:t xml:space="preserve">(H4): ρ computed inside each episode and aggregated by sign-flip</w:t>
      </w:r>
      <w:r>
        <w:t xml:space="preserve"> </w:t>
      </w:r>
      <w:r>
        <w:t xml:space="preserve">test, removing the between-level ecological confound.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Paired sign-flip tests at cell level</w:t>
      </w:r>
      <w:r>
        <w:t xml:space="preserve"> </w:t>
      </w:r>
      <w:r>
        <w:t xml:space="preserve">for the decoupling rate</w:t>
      </w:r>
      <w:r>
        <w:t xml:space="preserve"> </w:t>
      </w:r>
      <w:r>
        <w:t xml:space="preserve">comparison (H2): per (level × seed) cell, faithfulness- and</w:t>
      </w:r>
      <w:r>
        <w:t xml:space="preserve"> </w:t>
      </w:r>
      <w:r>
        <w:t xml:space="preserve">performance-degradation rates relative to the same seed’s clean cell</w:t>
      </w:r>
      <w:r>
        <w:t xml:space="preserve"> </w:t>
      </w:r>
      <w:r>
        <w:t xml:space="preserve">(n = 32 cells).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Holm correction</w:t>
      </w:r>
      <w:r>
        <w:t xml:space="preserve"> </w:t>
      </w:r>
      <w:r>
        <w:t xml:space="preserve">across the confirmatory family {H1, H2, H3, H4}</w:t>
      </w:r>
      <w:r>
        <w:t xml:space="preserve"> </w:t>
      </w:r>
      <w:r>
        <w:t xml:space="preserve">per sweep. Margin-DEF variants and the appendix dropout axis are</w:t>
      </w:r>
      <w:r>
        <w:t xml:space="preserve"> </w:t>
      </w:r>
      <w:r>
        <w:t xml:space="preserve">declared exploratory and reported unadjusted, labelled as such.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Bootstrap CIs</w:t>
      </w:r>
      <w:r>
        <w:t xml:space="preserve"> </w:t>
      </w:r>
      <w:r>
        <w:t xml:space="preserve">(2 000 resamples) for all descriptive means.</w:t>
      </w:r>
    </w:p>
    <w:p>
      <w:pPr>
        <w:pStyle w:val="FirstParagraph"/>
      </w:pPr>
      <w:r>
        <w:t xml:space="preserve">All statistics are permutation/bootstrap-based (no distributional</w:t>
      </w:r>
      <w:r>
        <w:t xml:space="preserve"> </w:t>
      </w:r>
      <w:r>
        <w:t xml:space="preserve">assumptions), implemented in numpy only, with fixed statistical seeds.</w:t>
      </w:r>
    </w:p>
    <w:bookmarkEnd w:id="29"/>
    <w:bookmarkStart w:id="30" w:name="reproducibility"/>
    <w:p>
      <w:pPr>
        <w:pStyle w:val="Heading2"/>
      </w:pPr>
      <w:r>
        <w:t xml:space="preserve">3.8 Reproducibility</w:t>
      </w:r>
    </w:p>
    <w:p>
      <w:pPr>
        <w:pStyle w:val="FirstParagraph"/>
      </w:pPr>
      <w:r>
        <w:t xml:space="preserve">Every result regenerates from the repository: pinned dependency</w:t>
      </w:r>
      <w:r>
        <w:t xml:space="preserve"> </w:t>
      </w:r>
      <w:r>
        <w:t xml:space="preserve">versions, committed networks and demand variants, seed-pinned training</w:t>
      </w:r>
      <w:r>
        <w:t xml:space="preserve"> </w:t>
      </w:r>
      <w:r>
        <w:t xml:space="preserve">scripts, per-sweep JSON manifests recording configuration and git</w:t>
      </w:r>
      <w:r>
        <w:t xml:space="preserve"> </w:t>
      </w:r>
      <w:r>
        <w:t xml:space="preserve">revision, committed best checkpoints, and a deviations register</w:t>
      </w:r>
      <w:r>
        <w:t xml:space="preserve"> </w:t>
      </w:r>
      <w:r>
        <w:t xml:space="preserve">(Appendix A). The development environment (SUMO 1.20 on x86-64 macOS)</w:t>
      </w:r>
      <w:r>
        <w:t xml:space="preserve"> </w:t>
      </w:r>
      <w:r>
        <w:t xml:space="preserve">and the Colab environment (SUMO 1.27) are documented per artefact; all</w:t>
      </w:r>
      <w:r>
        <w:t xml:space="preserve"> </w:t>
      </w:r>
      <w:r>
        <w:t xml:space="preserve">committed faithfulness numbers originate from the former.</w:t>
      </w:r>
    </w:p>
    <w:bookmarkEnd w:id="30"/>
    <w:bookmarkEnd w:id="31"/>
    <w:bookmarkStart w:id="38" w:name="results"/>
    <w:p>
      <w:pPr>
        <w:pStyle w:val="Heading1"/>
      </w:pPr>
      <w:r>
        <w:t xml:space="preserve">4. Results</w:t>
      </w:r>
    </w:p>
    <w:p>
      <w:pPr>
        <w:pStyle w:val="FirstParagraph"/>
      </w:pPr>
      <w:r>
        <w:t xml:space="preserve">Results are reported in the order they were established, because the</w:t>
      </w:r>
      <w:r>
        <w:t xml:space="preserve"> </w:t>
      </w:r>
      <w:r>
        <w:t xml:space="preserve">order matters: an audit in the middle of the study overturned the</w:t>
      </w:r>
      <w:r>
        <w:t xml:space="preserve"> </w:t>
      </w:r>
      <w:r>
        <w:t xml:space="preserve">reading of its first finding, and the corrected protocol then governed</w:t>
      </w:r>
      <w:r>
        <w:t xml:space="preserve"> </w:t>
      </w:r>
      <w:r>
        <w:t xml:space="preserve">everything after. All numbers derive from the archived result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results/story_freeze_v1/</w:t>
      </w:r>
      <w:r>
        <w:t xml:space="preserve">, including</w:t>
      </w:r>
      <w:r>
        <w:t xml:space="preserve"> </w:t>
      </w:r>
      <w:r>
        <w:rPr>
          <w:rStyle w:val="VerbatimChar"/>
        </w:rPr>
        <w:t xml:space="preserve">audit/</w:t>
      </w:r>
      <w:r>
        <w:t xml:space="preserve">); statistics are the</w:t>
      </w:r>
      <w:r>
        <w:t xml:space="preserve"> </w:t>
      </w:r>
      <w:r>
        <w:t xml:space="preserve">cluster-robust ones of §3.7 unless stated.</w:t>
      </w:r>
    </w:p>
    <w:bookmarkStart w:id="32" w:name="performance-context"/>
    <w:p>
      <w:pPr>
        <w:pStyle w:val="Heading2"/>
      </w:pPr>
      <w:r>
        <w:t xml:space="preserve">4.1 Performance context</w:t>
      </w:r>
    </w:p>
    <w:p>
      <w:pPr>
        <w:pStyle w:val="FirstParagraph"/>
      </w:pPr>
      <w:r>
        <w:t xml:space="preserve">Under stochastic evaluation on held-out test demand, SUMO’s built-in</w:t>
      </w:r>
      <w:r>
        <w:t xml:space="preserve"> </w:t>
      </w:r>
      <w:r>
        <w:t xml:space="preserve">greedy matcher completes 32 pickups per episode; the learned policies</w:t>
      </w:r>
      <w:r>
        <w:t xml:space="preserve"> </w:t>
      </w:r>
      <w:r>
        <w:t xml:space="preserve">complete 6–8 (B2: 6.7 ± 1.9). The learned policies additionally exhibit</w:t>
      </w:r>
      <w:r>
        <w:t xml:space="preserve"> </w:t>
      </w:r>
      <w:r>
        <w:t xml:space="preserve">entropy collapse during training (entropy &lt; 0.05 within 25–130 epochs),</w:t>
      </w:r>
      <w:r>
        <w:t xml:space="preserve"> </w:t>
      </w:r>
      <w:r>
        <w:t xml:space="preserve">which motivates rolling-mean checkpoint selection and stochastic</w:t>
      </w:r>
      <w:r>
        <w:t xml:space="preserve"> </w:t>
      </w:r>
      <w:r>
        <w:t xml:space="preserve">evaluation (§3.2). The study’s claims are accordingly scoped to this</w:t>
      </w:r>
      <w:r>
        <w:t xml:space="preserve"> </w:t>
      </w:r>
      <w:r>
        <w:t xml:space="preserve">low-performance regime; §4.5 shows the faithfulness findings are</w:t>
      </w:r>
      <w:r>
        <w:t xml:space="preserve"> </w:t>
      </w:r>
      <w:r>
        <w:t xml:space="preserve">nevertheless invariant across the capability range available, and</w:t>
      </w:r>
      <w:r>
        <w:t xml:space="preserve"> </w:t>
      </w:r>
      <w:r>
        <w:t xml:space="preserve">Chapter 5 discusses the external-validity implications of the</w:t>
      </w:r>
      <w:r>
        <w:t xml:space="preserve"> </w:t>
      </w:r>
      <w:r>
        <w:t xml:space="preserve">greedy gap.</w:t>
      </w:r>
    </w:p>
    <w:bookmarkEnd w:id="32"/>
    <w:bookmarkStart w:id="33" w:name="X603b842fb532eed0f9fe1bddd66b610d351beaf"/>
    <w:p>
      <w:pPr>
        <w:pStyle w:val="Heading2"/>
      </w:pPr>
      <w:r>
        <w:t xml:space="preserve">4.2 Act 1 — the built-in explanation is uninformative (RQ1a)</w:t>
      </w:r>
    </w:p>
    <w:p>
      <w:pPr>
        <w:pStyle w:val="FirstParagraph"/>
      </w:pPr>
      <w:r>
        <w:rPr>
          <w:b/>
          <w:bCs/>
        </w:rPr>
        <w:t xml:space="preserve">Initial reading.</w:t>
      </w:r>
      <w:r>
        <w:t xml:space="preserve"> </w:t>
      </w:r>
      <w:r>
        <w:t xml:space="preserve">Under the proposal’s protocol (uniform random</w:t>
      </w:r>
      <w:r>
        <w:t xml:space="preserve"> </w:t>
      </w:r>
      <w:r>
        <w:t xml:space="preserve">baselines), the clean-telemetry margin-DEF of the B2 policy is</w:t>
      </w:r>
      <w:r>
        <w:t xml:space="preserve"> </w:t>
      </w:r>
      <w:r>
        <w:rPr>
          <w:b/>
          <w:bCs/>
        </w:rPr>
        <w:t xml:space="preserve">−0.541</w:t>
      </w:r>
      <w:r>
        <w:t xml:space="preserve"> </w:t>
      </w:r>
      <w:r>
        <w:t xml:space="preserve">(95 % CI [−0.556, −0.527]; n = 3 565 scored decisions) —</w:t>
      </w:r>
      <w:r>
        <w:t xml:space="preserve"> </w:t>
      </w:r>
      <w:r>
        <w:t xml:space="preserve">apparently</w:t>
      </w:r>
      <w:r>
        <w:t xml:space="preserve"> </w:t>
      </w:r>
      <w:r>
        <w:rPr>
          <w:i/>
          <w:iCs/>
        </w:rPr>
        <w:t xml:space="preserve">worse than random</w:t>
      </w:r>
      <w:r>
        <w:t xml:space="preserve"> </w:t>
      </w:r>
      <w:r>
        <w:t xml:space="preserve">(Fig. 5, left).</w:t>
      </w:r>
    </w:p>
    <w:p>
      <w:pPr>
        <w:pStyle w:val="BodyText"/>
      </w:pPr>
      <w:r>
        <w:rPr>
          <w:b/>
          <w:bCs/>
        </w:rPr>
        <w:t xml:space="preserve">The audit.</w:t>
      </w:r>
      <w:r>
        <w:t xml:space="preserve"> </w:t>
      </w:r>
      <w:r>
        <w:t xml:space="preserve">A construct-validity audit interrogated this reading</w:t>
      </w:r>
      <w:r>
        <w:t xml:space="preserve"> </w:t>
      </w:r>
      <w:r>
        <w:t xml:space="preserve">with the three instruments of §3.5: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Clamp audit</w:t>
      </w:r>
      <w:r>
        <w:t xml:space="preserve">: 14.6 % of random-baseline counterfactual forwards hit</w:t>
      </w:r>
      <w:r>
        <w:t xml:space="preserve"> </w:t>
      </w:r>
      <w:r>
        <w:t xml:space="preserve">the margin clamp, versus 1.8 % for attention-top-k occlusions — the</w:t>
      </w:r>
      <w:r>
        <w:t xml:space="preserve"> </w:t>
      </w:r>
      <w:r>
        <w:t xml:space="preserve">action-deletion mechanism strikes the two sides of the comparison at</w:t>
      </w:r>
      <w:r>
        <w:t xml:space="preserve"> </w:t>
      </w:r>
      <w:r>
        <w:t xml:space="preserve">an 8:1 ratio.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Exclusion variant</w:t>
      </w:r>
      <w:r>
        <w:t xml:space="preserve"> </w:t>
      </w:r>
      <w:r>
        <w:t xml:space="preserve">(dispatch decisions, n = 136): the standard</w:t>
      </w:r>
      <w:r>
        <w:t xml:space="preserve"> </w:t>
      </w:r>
      <w:r>
        <w:t xml:space="preserve">protocol scores +0.586 — apparently</w:t>
      </w:r>
      <w:r>
        <w:t xml:space="preserve"> </w:t>
      </w:r>
      <w:r>
        <w:rPr>
          <w:i/>
          <w:iCs/>
        </w:rPr>
        <w:t xml:space="preserve">better</w:t>
      </w:r>
      <w:r>
        <w:t xml:space="preserve"> </w:t>
      </w:r>
      <w:r>
        <w:t xml:space="preserve">than random — collapsing</w:t>
      </w:r>
      <w:r>
        <w:t xml:space="preserve"> </w:t>
      </w:r>
      <w:r>
        <w:t xml:space="preserve">to −0.024 when the chosen action’s node is protected. The artifact</w:t>
      </w:r>
      <w:r>
        <w:t xml:space="preserve"> </w:t>
      </w:r>
      <w:r>
        <w:t xml:space="preserve">manufactures both signs.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Type-matched control</w:t>
      </w:r>
      <w:r>
        <w:t xml:space="preserve"> </w:t>
      </w:r>
      <w:r>
        <w:t xml:space="preserve">(n = 1 199 paired decisions): clean margin-DEF</w:t>
      </w:r>
      <w:r>
        <w:t xml:space="preserve"> </w:t>
      </w:r>
      <w:r>
        <w:t xml:space="preserve">moves from −0.554 (uniform) to</w:t>
      </w:r>
      <w:r>
        <w:t xml:space="preserve"> </w:t>
      </w:r>
      <w:r>
        <w:rPr>
          <w:b/>
          <w:bCs/>
        </w:rPr>
        <w:t xml:space="preserve">−0.009</w:t>
      </w:r>
      <w:r>
        <w:t xml:space="preserve"> </w:t>
      </w:r>
      <w:r>
        <w:t xml:space="preserve">(95 % CI [−0.016, −0.001])</w:t>
      </w:r>
      <w:r>
        <w:t xml:space="preserve"> </w:t>
      </w:r>
      <w:r>
        <w:t xml:space="preserve">when random baselines share attention’s node-type composition</w:t>
      </w:r>
      <w:r>
        <w:t xml:space="preserve"> </w:t>
      </w:r>
      <w:r>
        <w:t xml:space="preserve">(Fig. 5, right).</w:t>
      </w:r>
      <w:r>
        <w:t xml:space="preserve"> </w:t>
      </w:r>
      <w:r>
        <w:rPr>
          <w:b/>
          <w:bCs/>
        </w:rPr>
        <w:t xml:space="preserve">98 % of the deficit is artifact.</w:t>
      </w:r>
    </w:p>
    <w:p>
      <w:pPr>
        <w:pStyle w:val="FirstParagraph"/>
      </w:pPr>
      <w:r>
        <w:rPr>
          <w:b/>
          <w:bCs/>
        </w:rPr>
        <w:t xml:space="preserve">Corrected finding.</w:t>
      </w:r>
      <w:r>
        <w:t xml:space="preserve"> </w:t>
      </w:r>
      <w:r>
        <w:t xml:space="preserve">The attention channel carries no measurable</w:t>
      </w:r>
      <w:r>
        <w:t xml:space="preserve"> </w:t>
      </w:r>
      <w:r>
        <w:t xml:space="preserve">decision-relevant information on clean telemetry: statistically</w:t>
      </w:r>
      <w:r>
        <w:t xml:space="preserve"> </w:t>
      </w:r>
      <w:r>
        <w:t xml:space="preserve">indistinguishable from (marginally below) a fair random explanation.</w:t>
      </w:r>
      <w:r>
        <w:t xml:space="preserve"> </w:t>
      </w:r>
      <w:r>
        <w:t xml:space="preserve">The proposal’s reinterpretation clause for near-zero clean DEF applies</w:t>
      </w:r>
      <w:r>
        <w:t xml:space="preserve"> </w:t>
      </w:r>
      <w:r>
        <w:t xml:space="preserve">in full, and the artifact characterisation is promoted to a</w:t>
      </w:r>
      <w:r>
        <w:t xml:space="preserve"> </w:t>
      </w:r>
      <w:r>
        <w:t xml:space="preserve">contribution in its own right (§5.3).</w:t>
      </w:r>
    </w:p>
    <w:bookmarkEnd w:id="33"/>
    <w:bookmarkStart w:id="34" w:name="act-2-silent-drift-under-staleness-h1h4"/>
    <w:p>
      <w:pPr>
        <w:pStyle w:val="Heading2"/>
      </w:pPr>
      <w:r>
        <w:t xml:space="preserve">4.3 Act 2 — silent drift under staleness (H1–H4)</w:t>
      </w:r>
    </w:p>
    <w:p>
      <w:pPr>
        <w:pStyle w:val="FirstParagraph"/>
      </w:pPr>
      <w:r>
        <w:t xml:space="preserve">B2 evaluated across the max-AoI ladder (Fig. 6; ≈18 000 scored</w:t>
      </w:r>
      <w:r>
        <w:t xml:space="preserve"> </w:t>
      </w:r>
      <w:r>
        <w:t xml:space="preserve">decisions; empirical exposure ≈2 % of decisions, dominated by in-tunnel</w:t>
      </w:r>
      <w:r>
        <w:t xml:space="preserve"> </w:t>
      </w:r>
      <w:r>
        <w:t xml:space="preserve">transit with the outage extension supplying the level dependence):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H3 — supported.</w:t>
      </w:r>
      <w:r>
        <w:t xml:space="preserve"> </w:t>
      </w:r>
      <w:r>
        <w:t xml:space="preserve">WAMSN rises from 0 to ≈0.013 as soon as staleness</w:t>
      </w:r>
      <w:r>
        <w:t xml:space="preserve"> </w:t>
      </w:r>
      <w:r>
        <w:t xml:space="preserve">exists (ρ = +0.092; episode-block permutation p = 10⁻⁴; cluster CI</w:t>
      </w:r>
      <w:r>
        <w:t xml:space="preserve"> </w:t>
      </w:r>
      <w:r>
        <w:t xml:space="preserve">[+0.052, +0.128]). Conditional on exposure (≥1 stale vehicle node</w:t>
      </w:r>
      <w:r>
        <w:t xml:space="preserve"> </w:t>
      </w:r>
      <w:r>
        <w:t xml:space="preserve">visible, 8.4 % of decisions), WAMSN averages 0.140, and a stale node</w:t>
      </w:r>
      <w:r>
        <w:t xml:space="preserve"> </w:t>
      </w:r>
      <w:r>
        <w:t xml:space="preserve">enters the explanation’s top-3 in 8.5 % of exposed decisions.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H4 — supported, strengthened.</w:t>
      </w:r>
      <w:r>
        <w:t xml:space="preserve"> </w:t>
      </w:r>
      <w:r>
        <w:t xml:space="preserve">Within episodes — the stratification</w:t>
      </w:r>
      <w:r>
        <w:t xml:space="preserve"> </w:t>
      </w:r>
      <w:r>
        <w:t xml:space="preserve">that removes the between-level confound — the WAMSN–DEF correlation</w:t>
      </w:r>
      <w:r>
        <w:t xml:space="preserve"> </w:t>
      </w:r>
      <w:r>
        <w:t xml:space="preserve">is negative in 89 % of episodes (mean within-episode ρ = −0.140,</w:t>
      </w:r>
      <w:r>
        <w:t xml:space="preserve"> </w:t>
      </w:r>
      <w:r>
        <w:t xml:space="preserve">p = 10⁻⁴): the more a decision’s attention rests on stale nodes, the</w:t>
      </w:r>
      <w:r>
        <w:t xml:space="preserve"> </w:t>
      </w:r>
      <w:r>
        <w:t xml:space="preserve">less faithful it is, inside the same episode.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H1 — not supported (floor effect).</w:t>
      </w:r>
      <w:r>
        <w:t xml:space="preserve"> </w:t>
      </w:r>
      <w:r>
        <w:t xml:space="preserve">Margin-DEF is flat at its</w:t>
      </w:r>
      <w:r>
        <w:t xml:space="preserve"> </w:t>
      </w:r>
      <w:r>
        <w:t xml:space="preserve">clean-data level at every severity (episode-block p = 0.65; cluster</w:t>
      </w:r>
      <w:r>
        <w:t xml:space="preserve"> </w:t>
      </w:r>
      <w:r>
        <w:t xml:space="preserve">CI for ρ [−0.016, +0.025]). Given Act 1, the predicted decline has no</w:t>
      </w:r>
      <w:r>
        <w:t xml:space="preserve"> </w:t>
      </w:r>
      <w:r>
        <w:t xml:space="preserve">room to occur: a channel at the fair-random floor cannot lose</w:t>
      </w:r>
      <w:r>
        <w:t xml:space="preserve"> </w:t>
      </w:r>
      <w:r>
        <w:t xml:space="preserve">faithfulness it does not have.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H2 — supported in the rate framing.</w:t>
      </w:r>
      <w:r>
        <w:t xml:space="preserve"> </w:t>
      </w:r>
      <w:r>
        <w:t xml:space="preserve">Cell-level</w:t>
      </w:r>
      <w:r>
        <w:t xml:space="preserve"> </w:t>
      </w:r>
      <w:r>
        <w:t xml:space="preserve">faithfulness-degradation rates exceed performance-degradation rates</w:t>
      </w:r>
      <w:r>
        <w:t xml:space="preserve"> </w:t>
      </w:r>
      <w:r>
        <w:t xml:space="preserve">(n = 32; Holm-corrected p = 0.039) — performance itself is</w:t>
      </w:r>
      <w:r>
        <w:t xml:space="preserve"> </w:t>
      </w:r>
      <w:r>
        <w:t xml:space="preserve">statistically flat (6.5–7.4 pickups across severities).</w:t>
      </w:r>
    </w:p>
    <w:p>
      <w:pPr>
        <w:pStyle w:val="Compact"/>
        <w:numPr>
          <w:ilvl w:val="0"/>
          <w:numId w:val="1007"/>
        </w:numPr>
      </w:pPr>
      <w:r>
        <w:t xml:space="preserve">Attention drift is present but small (JS ≈ 0.000–0.001), consistent</w:t>
      </w:r>
      <w:r>
        <w:t xml:space="preserve"> </w:t>
      </w:r>
      <w:r>
        <w:t xml:space="preserve">with a saturated encoder; top-3 explanation membership changes versus</w:t>
      </w:r>
      <w:r>
        <w:t xml:space="preserve"> </w:t>
      </w:r>
      <w:r>
        <w:t xml:space="preserve">the clean twin in 1.4 % of decisions.</w:t>
      </w:r>
    </w:p>
    <w:p>
      <w:pPr>
        <w:pStyle w:val="FirstParagraph"/>
      </w:pPr>
      <w:r>
        <w:t xml:space="preserve">Under Holm correction over the confirmatory family, the verdict set is</w:t>
      </w:r>
      <w:r>
        <w:t xml:space="preserve"> </w:t>
      </w:r>
      <w:r>
        <w:t xml:space="preserve">H1 ✗, H2 ✓ (0.039), H3 ✓ (4×10⁻⁴), H4 ✓ (4×10⁻⁴).</w:t>
      </w:r>
    </w:p>
    <w:p>
      <w:pPr>
        <w:pStyle w:val="BodyText"/>
      </w:pPr>
      <w:r>
        <w:rPr>
          <w:b/>
          <w:bCs/>
        </w:rPr>
        <w:t xml:space="preserve">Reading.</w:t>
      </w:r>
      <w:r>
        <w:t xml:space="preserve"> </w:t>
      </w:r>
      <w:r>
        <w:t xml:space="preserve">This is the operational hazard in its purest form: the</w:t>
      </w:r>
      <w:r>
        <w:t xml:space="preserve"> </w:t>
      </w:r>
      <w:r>
        <w:t xml:space="preserve">explanation’s</w:t>
      </w:r>
      <w:r>
        <w:t xml:space="preserve"> </w:t>
      </w:r>
      <w:r>
        <w:rPr>
          <w:i/>
          <w:iCs/>
        </w:rPr>
        <w:t xml:space="preserve">content</w:t>
      </w:r>
      <w:r>
        <w:t xml:space="preserve"> </w:t>
      </w:r>
      <w:r>
        <w:t xml:space="preserve">measurably shifts onto stale telemetry, while</w:t>
      </w:r>
      <w:r>
        <w:t xml:space="preserve"> </w:t>
      </w:r>
      <w:r>
        <w:t xml:space="preserve">neither the faithfulness score (already at floor) nor the KPIs</w:t>
      </w:r>
      <w:r>
        <w:t xml:space="preserve"> </w:t>
      </w:r>
      <w:r>
        <w:t xml:space="preserve">(pickups flat) provide any warning. The explanation outlives its data</w:t>
      </w:r>
      <w:r>
        <w:t xml:space="preserve"> </w:t>
      </w:r>
      <w:r>
        <w:t xml:space="preserve">not by becoming worse, but by having no fidelity to lose while its</w:t>
      </w:r>
      <w:r>
        <w:t xml:space="preserve"> </w:t>
      </w:r>
      <w:r>
        <w:t xml:space="preserve">appearance changes silently.</w:t>
      </w:r>
    </w:p>
    <w:bookmarkEnd w:id="34"/>
    <w:bookmarkStart w:id="35" w:name="X8c52e129b03276b8709d49e2945196e656ed41e"/>
    <w:p>
      <w:pPr>
        <w:pStyle w:val="Heading2"/>
      </w:pPr>
      <w:r>
        <w:t xml:space="preserve">4.4 Act 3 — mitigation attempts (H5 and the decoupled head)</w:t>
      </w:r>
    </w:p>
    <w:p>
      <w:pPr>
        <w:pStyle w:val="FirstParagraph"/>
      </w:pPr>
      <w:r>
        <w:rPr>
          <w:b/>
          <w:bCs/>
        </w:rPr>
        <w:t xml:space="preserve">Act 3a — training-side mitigation: no effect</w:t>
      </w:r>
      <w:r>
        <w:t xml:space="preserve"> </w:t>
      </w:r>
      <w:r>
        <w:t xml:space="preserve">(Fig. 7). H5′</w:t>
      </w:r>
      <w:r>
        <w:t xml:space="preserve"> </w:t>
      </w:r>
      <w:r>
        <w:t xml:space="preserve">policies (B2’s configuration trained under tunnel-freeze degradation,</w:t>
      </w:r>
      <w:r>
        <w:t xml:space="preserve"> </w:t>
      </w:r>
      <w:r>
        <w:t xml:space="preserve">outage 30 s, seeds 42/43/44) show severity profiles indistinguishable</w:t>
      </w:r>
      <w:r>
        <w:t xml:space="preserve"> </w:t>
      </w:r>
      <w:r>
        <w:t xml:space="preserve">from B2’s: margin-DEF flat, WAMSN and pickups equivalent. Under the</w:t>
      </w:r>
      <w:r>
        <w:t xml:space="preserve"> </w:t>
      </w:r>
      <w:r>
        <w:t xml:space="preserve">type-matched baseline all three seeds sit at margin-DEF ≈ 0</w:t>
      </w:r>
      <w:r>
        <w:t xml:space="preserve"> </w:t>
      </w:r>
      <w:r>
        <w:t xml:space="preserve">(−0.01 … +0.02), exactly where B2 sits. An earlier apparent result —</w:t>
      </w:r>
      <w:r>
        <w:t xml:space="preserve"> </w:t>
      </w:r>
      <w:r>
        <w:t xml:space="preserve">that degradation-aware training made faithfulness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(−0.77 vs</w:t>
      </w:r>
      <w:r>
        <w:t xml:space="preserve"> </w:t>
      </w:r>
      <w:r>
        <w:t xml:space="preserve">−0.54) — did not survive the audit: both figures were uniform-baseline</w:t>
      </w:r>
      <w:r>
        <w:t xml:space="preserve"> </w:t>
      </w:r>
      <w:r>
        <w:t xml:space="preserve">readings, artifact-on-artifact. H5, phrased in the proposal to allow</w:t>
      </w:r>
      <w:r>
        <w:t xml:space="preserve"> </w:t>
      </w:r>
      <w:r>
        <w:t xml:space="preserve">either outcome, resolves as</w:t>
      </w:r>
      <w:r>
        <w:t xml:space="preserve"> </w:t>
      </w:r>
      <w:r>
        <w:rPr>
          <w:b/>
          <w:bCs/>
        </w:rPr>
        <w:t xml:space="preserve">no mitigation effect in either</w:t>
      </w:r>
      <w:r>
        <w:rPr>
          <w:b/>
          <w:bCs/>
        </w:rPr>
        <w:t xml:space="preserve"> </w:t>
      </w:r>
      <w:r>
        <w:rPr>
          <w:b/>
          <w:bCs/>
        </w:rPr>
        <w:t xml:space="preserve">direction</w:t>
      </w:r>
      <w:r>
        <w:t xml:space="preserve">. Caveats: two of three best checkpoints select at epochs</w:t>
      </w:r>
      <w:r>
        <w:t xml:space="preserve"> </w:t>
      </w:r>
      <w:r>
        <w:t xml:space="preserve">17–22 (early training; one at epoch 91), reflecting the collapse</w:t>
      </w:r>
      <w:r>
        <w:t xml:space="preserve"> </w:t>
      </w:r>
      <w:r>
        <w:t xml:space="preserve">dynamics of §4.1.</w:t>
      </w:r>
    </w:p>
    <w:p>
      <w:pPr>
        <w:pStyle w:val="BodyText"/>
      </w:pPr>
      <w:r>
        <w:rPr>
          <w:b/>
          <w:bCs/>
        </w:rPr>
        <w:t xml:space="preserve">Act 3b — architecture-side mitigation: modest, clean-data only</w:t>
      </w:r>
      <w:r>
        <w:t xml:space="preserve"> </w:t>
      </w:r>
      <w:r>
        <w:t xml:space="preserve">(Fig. 8). The occlusion-distilled decoupled head, compared to the</w:t>
      </w:r>
      <w:r>
        <w:t xml:space="preserve"> </w:t>
      </w:r>
      <w:r>
        <w:t xml:space="preserve">coupled attention channel on identical decisions with identical</w:t>
      </w:r>
      <w:r>
        <w:t xml:space="preserve"> </w:t>
      </w:r>
      <w:r>
        <w:t xml:space="preserve">type-matched baselines: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coupled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decoupled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paired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(n = 983)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tunnel, max-AoI 60 s (n = 878)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</w:tbl>
    <w:p>
      <w:pPr>
        <w:pStyle w:val="BodyText"/>
      </w:pPr>
      <w:r>
        <w:t xml:space="preserve">The decoupled head is the only channel in the study to score above the</w:t>
      </w:r>
      <w:r>
        <w:t xml:space="preserve"> </w:t>
      </w:r>
      <w:r>
        <w:t xml:space="preserve">fair random baseline, and its clean-data advantage is highly</w:t>
      </w:r>
      <w:r>
        <w:t xml:space="preserve"> </w:t>
      </w:r>
      <w:r>
        <w:t xml:space="preserve">significant but modest; under degradation the advantage is not</w:t>
      </w:r>
      <w:r>
        <w:t xml:space="preserve"> </w:t>
      </w:r>
      <w:r>
        <w:t xml:space="preserve">detectable. An earlier</w:t>
      </w:r>
      <w:r>
        <w:t xml:space="preserve"> </w:t>
      </w:r>
      <w:r>
        <w:t xml:space="preserve">“+0.11 in both conditions”</w:t>
      </w:r>
      <w:r>
        <w:t xml:space="preserve"> </w:t>
      </w:r>
      <w:r>
        <w:t xml:space="preserve">reading was ~80 %</w:t>
      </w:r>
      <w:r>
        <w:t xml:space="preserve"> </w:t>
      </w:r>
      <w:r>
        <w:t xml:space="preserve">artifact.</w:t>
      </w:r>
    </w:p>
    <w:bookmarkEnd w:id="35"/>
    <w:bookmarkStart w:id="36" w:name="X5bea85f41e03a5953d0d575013a7a0f50d34903"/>
    <w:p>
      <w:pPr>
        <w:pStyle w:val="Heading2"/>
      </w:pPr>
      <w:r>
        <w:t xml:space="preserve">4.5 The artifact across the capability spectrum</w:t>
      </w:r>
    </w:p>
    <w:p>
      <w:pPr>
        <w:pStyle w:val="FirstParagraph"/>
      </w:pPr>
      <w:r>
        <w:t xml:space="preserve">Seven checkpoints spanning pickups 1→11.8 and entropy 1.56→0.03 —</w:t>
      </w:r>
      <w:r>
        <w:t xml:space="preserve"> </w:t>
      </w:r>
      <w:r>
        <w:t xml:space="preserve">untrained, mid-training, and best B2; the AoI-unaware B3; all three</w:t>
      </w:r>
      <w:r>
        <w:t xml:space="preserve"> </w:t>
      </w:r>
      <w:r>
        <w:t xml:space="preserve">H5′ seeds — scored under both baselines on clean test demand (Fig. 9):</w:t>
      </w:r>
    </w:p>
    <w:p>
      <w:pPr>
        <w:pStyle w:val="Compact"/>
        <w:numPr>
          <w:ilvl w:val="0"/>
          <w:numId w:val="1008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baseline the metric swings from −1.35 to +1.78,</w:t>
      </w:r>
      <w:r>
        <w:t xml:space="preserve"> </w:t>
      </w:r>
      <w:r>
        <w:t xml:space="preserve">manufacturing</w:t>
      </w:r>
      <w:r>
        <w:t xml:space="preserve"> </w:t>
      </w:r>
      <w:r>
        <w:t xml:space="preserve">“far worse than random”</w:t>
      </w:r>
      <w:r>
        <w:t xml:space="preserve"> </w:t>
      </w:r>
      <w:r>
        <w:t xml:space="preserve">and</w:t>
      </w:r>
      <w:r>
        <w:t xml:space="preserve"> </w:t>
      </w:r>
      <w:r>
        <w:t xml:space="preserve">“far better than random”</w:t>
      </w:r>
      <w:r>
        <w:t xml:space="preserve"> </w:t>
      </w:r>
      <w:r>
        <w:t xml:space="preserve">verdicts from equally uninformative channels, depending only on where</w:t>
      </w:r>
      <w:r>
        <w:t xml:space="preserve"> </w:t>
      </w:r>
      <w:r>
        <w:t xml:space="preserve">each policy’s attention sits relative to reservation nodes.</w:t>
      </w:r>
    </w:p>
    <w:p>
      <w:pPr>
        <w:pStyle w:val="Compact"/>
        <w:numPr>
          <w:ilvl w:val="0"/>
          <w:numId w:val="1008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type-matched</w:t>
      </w:r>
      <w:r>
        <w:t xml:space="preserve"> </w:t>
      </w:r>
      <w:r>
        <w:t xml:space="preserve">baseline every checkpoint lies within</w:t>
      </w:r>
      <w:r>
        <w:t xml:space="preserve"> </w:t>
      </w:r>
      <w:r>
        <w:t xml:space="preserve">−0.01 … +0.02 of zero.</w:t>
      </w:r>
    </w:p>
    <w:p>
      <w:pPr>
        <w:pStyle w:val="FirstParagraph"/>
      </w:pPr>
      <w:r>
        <w:t xml:space="preserve">The uninformativeness finding is therefore invariant to capability</w:t>
      </w:r>
      <w:r>
        <w:t xml:space="preserve"> </w:t>
      </w:r>
      <w:r>
        <w:t xml:space="preserve">level, architecture variant, and training regime — and the uniform</w:t>
      </w:r>
      <w:r>
        <w:t xml:space="preserve"> </w:t>
      </w:r>
      <w:r>
        <w:t xml:space="preserve">baseline’s instability is the single strongest demonstration that</w:t>
      </w:r>
      <w:r>
        <w:t xml:space="preserve"> </w:t>
      </w:r>
      <w:r>
        <w:t xml:space="preserve">uncontrolled occlusion protocols are uninterpretable in</w:t>
      </w:r>
      <w:r>
        <w:t xml:space="preserve"> </w:t>
      </w:r>
      <w:r>
        <w:t xml:space="preserve">candidate-action architectures.</w:t>
      </w:r>
    </w:p>
    <w:bookmarkEnd w:id="36"/>
    <w:bookmarkStart w:id="37" w:name="summary-of-hypothesis-outcomes"/>
    <w:p>
      <w:pPr>
        <w:pStyle w:val="Heading2"/>
      </w:pPr>
      <w:r>
        <w:t xml:space="preserve">4.6 Summary of hypothesis outcomes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Key statistic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severity ↑ → DEF ↓</w:t>
            </w:r>
          </w:p>
        </w:tc>
        <w:tc>
          <w:tcPr/>
          <w:p>
            <w:pPr>
              <w:pStyle w:val="Compact"/>
            </w:pPr>
            <w:r>
              <w:t xml:space="preserve">not supported (floor)</w:t>
            </w:r>
          </w:p>
        </w:tc>
        <w:tc>
          <w:tcPr/>
          <w:p>
            <w:pPr>
              <w:pStyle w:val="Compact"/>
            </w:pPr>
            <w:r>
              <w:t xml:space="preserve">ρ ≈ 0, CI [−0.016, +0.025]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faithfulness declines faster than performance</w:t>
            </w:r>
          </w:p>
        </w:tc>
        <w:tc>
          <w:tcPr/>
          <w:p>
            <w:pPr>
              <w:pStyle w:val="Compact"/>
            </w:pPr>
            <w:r>
              <w:t xml:space="preserve">supported (rate framing)</w:t>
            </w:r>
          </w:p>
        </w:tc>
        <w:tc>
          <w:tcPr/>
          <w:p>
            <w:pPr>
              <w:pStyle w:val="Compact"/>
            </w:pPr>
            <w:r>
              <w:t xml:space="preserve">Holm p = 0.039, n = 32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 severity ↑ → WAMSN ↑</w:t>
            </w:r>
          </w:p>
        </w:tc>
        <w:tc>
          <w:tcPr/>
          <w:p>
            <w:pPr>
              <w:pStyle w:val="Compact"/>
            </w:pPr>
            <w:r>
              <w:t xml:space="preserve">supported</w:t>
            </w:r>
          </w:p>
        </w:tc>
        <w:tc>
          <w:tcPr/>
          <w:p>
            <w:pPr>
              <w:pStyle w:val="Compact"/>
            </w:pPr>
            <w:r>
              <w:t xml:space="preserve">ρ = +0.092, p = 10⁻⁴ (robust)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WAMSN negatively associated with DEF</w:t>
            </w:r>
          </w:p>
        </w:tc>
        <w:tc>
          <w:tcPr/>
          <w:p>
            <w:pPr>
              <w:pStyle w:val="Compact"/>
            </w:pPr>
            <w:r>
              <w:t xml:space="preserve">supported (within-episode)</w:t>
            </w:r>
          </w:p>
        </w:tc>
        <w:tc>
          <w:tcPr/>
          <w:p>
            <w:pPr>
              <w:pStyle w:val="Compact"/>
            </w:pPr>
            <w:r>
              <w:t xml:space="preserve">89 % episodes negative, p = 10⁻⁴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 degradation-aware training changes the relationship</w:t>
            </w:r>
          </w:p>
        </w:tc>
        <w:tc>
          <w:tcPr/>
          <w:p>
            <w:pPr>
              <w:pStyle w:val="Compact"/>
            </w:pPr>
            <w:r>
              <w:t xml:space="preserve">rejected as mitigation</w:t>
            </w:r>
          </w:p>
        </w:tc>
        <w:tc>
          <w:tcPr/>
          <w:p>
            <w:pPr>
              <w:pStyle w:val="Compact"/>
            </w:pPr>
            <w:r>
              <w:t xml:space="preserve">Δ ≈ 0 across 3 seeds (type-matched)</w:t>
            </w:r>
          </w:p>
        </w:tc>
      </w:tr>
    </w:tbl>
    <w:bookmarkEnd w:id="37"/>
    <w:bookmarkEnd w:id="38"/>
    <w:bookmarkStart w:id="44" w:name="discussion"/>
    <w:p>
      <w:pPr>
        <w:pStyle w:val="Heading1"/>
      </w:pPr>
      <w:r>
        <w:t xml:space="preserve">5. Discussion</w:t>
      </w:r>
    </w:p>
    <w:bookmarkStart w:id="39" w:name="what-the-findings-mean"/>
    <w:p>
      <w:pPr>
        <w:pStyle w:val="Heading2"/>
      </w:pPr>
      <w:r>
        <w:t xml:space="preserve">5.1 What the findings mean</w:t>
      </w:r>
    </w:p>
    <w:p>
      <w:pPr>
        <w:pStyle w:val="FirstParagraph"/>
      </w:pPr>
      <w:r>
        <w:rPr>
          <w:b/>
          <w:bCs/>
        </w:rPr>
        <w:t xml:space="preserve">For the title question.</w:t>
      </w:r>
      <w:r>
        <w:t xml:space="preserve"> </w:t>
      </w:r>
      <w:r>
        <w:t xml:space="preserve">Explanations do outlive their data — but</w:t>
      </w:r>
      <w:r>
        <w:t xml:space="preserve"> </w:t>
      </w:r>
      <w:r>
        <w:t xml:space="preserve">not in the way the proposal anticipated. The expected pattern was a</w:t>
      </w:r>
      <w:r>
        <w:t xml:space="preserve"> </w:t>
      </w:r>
      <w:r>
        <w:t xml:space="preserve">faithful channel losing fidelity as telemetry aged. What the audited</w:t>
      </w:r>
      <w:r>
        <w:t xml:space="preserve"> </w:t>
      </w:r>
      <w:r>
        <w:t xml:space="preserve">data show is starker: the channel never had measurable fidelity</w:t>
      </w:r>
      <w:r>
        <w:t xml:space="preserve"> </w:t>
      </w:r>
      <w:r>
        <w:t xml:space="preserve">(Act 1), its content nevertheless shifts visibly onto stale telemetry</w:t>
      </w:r>
      <w:r>
        <w:t xml:space="preserve"> </w:t>
      </w:r>
      <w:r>
        <w:t xml:space="preserve">as soon as staleness exists (Act 2, H3/H4), and no signal available to</w:t>
      </w:r>
      <w:r>
        <w:t xml:space="preserve"> </w:t>
      </w:r>
      <w:r>
        <w:t xml:space="preserve">an operator — faithfulness score, task KPIs, or the explanation’s own</w:t>
      </w:r>
      <w:r>
        <w:t xml:space="preserve"> </w:t>
      </w:r>
      <w:r>
        <w:t xml:space="preserve">appearance of confidence — distinguishes the drifted state from the</w:t>
      </w:r>
      <w:r>
        <w:t xml:space="preserve"> </w:t>
      </w:r>
      <w:r>
        <w:t xml:space="preserve">fresh one. An operator dashboard built on this channel would present</w:t>
      </w:r>
      <w:r>
        <w:t xml:space="preserve"> </w:t>
      </w:r>
      <w:r>
        <w:t xml:space="preserve">equally plausible-looking attention maps before and during degradation,</w:t>
      </w:r>
      <w:r>
        <w:t xml:space="preserve"> </w:t>
      </w:r>
      <w:r>
        <w:t xml:space="preserve">with the stale-node share of the story quietly growing. That is</w:t>
      </w:r>
      <w:r>
        <w:t xml:space="preserve"> </w:t>
      </w:r>
      <w:r>
        <w:t xml:space="preserve">accountability theatre in exactly the conditions transparency</w:t>
      </w:r>
      <w:r>
        <w:t xml:space="preserve"> </w:t>
      </w:r>
      <w:r>
        <w:t xml:space="preserve">obligations are meant to cover.</w:t>
      </w:r>
    </w:p>
    <w:p>
      <w:pPr>
        <w:pStyle w:val="BodyText"/>
      </w:pPr>
      <w:r>
        <w:rPr>
          <w:b/>
          <w:bCs/>
        </w:rPr>
        <w:t xml:space="preserve">For the mechanism chain</w:t>
      </w:r>
      <w:r>
        <w:t xml:space="preserve"> </w:t>
      </w:r>
      <w:r>
        <w:t xml:space="preserve">(Fig. 10). The proposal’s causal chain</w:t>
      </w:r>
      <w:r>
        <w:t xml:space="preserve"> </w:t>
      </w:r>
      <w:r>
        <w:t xml:space="preserve">survives at its front — degradation → AoI ↑ → attention mass on stale</w:t>
      </w:r>
      <w:r>
        <w:t xml:space="preserve"> </w:t>
      </w:r>
      <w:r>
        <w:t xml:space="preserve">nodes ↑ (robust) — and breaks at DEF ↓, for a reason that is itself the</w:t>
      </w:r>
      <w:r>
        <w:t xml:space="preserve"> </w:t>
      </w:r>
      <w:r>
        <w:t xml:space="preserve">finding: a floor effect. The chain’s healthy links make the hazard</w:t>
      </w:r>
      <w:r>
        <w:t xml:space="preserve"> </w:t>
      </w:r>
      <w:r>
        <w:t xml:space="preserve">concrete; its broken link relocates the problem from</w:t>
      </w:r>
      <w:r>
        <w:t xml:space="preserve"> </w:t>
      </w:r>
      <w:r>
        <w:t xml:space="preserve">“faithfulness</w:t>
      </w:r>
      <w:r>
        <w:t xml:space="preserve"> </w:t>
      </w:r>
      <w:r>
        <w:t xml:space="preserve">degrades”</w:t>
      </w:r>
      <w:r>
        <w:t xml:space="preserve"> </w:t>
      </w:r>
      <w:r>
        <w:t xml:space="preserve">to</w:t>
      </w:r>
      <w:r>
        <w:t xml:space="preserve"> </w:t>
      </w:r>
      <w:r>
        <w:t xml:space="preserve">“faithfulness was never there”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 mitigation.</w:t>
      </w:r>
      <w:r>
        <w:t xml:space="preserve"> </w:t>
      </w:r>
      <w:r>
        <w:t xml:space="preserve">The negative results are informative. Experiencing</w:t>
      </w:r>
      <w:r>
        <w:t xml:space="preserve"> </w:t>
      </w:r>
      <w:r>
        <w:t xml:space="preserve">degradation during training gives the policy no incentive to make its</w:t>
      </w:r>
      <w:r>
        <w:t xml:space="preserve"> </w:t>
      </w:r>
      <w:r>
        <w:t xml:space="preserve">attention informative — attention serves computation, not</w:t>
      </w:r>
      <w:r>
        <w:t xml:space="preserve"> </w:t>
      </w:r>
      <w:r>
        <w:t xml:space="preserve">communication, and gradient pressure on task reward does not change</w:t>
      </w:r>
      <w:r>
        <w:t xml:space="preserve"> </w:t>
      </w:r>
      <w:r>
        <w:t xml:space="preserve">that (H5). Distillation from occlusion targets — direct optimisation</w:t>
      </w:r>
      <w:r>
        <w:t xml:space="preserve"> </w:t>
      </w:r>
      <w:r>
        <w:t xml:space="preserve">for faithfulness — helps, but modestly and only on fresh data (Act 3b).</w:t>
      </w:r>
      <w:r>
        <w:t xml:space="preserve"> </w:t>
      </w:r>
      <w:r>
        <w:t xml:space="preserve">The honest engineering conclusion: replace, don’t trust, the built-in</w:t>
      </w:r>
      <w:r>
        <w:t xml:space="preserve"> </w:t>
      </w:r>
      <w:r>
        <w:t xml:space="preserve">channel; and do not expect cheap fixes to survive degradation.</w:t>
      </w:r>
    </w:p>
    <w:bookmarkEnd w:id="39"/>
    <w:bookmarkStart w:id="40" w:name="the-silent-drift-hazard-operationally"/>
    <w:p>
      <w:pPr>
        <w:pStyle w:val="Heading2"/>
      </w:pPr>
      <w:r>
        <w:t xml:space="preserve">5.2 The silent-drift hazard, operationally</w:t>
      </w:r>
    </w:p>
    <w:p>
      <w:pPr>
        <w:pStyle w:val="FirstParagraph"/>
      </w:pPr>
      <w:r>
        <w:t xml:space="preserve">WAMSN’s raw magnitudes are small (pooled ≈0.013) because geographic</w:t>
      </w:r>
      <w:r>
        <w:t xml:space="preserve"> </w:t>
      </w:r>
      <w:r>
        <w:t xml:space="preserve">exposure is small (~2 % of decisions; ~8 % have any stale node</w:t>
      </w:r>
      <w:r>
        <w:t xml:space="preserve"> </w:t>
      </w:r>
      <w:r>
        <w:t xml:space="preserve">visible). The operator-facing translations matter more: conditional on</w:t>
      </w:r>
      <w:r>
        <w:t xml:space="preserve"> </w:t>
      </w:r>
      <w:r>
        <w:t xml:space="preserve">exposure, stale nodes carry 14 % of attention mass and enter the top-3</w:t>
      </w:r>
      <w:r>
        <w:t xml:space="preserve"> </w:t>
      </w:r>
      <w:r>
        <w:t xml:space="preserve">explanation in 8.5 % of decisions. On a metropolitan fleet taking</w:t>
      </w:r>
      <w:r>
        <w:t xml:space="preserve"> </w:t>
      </w:r>
      <w:r>
        <w:t xml:space="preserve">thousands of dispatch decisions per hour,</w:t>
      </w:r>
      <w:r>
        <w:t xml:space="preserve"> </w:t>
      </w:r>
      <w:r>
        <w:t xml:space="preserve">“one in twelve explanations</w:t>
      </w:r>
      <w:r>
        <w:t xml:space="preserve"> </w:t>
      </w:r>
      <w:r>
        <w:t xml:space="preserve">near a tunnel silently features stale telemetry among its headline</w:t>
      </w:r>
      <w:r>
        <w:t xml:space="preserve"> </w:t>
      </w:r>
      <w:r>
        <w:t xml:space="preserve">factors”</w:t>
      </w:r>
      <w:r>
        <w:t xml:space="preserve"> </w:t>
      </w:r>
      <w:r>
        <w:t xml:space="preserve">is a concrete, monitorable risk statement — and WAMSN-style</w:t>
      </w:r>
      <w:r>
        <w:t xml:space="preserve"> </w:t>
      </w:r>
      <w:r>
        <w:t xml:space="preserve">conditional monitoring is implementable on any platform that logs</w:t>
      </w:r>
      <w:r>
        <w:t xml:space="preserve"> </w:t>
      </w:r>
      <w:r>
        <w:t xml:space="preserve">attention and AoI, independent of this study’s specific policy.</w:t>
      </w:r>
    </w:p>
    <w:bookmarkEnd w:id="40"/>
    <w:bookmarkStart w:id="41" w:name="X022540538fc5338856a977c1a44b3b51d7abbbc"/>
    <w:p>
      <w:pPr>
        <w:pStyle w:val="Heading2"/>
      </w:pPr>
      <w:r>
        <w:t xml:space="preserve">5.3 The occlusion artifact as a general warning</w:t>
      </w:r>
    </w:p>
    <w:p>
      <w:pPr>
        <w:pStyle w:val="FirstParagraph"/>
      </w:pPr>
      <w:r>
        <w:t xml:space="preserve">The methodological finding generalises beyond this benchmark. Any</w:t>
      </w:r>
      <w:r>
        <w:t xml:space="preserve"> </w:t>
      </w:r>
      <w:r>
        <w:t xml:space="preserve">explainable-RL system in which explanation units index action</w:t>
      </w:r>
      <w:r>
        <w:t xml:space="preserve"> </w:t>
      </w:r>
      <w:r>
        <w:t xml:space="preserve">candidates — pointer networks over candidate sets, attention over</w:t>
      </w:r>
      <w:r>
        <w:t xml:space="preserve"> </w:t>
      </w:r>
      <w:r>
        <w:t xml:space="preserve">requests in assignment problems, action-graph policies — shares the</w:t>
      </w:r>
      <w:r>
        <w:t xml:space="preserve"> </w:t>
      </w:r>
      <w:r>
        <w:t xml:space="preserve">structural property that occlusion perturbs the</w:t>
      </w:r>
      <w:r>
        <w:t xml:space="preserve"> </w:t>
      </w:r>
      <w:r>
        <w:rPr>
          <w:i/>
          <w:iCs/>
        </w:rPr>
        <w:t xml:space="preserve">decision problem</w:t>
      </w:r>
      <w:r>
        <w:t xml:space="preserve">,</w:t>
      </w:r>
      <w:r>
        <w:t xml:space="preserve"> </w:t>
      </w:r>
      <w:r>
        <w:t xml:space="preserve">not merely the input. The capability-spectrum result (Fig. 9) shows the</w:t>
      </w:r>
      <w:r>
        <w:t xml:space="preserve"> </w:t>
      </w:r>
      <w:r>
        <w:t xml:space="preserve">consequence is not a small bias but sign-flipping uninterpretability:</w:t>
      </w:r>
      <w:r>
        <w:t xml:space="preserve"> </w:t>
      </w:r>
      <w:r>
        <w:t xml:space="preserve">the same protocol certified one checkpoint</w:t>
      </w:r>
      <w:r>
        <w:t xml:space="preserve"> </w:t>
      </w:r>
      <w:r>
        <w:t xml:space="preserve">“far worse than random”</w:t>
      </w:r>
      <w:r>
        <w:t xml:space="preserve"> </w:t>
      </w:r>
      <w:r>
        <w:t xml:space="preserve">(−1.35) and another</w:t>
      </w:r>
      <w:r>
        <w:t xml:space="preserve"> </w:t>
      </w:r>
      <w:r>
        <w:t xml:space="preserve">“far better”</w:t>
      </w:r>
      <w:r>
        <w:t xml:space="preserve"> </w:t>
      </w:r>
      <w:r>
        <w:t xml:space="preserve">(+1.78) when both are ≈0 under a fair</w:t>
      </w:r>
      <w:r>
        <w:t xml:space="preserve"> </w:t>
      </w:r>
      <w:r>
        <w:t xml:space="preserve">baseline. Two controls suffice in practice — composition-matched random</w:t>
      </w:r>
      <w:r>
        <w:t xml:space="preserve"> </w:t>
      </w:r>
      <w:r>
        <w:t xml:space="preserve">baselines and protection of the chosen action’s unit — and both are</w:t>
      </w:r>
      <w:r>
        <w:t xml:space="preserve"> </w:t>
      </w:r>
      <w:r>
        <w:t xml:space="preserve">cheap. Perturbation-based faithfulness evaluation in RL should treat</w:t>
      </w:r>
      <w:r>
        <w:t xml:space="preserve"> </w:t>
      </w:r>
      <w:r>
        <w:t xml:space="preserve">them as mandatory, the way [16]’s protocol treats size-matching.</w:t>
      </w:r>
    </w:p>
    <w:p>
      <w:pPr>
        <w:pStyle w:val="BodyText"/>
      </w:pPr>
      <w:r>
        <w:t xml:space="preserve">This also reframes part of the</w:t>
      </w:r>
      <w:r>
        <w:t xml:space="preserve"> </w:t>
      </w:r>
      <w:r>
        <w:t xml:space="preserve">“attention is not explanation”</w:t>
      </w:r>
      <w:r>
        <w:t xml:space="preserve"> </w:t>
      </w:r>
      <w:r>
        <w:t xml:space="preserve">debate</w:t>
      </w:r>
      <w:r>
        <w:t xml:space="preserve"> </w:t>
      </w:r>
      <w:r>
        <w:t xml:space="preserve">for RL: some prior negative (or positive) verdicts obtained with</w:t>
      </w:r>
      <w:r>
        <w:t xml:space="preserve"> </w:t>
      </w:r>
      <w:r>
        <w:t xml:space="preserve">uncontrolled occlusion in candidate-action settings may partly reflect</w:t>
      </w:r>
      <w:r>
        <w:t xml:space="preserve"> </w:t>
      </w:r>
      <w:r>
        <w:t xml:space="preserve">this artifact rather than the property under test.</w:t>
      </w:r>
    </w:p>
    <w:bookmarkEnd w:id="41"/>
    <w:bookmarkStart w:id="42" w:name="limitations"/>
    <w:p>
      <w:pPr>
        <w:pStyle w:val="Heading2"/>
      </w:pPr>
      <w:r>
        <w:t xml:space="preserve">5.4 Limitations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Policy competence.</w:t>
      </w:r>
      <w:r>
        <w:t xml:space="preserve"> </w:t>
      </w:r>
      <w:r>
        <w:t xml:space="preserve">The learned dispatchers reach 6–8 pickups</w:t>
      </w:r>
      <w:r>
        <w:t xml:space="preserve"> </w:t>
      </w:r>
      <w:r>
        <w:t xml:space="preserve">against a greedy matcher’s 32, and entropy-collapse during training.</w:t>
      </w:r>
      <w:r>
        <w:t xml:space="preserve"> </w:t>
      </w:r>
      <w:r>
        <w:t xml:space="preserve">The capability-spectrum analysis shows the uninformativeness finding</w:t>
      </w:r>
      <w:r>
        <w:t xml:space="preserve"> </w:t>
      </w:r>
      <w:r>
        <w:t xml:space="preserve">is stable across the range</w:t>
      </w:r>
      <w:r>
        <w:t xml:space="preserve"> </w:t>
      </w:r>
      <w:r>
        <w:rPr>
          <w:i/>
          <w:iCs/>
        </w:rPr>
        <w:t xml:space="preserve">available</w:t>
      </w:r>
      <w:r>
        <w:t xml:space="preserve"> </w:t>
      </w:r>
      <w:r>
        <w:t xml:space="preserve">(1→11.8 pickups), but no</w:t>
      </w:r>
      <w:r>
        <w:t xml:space="preserve"> </w:t>
      </w:r>
      <w:r>
        <w:t xml:space="preserve">checkpoint approaches competent dispatch; whether a genuinely strong</w:t>
      </w:r>
      <w:r>
        <w:t xml:space="preserve"> </w:t>
      </w:r>
      <w:r>
        <w:t xml:space="preserve">GAT dispatcher develops informative attention is open.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Scale and scope.</w:t>
      </w:r>
      <w:r>
        <w:t xml:space="preserve"> </w:t>
      </w:r>
      <w:r>
        <w:t xml:space="preserve">One district, one city, 20 taxis, 50 riders,</w:t>
      </w:r>
      <w:r>
        <w:t xml:space="preserve"> </w:t>
      </w:r>
      <w:r>
        <w:t xml:space="preserve">1 200 s episodes; tunnel exposure ~2 % of decisions. The severity</w:t>
      </w:r>
      <w:r>
        <w:t xml:space="preserve"> </w:t>
      </w:r>
      <w:r>
        <w:t xml:space="preserve">ladder tops at 60 s while geography occasionally produces AoI up to</w:t>
      </w:r>
      <w:r>
        <w:t xml:space="preserve"> </w:t>
      </w:r>
      <w:r>
        <w:t xml:space="preserve">~310 s (an idling vehicle on a tunnel edge); observed AoI features</w:t>
      </w:r>
      <w:r>
        <w:t xml:space="preserve"> </w:t>
      </w:r>
      <w:r>
        <w:t xml:space="preserve">saturate at the 60 s normalisation 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Statistical residuals.</w:t>
      </w:r>
      <w:r>
        <w:t xml:space="preserve"> </w:t>
      </w:r>
      <w:r>
        <w:t xml:space="preserve">H2 clears Holm at p = 0.039 — real but not</w:t>
      </w:r>
      <w:r>
        <w:t xml:space="preserve"> </w:t>
      </w:r>
      <w:r>
        <w:t xml:space="preserve">overwhelming; a same-configuration smaller sweep earlier in the study</w:t>
      </w:r>
      <w:r>
        <w:t xml:space="preserve"> </w:t>
      </w:r>
      <w:r>
        <w:t xml:space="preserve">was non-significant, and the result stabilised only at 8 seeds.</w:t>
      </w:r>
      <w:r>
        <w:t xml:space="preserve"> </w:t>
      </w:r>
      <w:r>
        <w:t xml:space="preserve">Per-decision drift and churn are descriptive only.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Single-run aspects.</w:t>
      </w:r>
      <w:r>
        <w:t xml:space="preserve"> </w:t>
      </w:r>
      <w:r>
        <w:t xml:space="preserve">B2 is one training seed (H5′ has three); the</w:t>
      </w:r>
      <w:r>
        <w:t xml:space="preserve"> </w:t>
      </w:r>
      <w:r>
        <w:t xml:space="preserve">distilled head is one distillation run. Checkpoint selection interacts</w:t>
      </w:r>
      <w:r>
        <w:t xml:space="preserve"> </w:t>
      </w:r>
      <w:r>
        <w:t xml:space="preserve">with entropy collapse (two of three H5′ bests select before epoch 25).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Metric scope.</w:t>
      </w:r>
      <w:r>
        <w:t xml:space="preserve"> </w:t>
      </w:r>
      <w:r>
        <w:t xml:space="preserve">Faithfulness is operationalised solely through</w:t>
      </w:r>
      <w:r>
        <w:t xml:space="preserve"> </w:t>
      </w:r>
      <w:r>
        <w:t xml:space="preserve">occlusion-based counterfactuals; margin-DEF’s clamp parameter and the</w:t>
      </w:r>
      <w:r>
        <w:t xml:space="preserve"> </w:t>
      </w:r>
      <w:r>
        <w:t xml:space="preserve">60 s AoI normalisation are audited but particular choices.</w:t>
      </w:r>
    </w:p>
    <w:bookmarkEnd w:id="42"/>
    <w:bookmarkStart w:id="43" w:name="future-work"/>
    <w:p>
      <w:pPr>
        <w:pStyle w:val="Heading2"/>
      </w:pPr>
      <w:r>
        <w:t xml:space="preserve">5.5 Future work</w:t>
      </w:r>
    </w:p>
    <w:p>
      <w:pPr>
        <w:pStyle w:val="Compact"/>
        <w:numPr>
          <w:ilvl w:val="0"/>
          <w:numId w:val="1010"/>
        </w:numPr>
      </w:pPr>
      <w:r>
        <w:t xml:space="preserve">A dispatcher trained to competence (curricula, entropy schedules,</w:t>
      </w:r>
      <w:r>
        <w:t xml:space="preserve"> </w:t>
      </w:r>
      <w:r>
        <w:t xml:space="preserve">or offline RL) to test whether informative attention emerges with</w:t>
      </w:r>
      <w:r>
        <w:t xml:space="preserve"> </w:t>
      </w:r>
      <w:r>
        <w:t xml:space="preserve">capability. (2) Faithfulness-aware training that optimises the</w:t>
      </w:r>
      <w:r>
        <w:t xml:space="preserve"> </w:t>
      </w:r>
      <w:r>
        <w:t xml:space="preserve">explanation channel directly during RL, rather than post-hoc</w:t>
      </w:r>
      <w:r>
        <w:t xml:space="preserve"> </w:t>
      </w:r>
      <w:r>
        <w:t xml:space="preserve">distillation. (3) Extending the artifact analysis to other</w:t>
      </w:r>
      <w:r>
        <w:t xml:space="preserve"> </w:t>
      </w:r>
      <w:r>
        <w:t xml:space="preserve">candidate-action XRL systems and to gradient-based attribution, which</w:t>
      </w:r>
      <w:r>
        <w:t xml:space="preserve"> </w:t>
      </w:r>
      <w:r>
        <w:t xml:space="preserve">may inherit an analogous confound through the action mask. (4) An</w:t>
      </w:r>
      <w:r>
        <w:t xml:space="preserve"> </w:t>
      </w:r>
      <w:r>
        <w:t xml:space="preserve">operator-facing staleness monitor built on conditional WAMSN, evaluated</w:t>
      </w:r>
      <w:r>
        <w:t xml:space="preserve"> </w:t>
      </w:r>
      <w:r>
        <w:t xml:space="preserve">in a human-factors study. (5) Multi-city transfer and richer degradation</w:t>
      </w:r>
      <w:r>
        <w:t xml:space="preserve"> </w:t>
      </w:r>
      <w:r>
        <w:t xml:space="preserve">(urban canyons, backhaul delay) under the same AoI framework.</w:t>
      </w:r>
    </w:p>
    <w:bookmarkEnd w:id="43"/>
    <w:bookmarkEnd w:id="44"/>
    <w:bookmarkStart w:id="45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This dissertation set out to measure whether the attention weights that</w:t>
      </w:r>
      <w:r>
        <w:t xml:space="preserve"> </w:t>
      </w:r>
      <w:r>
        <w:t xml:space="preserve">fleet-dispatch platforms present as explanations remain faithful when</w:t>
      </w:r>
      <w:r>
        <w:t xml:space="preserve"> </w:t>
      </w:r>
      <w:r>
        <w:t xml:space="preserve">the telemetry behind them ages. It built the first benchmark coupling a</w:t>
      </w:r>
      <w:r>
        <w:t xml:space="preserve"> </w:t>
      </w:r>
      <w:r>
        <w:t xml:space="preserve">GAT-MARL dispatcher to physically grounded, AoI-parameterised telemetry</w:t>
      </w:r>
      <w:r>
        <w:t xml:space="preserve"> </w:t>
      </w:r>
      <w:r>
        <w:t xml:space="preserve">degradation, with per-decision paired clean/degraded evaluation, and</w:t>
      </w:r>
      <w:r>
        <w:t xml:space="preserve"> </w:t>
      </w:r>
      <w:r>
        <w:t xml:space="preserve">resolved all five preregistered hypotheses under cluster-robust</w:t>
      </w:r>
      <w:r>
        <w:t xml:space="preserve"> </w:t>
      </w:r>
      <w:r>
        <w:t xml:space="preserve">statistics.</w:t>
      </w:r>
    </w:p>
    <w:p>
      <w:pPr>
        <w:pStyle w:val="BodyText"/>
      </w:pPr>
      <w:r>
        <w:t xml:space="preserve">The answers reshape the question. The built-in attention channel of the</w:t>
      </w:r>
      <w:r>
        <w:t xml:space="preserve"> </w:t>
      </w:r>
      <w:r>
        <w:t xml:space="preserve">studied dispatcher is not a degraded explanation — it is not an</w:t>
      </w:r>
      <w:r>
        <w:t xml:space="preserve"> </w:t>
      </w:r>
      <w:r>
        <w:t xml:space="preserve">explanation at all: under a construct-valid protocol it is</w:t>
      </w:r>
      <w:r>
        <w:t xml:space="preserve"> </w:t>
      </w:r>
      <w:r>
        <w:t xml:space="preserve">statistically indistinguishable from a composition-matched random</w:t>
      </w:r>
      <w:r>
        <w:t xml:space="preserve"> </w:t>
      </w:r>
      <w:r>
        <w:t xml:space="preserve">attribution on clean data, a verdict invariant across every capability</w:t>
      </w:r>
      <w:r>
        <w:t xml:space="preserve"> </w:t>
      </w:r>
      <w:r>
        <w:t xml:space="preserve">level, architecture variant, and training regime tested. What</w:t>
      </w:r>
      <w:r>
        <w:t xml:space="preserve"> </w:t>
      </w:r>
      <w:r>
        <w:t xml:space="preserve">degradation adds is not a loss of fidelity but a silent change of</w:t>
      </w:r>
      <w:r>
        <w:t xml:space="preserve"> </w:t>
      </w:r>
      <w:r>
        <w:t xml:space="preserve">content: attention mass shifts measurably onto stale telemetry</w:t>
      </w:r>
      <w:r>
        <w:t xml:space="preserve"> </w:t>
      </w:r>
      <w:r>
        <w:t xml:space="preserve">(robustly supported), the least faithful decisions are precisely those</w:t>
      </w:r>
      <w:r>
        <w:t xml:space="preserve"> </w:t>
      </w:r>
      <w:r>
        <w:t xml:space="preserve">attending most to stale nodes, and neither task performance nor any</w:t>
      </w:r>
      <w:r>
        <w:t xml:space="preserve"> </w:t>
      </w:r>
      <w:r>
        <w:t xml:space="preserve">property of the explanation itself signals that anything has changed.</w:t>
      </w:r>
      <w:r>
        <w:t xml:space="preserve"> </w:t>
      </w:r>
      <w:r>
        <w:t xml:space="preserve">“Explanations outlive their data”</w:t>
      </w:r>
      <w:r>
        <w:t xml:space="preserve"> </w:t>
      </w:r>
      <w:r>
        <w:t xml:space="preserve">proved true in a form more troubling</w:t>
      </w:r>
      <w:r>
        <w:t xml:space="preserve"> </w:t>
      </w:r>
      <w:r>
        <w:t xml:space="preserve">than hypothesised: the explanation’s authority never rested on fidelity</w:t>
      </w:r>
      <w:r>
        <w:t xml:space="preserve"> </w:t>
      </w:r>
      <w:r>
        <w:t xml:space="preserve">in the first place, and staleness erodes even the correspondence its</w:t>
      </w:r>
      <w:r>
        <w:t xml:space="preserve"> </w:t>
      </w:r>
      <w:r>
        <w:t xml:space="preserve">appearance suggests.</w:t>
      </w:r>
    </w:p>
    <w:p>
      <w:pPr>
        <w:pStyle w:val="BodyText"/>
      </w:pPr>
      <w:r>
        <w:t xml:space="preserve">Neither tested remedy restores faithfulness. Training under degradation</w:t>
      </w:r>
      <w:r>
        <w:t xml:space="preserve"> </w:t>
      </w:r>
      <w:r>
        <w:t xml:space="preserve">leaves the channel unchanged; distilling a decoupled head from</w:t>
      </w:r>
      <w:r>
        <w:t xml:space="preserve"> </w:t>
      </w:r>
      <w:r>
        <w:t xml:space="preserve">occlusion targets produces the study’s only above-random channel, with</w:t>
      </w:r>
      <w:r>
        <w:t xml:space="preserve"> </w:t>
      </w:r>
      <w:r>
        <w:t xml:space="preserve">a modest advantage that vanishes under degradation. Faithful dispatch</w:t>
      </w:r>
      <w:r>
        <w:t xml:space="preserve"> </w:t>
      </w:r>
      <w:r>
        <w:t xml:space="preserve">explanation remains an open problem — now with a measured baseline, a</w:t>
      </w:r>
      <w:r>
        <w:t xml:space="preserve"> </w:t>
      </w:r>
      <w:r>
        <w:t xml:space="preserve">mechanism, and two negative results marking the paths that do not work.</w:t>
      </w:r>
    </w:p>
    <w:p>
      <w:pPr>
        <w:pStyle w:val="BodyText"/>
      </w:pPr>
      <w:r>
        <w:t xml:space="preserve">The study’s most transferable contribution emerged unplanned: the</w:t>
      </w:r>
      <w:r>
        <w:t xml:space="preserve"> </w:t>
      </w:r>
      <w:r>
        <w:t xml:space="preserve">demonstration that occlusion-based faithfulness protocols are</w:t>
      </w:r>
      <w:r>
        <w:t xml:space="preserve"> </w:t>
      </w:r>
      <w:r>
        <w:t xml:space="preserve">uninterpretable in candidate-action architectures — capable of</w:t>
      </w:r>
      <w:r>
        <w:t xml:space="preserve"> </w:t>
      </w:r>
      <w:r>
        <w:t xml:space="preserve">certifying the same uninformative channel as far worse or far better</w:t>
      </w:r>
      <w:r>
        <w:t xml:space="preserve"> </w:t>
      </w:r>
      <w:r>
        <w:t xml:space="preserve">than random — together with two inexpensive controls that repair them.</w:t>
      </w:r>
      <w:r>
        <w:t xml:space="preserve"> </w:t>
      </w:r>
      <w:r>
        <w:t xml:space="preserve">The audit trail by which this artifact was found, verified, and</w:t>
      </w:r>
      <w:r>
        <w:t xml:space="preserve"> </w:t>
      </w:r>
      <w:r>
        <w:t xml:space="preserve">propagated through every prior conclusion is preserved in the released</w:t>
      </w:r>
      <w:r>
        <w:t xml:space="preserve"> </w:t>
      </w:r>
      <w:r>
        <w:t xml:space="preserve">benchmark, and is offered as a template for how explainability claims</w:t>
      </w:r>
      <w:r>
        <w:t xml:space="preserve"> </w:t>
      </w:r>
      <w:r>
        <w:t xml:space="preserve">in reinforcement learning ought to be stress-tested before they are</w:t>
      </w:r>
      <w:r>
        <w:t xml:space="preserve"> </w:t>
      </w:r>
      <w:r>
        <w:t xml:space="preserve">believed.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Explanations Outlive Their Data: Faithfulness Decoupling in Graph-Attention Multi-Agent Reinforcement Learning for Fleet Dispatch under Telemetry Degradation</dc:title>
  <dc:creator>Hongwei Lin (P2982757@my365.dmu.ac.uk)</dc:creator>
  <cp:keywords/>
  <dcterms:created xsi:type="dcterms:W3CDTF">2026-07-19T19:58:52Z</dcterms:created>
  <dcterms:modified xsi:type="dcterms:W3CDTF">2026-07-19T19:58:52Z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Working draft — 19 July 2026</vt:lpwstr>
  </property>
  <property fmtid="{D5CDD505-2E9C-101B-9397-08002B2CF9AE}" pid="3" name="subtitle">
    <vt:lpwstr>MSc Dissertation — De Montfort University, Dubai · Supervisor: Farhan Ujager</vt:lpwstr>
  </property>
  <property fmtid="{D5CDD505-2E9C-101B-9397-08002B2CF9AE}" pid="4" name="toc-title">
    <vt:lpwstr>Contents</vt:lpwstr>
  </property>
</Properties>
</file>