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103" w:name="nav_front_list_of_figures"/>
      <w:r>
        <w:rPr>
          <w:rFonts w:ascii="Times New Roman" w:hAnsi="Times New Roman"/>
          <w:b/>
          <w:sz w:val="28"/>
        </w:rPr>
        <w:t>LIST OF FIGURES</w:t>
      </w:r>
      <w:bookmarkEnd w:id="103"/>
    </w:p>
    <w:p>
      <w:pPr>
        <w:keepLines/>
        <w:tabs>
          <w:tab w:pos="8784" w:val="right" w:leader="dot"/>
        </w:tabs>
        <w:spacing w:after="40" w:line="240" w:lineRule="auto"/>
        <w:ind w:left="0"/>
      </w:pPr>
      <w:hyperlink w:anchor="nav_figure_Figure_1_1" w:history="1">
        <w:r>
          <w:rPr>
            <w:noProof/>
          </w:rPr>
          <w:t xml:space="preserve">Figure 1.1  Stale data and the explanation-release decision</w:t>
          <w:tab/>
          <w:t>3</w:t>
        </w:r>
      </w:hyperlink>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11</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13</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15</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16</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18</w:t>
        </w:r>
      </w:hyperlink>
    </w:p>
    <w:p>
      <w:pPr>
        <w:keepLines/>
        <w:tabs>
          <w:tab w:pos="8784" w:val="right" w:leader="dot"/>
        </w:tabs>
        <w:spacing w:after="40" w:line="240" w:lineRule="auto"/>
        <w:ind w:left="0"/>
      </w:pPr>
      <w:hyperlink w:anchor="nav_figure_Figure_4_1" w:history="1">
        <w:r>
          <w:rPr>
            <w:noProof/>
          </w:rPr>
          <w:t xml:space="preserve">Figure 4.1  GAT and GAT-Outage training and checkpoint-selection diagnostics</w:t>
          <w:tab/>
          <w:t>25</w:t>
        </w:r>
      </w:hyperlink>
    </w:p>
    <w:p>
      <w:pPr>
        <w:keepLines/>
        <w:tabs>
          <w:tab w:pos="8784" w:val="right" w:leader="dot"/>
        </w:tabs>
        <w:spacing w:after="40" w:line="240" w:lineRule="auto"/>
        <w:ind w:left="0"/>
      </w:pPr>
      <w:hyperlink w:anchor="nav_figure_Figure_4_2" w:history="1">
        <w:r>
          <w:rPr>
            <w:noProof/>
          </w:rPr>
          <w:t xml:space="preserve">Figure 4.2  Clean-telemetry pickups by training seed</w:t>
          <w:tab/>
          <w:t>26</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28</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29</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30</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31</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32</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33</w:t>
        </w:r>
      </w:hyperlink>
    </w:p>
    <w:p>
      <w:pPr>
        <w:keepLines/>
        <w:tabs>
          <w:tab w:pos="8784" w:val="right" w:leader="dot"/>
        </w:tabs>
        <w:spacing w:after="40" w:line="240" w:lineRule="auto"/>
        <w:ind w:left="0"/>
      </w:pPr>
      <w:hyperlink w:anchor="nav_figure_Figure_4_9" w:history="1">
        <w:r>
          <w:rPr>
            <w:noProof/>
          </w:rPr>
          <w:t xml:space="preserve">Figure 4.9  Faithfulness analysis by action type</w:t>
          <w:tab/>
          <w:t>34</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36</w:t>
        </w:r>
      </w:hyperlink>
    </w:p>
    <w:p>
      <w:pPr>
        <w:keepLines/>
        <w:tabs>
          <w:tab w:pos="8784" w:val="right" w:leader="dot"/>
        </w:tabs>
        <w:spacing w:after="40" w:line="240" w:lineRule="auto"/>
        <w:ind w:left="0"/>
      </w:pPr>
      <w:hyperlink w:anchor="nav_figure_Figure_4_11" w:history="1">
        <w:r>
          <w:rPr>
            <w:noProof/>
          </w:rPr>
          <w:t xml:space="preserve">Figure 4.11  WAMSN-DEF relationship and H4 result</w:t>
          <w:tab/>
          <w:t>37</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40</w:t>
        </w:r>
      </w:hyperlink>
    </w:p>
    <w:p>
      <w:pPr>
        <w:keepLines/>
        <w:tabs>
          <w:tab w:pos="8784" w:val="right" w:leader="dot"/>
        </w:tabs>
        <w:spacing w:after="40" w:line="240" w:lineRule="auto"/>
        <w:ind w:left="0"/>
      </w:pPr>
      <w:hyperlink w:anchor="nav_figure_Figure_5_2" w:history="1">
        <w:r>
          <w:rPr>
            <w:noProof/>
          </w:rPr>
          <w:t xml:space="preserve">Figure 5.2  Freshness-aware explanation audit workflow</w:t>
          <w:tab/>
          <w:t>44</w:t>
        </w:r>
      </w:hyperlink>
    </w:p>
    <w:p w14:paraId="4E24840A">
      <w:pPr>
        <w:keepNext/>
        <w:pageBreakBefore/>
        <w:spacing w:after="360"/>
        <w:jc w:val="center"/>
        <w:outlineLvl w:val="0"/>
      </w:pPr>
      <w:bookmarkStart w:id="104" w:name="nav_front_list_of_tables"/>
      <w:r>
        <w:rPr>
          <w:rFonts w:ascii="Times New Roman" w:hAnsi="Times New Roman"/>
          <w:b/>
          <w:sz w:val="28"/>
        </w:rPr>
        <w:t>LIST OF TABLES</w:t>
      </w:r>
      <w:bookmarkEnd w:id="104"/>
    </w:p>
    <w:p>
      <w:pPr>
        <w:keepLines/>
        <w:tabs>
          <w:tab w:pos="8784" w:val="right" w:leader="dot"/>
        </w:tabs>
        <w:spacing w:after="40" w:line="240" w:lineRule="auto"/>
        <w:ind w:left="0"/>
      </w:pPr>
      <w:hyperlink w:anchor="nav_table_Table_2_1" w:history="1">
        <w:r>
          <w:rPr>
            <w:noProof/>
          </w:rPr>
          <w:t xml:space="preserve">Table 2.1  Recent graph-based dispatch literature compared with this study</w:t>
          <w:tab/>
          <w:t>9</w:t>
        </w:r>
      </w:hyperlink>
    </w:p>
    <w:p>
      <w:pPr>
        <w:keepLines/>
        <w:tabs>
          <w:tab w:pos="8784" w:val="right" w:leader="dot"/>
        </w:tabs>
        <w:spacing w:after="40" w:line="240" w:lineRule="auto"/>
        <w:ind w:left="0"/>
      </w:pPr>
      <w:hyperlink w:anchor="nav_table_Table_3_1" w:history="1">
        <w:r>
          <w:rPr>
            <w:noProof/>
          </w:rPr>
          <w:t xml:space="preserve">Table 3.1  Observation graph node types and roles</w:t>
          <w:tab/>
          <w:t>11</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13</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13</w:t>
        </w:r>
      </w:hyperlink>
    </w:p>
    <w:p>
      <w:pPr>
        <w:keepLines/>
        <w:tabs>
          <w:tab w:pos="8784" w:val="right" w:leader="dot"/>
        </w:tabs>
        <w:spacing w:after="40" w:line="240" w:lineRule="auto"/>
        <w:ind w:left="0"/>
      </w:pPr>
      <w:hyperlink w:anchor="nav_table_Table_3_4" w:history="1">
        <w:r>
          <w:rPr>
            <w:noProof/>
          </w:rPr>
          <w:t xml:space="preserve">Table 3.4  Training and optimization settings</w:t>
          <w:tab/>
          <w:t>14</w:t>
        </w:r>
      </w:hyperlink>
    </w:p>
    <w:p>
      <w:pPr>
        <w:keepLines/>
        <w:tabs>
          <w:tab w:pos="8784" w:val="right" w:leader="dot"/>
        </w:tabs>
        <w:spacing w:after="40" w:line="240" w:lineRule="auto"/>
        <w:ind w:left="0"/>
      </w:pPr>
      <w:hyperlink w:anchor="nav_table_Table_3_5" w:history="1">
        <w:r>
          <w:rPr>
            <w:noProof/>
          </w:rPr>
          <w:t xml:space="preserve">Table 3.5  Checkpoint-acceptance criteria</w:t>
          <w:tab/>
          <w:t>14</w:t>
        </w:r>
      </w:hyperlink>
    </w:p>
    <w:p>
      <w:pPr>
        <w:keepLines/>
        <w:tabs>
          <w:tab w:pos="8784" w:val="right" w:leader="dot"/>
        </w:tabs>
        <w:spacing w:after="40" w:line="240" w:lineRule="auto"/>
        <w:ind w:left="0"/>
      </w:pPr>
      <w:hyperlink w:anchor="nav_table_Table_3_6" w:history="1">
        <w:r>
          <w:rPr>
            <w:noProof/>
          </w:rPr>
          <w:t xml:space="preserve">Table 3.6  Explanation measures and roles</w:t>
          <w:tab/>
          <w:t>17</w:t>
        </w:r>
      </w:hyperlink>
    </w:p>
    <w:p>
      <w:pPr>
        <w:keepLines/>
        <w:tabs>
          <w:tab w:pos="8784" w:val="right" w:leader="dot"/>
        </w:tabs>
        <w:spacing w:after="40" w:line="240" w:lineRule="auto"/>
        <w:ind w:left="0"/>
      </w:pPr>
      <w:hyperlink w:anchor="nav_table_Table_3_7" w:history="1">
        <w:r>
          <w:rPr>
            <w:noProof/>
          </w:rPr>
          <w:t xml:space="preserve">Table 3.7  Held-out evaluation structure and episode counts</w:t>
          <w:tab/>
          <w:t>19</w:t>
        </w:r>
      </w:hyperlink>
    </w:p>
    <w:p>
      <w:pPr>
        <w:keepLines/>
        <w:tabs>
          <w:tab w:pos="8784" w:val="right" w:leader="dot"/>
        </w:tabs>
        <w:spacing w:after="40" w:line="240" w:lineRule="auto"/>
        <w:ind w:left="0"/>
      </w:pPr>
      <w:hyperlink w:anchor="nav_table_Table_3_8" w:history="1">
        <w:r>
          <w:rPr>
            <w:noProof/>
          </w:rPr>
          <w:t xml:space="preserve">Table 3.8  Telemetry conditions used in held-out evaluation</w:t>
          <w:tab/>
          <w:t>19</w:t>
        </w:r>
      </w:hyperlink>
    </w:p>
    <w:p>
      <w:pPr>
        <w:keepLines/>
        <w:tabs>
          <w:tab w:pos="8784" w:val="right" w:leader="dot"/>
        </w:tabs>
        <w:spacing w:after="40" w:line="240" w:lineRule="auto"/>
        <w:ind w:left="0"/>
      </w:pPr>
      <w:hyperlink w:anchor="nav_table_Table_3_9" w:history="1">
        <w:r>
          <w:rPr>
            <w:noProof/>
          </w:rPr>
          <w:t xml:space="preserve">Table 3.9  Hypothesis map and analysis roles</w:t>
          <w:tab/>
          <w:t>21</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26</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27</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27</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30</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32</w:t>
        </w:r>
      </w:hyperlink>
    </w:p>
    <w:p>
      <w:pPr>
        <w:keepLines/>
        <w:tabs>
          <w:tab w:pos="8784" w:val="right" w:leader="dot"/>
        </w:tabs>
        <w:spacing w:after="40" w:line="240" w:lineRule="auto"/>
        <w:ind w:left="0"/>
      </w:pPr>
      <w:hyperlink w:anchor="nav_table_Table_4_6" w:history="1">
        <w:r>
          <w:rPr>
            <w:noProof/>
          </w:rPr>
          <w:t xml:space="preserve">Table 4.6  Action composition and dispatch-only DEF</w:t>
          <w:tab/>
          <w:t>33</w:t>
        </w:r>
      </w:hyperlink>
    </w:p>
    <w:p>
      <w:pPr>
        <w:keepLines/>
        <w:tabs>
          <w:tab w:pos="8784" w:val="right" w:leader="dot"/>
        </w:tabs>
        <w:spacing w:after="40" w:line="240" w:lineRule="auto"/>
        <w:ind w:left="0"/>
      </w:pPr>
      <w:hyperlink w:anchor="nav_table_Table_4_7" w:history="1">
        <w:r>
          <w:rPr>
            <w:noProof/>
          </w:rPr>
          <w:t xml:space="preserve">Table 4.7  Tunnel-triggered and random-loss sensitivity results</w:t>
          <w:tab/>
          <w:t>36</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37</w:t>
        </w:r>
      </w:hyperlink>
    </w:p>
    <w:p>
      <w:pPr>
        <w:keepLines/>
        <w:tabs>
          <w:tab w:pos="8784" w:val="right" w:leader="dot"/>
        </w:tabs>
        <w:spacing w:after="40" w:line="240" w:lineRule="auto"/>
        <w:ind w:left="0"/>
      </w:pPr>
      <w:hyperlink w:anchor="nav_table_Table_4_9" w:history="1">
        <w:r>
          <w:rPr>
            <w:noProof/>
          </w:rPr>
          <w:t xml:space="preserve">Table 4.9  Freshness-aware explanation audit decisions</w:t>
          <w:tab/>
          <w:t>38</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43</w:t>
        </w:r>
      </w:hyperlink>
    </w:p>
    <w:p>
      <w:pPr>
        <w:keepLines/>
        <w:tabs>
          <w:tab w:pos="8784" w:val="right" w:leader="dot"/>
        </w:tabs>
        <w:spacing w:after="40" w:line="240" w:lineRule="auto"/>
        <w:ind w:left="0"/>
      </w:pPr>
      <w:hyperlink w:anchor="nav_table_Table_5_2" w:history="1">
        <w:r>
          <w:rPr>
            <w:noProof/>
          </w:rPr>
          <w:t xml:space="preserve">Table 5.2  Audit framework inputs and outputs</w:t>
          <w:tab/>
          <w:t>44</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BMG-Q</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Localized Bipartite Match Graph Attention Q-learning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MADDPG</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Deep Deterministic Policy Gradient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three independent training seeds. Decision-level explanation faithfulness (DEF) compares attention-ranked nodes with type-matched, action-protected random controls. Weighted attention mass on stale nodes (WAMSN) separately measures attention assigned to stale vehicle information. Further checks cover leave-one-out rankings, attention extraction, action type, and random telemetry-loss triggers.</w:t>
      </w:r>
    </w:p>
    <w:p>
      <w:pPr>
        <w:widowControl/>
      </w:pPr>
      <w:r>
        <w:t>The results do not validate raw attention as a reliable explanation. Clean corrected DEF remains near zero and varies across checkpoints. Longer outages increase stale-data exposure, but paired attention and DEF shifts reverse direction for one training seed. The main associations are dominated by no-op decisions and do not reproduce for dispatch actions. The seed-dependent pattern also appears under random triggering and in both training regimes. Therefore, the tested attention weights do not provide consistent evidence of freshness or decision relevance.</w:t>
      </w:r>
    </w:p>
    <w:p>
      <w:pPr>
        <w:widowControl/>
      </w:pPr>
      <w:r>
        <w:t>The dissertation proposes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The framework governs explanation release; it does not repair the model. Its demonstrative application returns WITHHOLD for both model families and all six checkpoints.</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102" w:name="nav_front_toc"/>
      <w:r>
        <w:rPr>
          <w:rFonts w:ascii="Times New Roman" w:hAnsi="Times New Roman"/>
          <w:b/>
          <w:sz w:val="28"/>
        </w:rPr>
        <w:t>TABLE OF CONTENTS</w:t>
      </w:r>
      <w:bookmarkEnd w:id="102"/>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4</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5</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5</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5</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6</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7</w:t>
        </w:r>
      </w:hyperlink>
    </w:p>
    <w:p>
      <w:pPr>
        <w:keepLines/>
        <w:tabs>
          <w:tab w:pos="8784" w:val="right" w:leader="dot"/>
        </w:tabs>
        <w:spacing w:after="40" w:line="240" w:lineRule="auto"/>
        <w:ind w:left="360"/>
      </w:pPr>
      <w:hyperlink w:anchor="nav_heading_2_5_Evaluating_faithfulness_" w:history="1">
        <w:r>
          <w:rPr>
            <w:noProof/>
          </w:rPr>
          <w:t xml:space="preserve">2.5 Evaluating faithfulness: methods and pitfalls</w:t>
          <w:tab/>
          <w:t>7</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8</w:t>
        </w:r>
      </w:hyperlink>
    </w:p>
    <w:p>
      <w:pPr>
        <w:keepLines/>
        <w:tabs>
          <w:tab w:pos="8784" w:val="right" w:leader="dot"/>
        </w:tabs>
        <w:spacing w:after="40" w:line="240" w:lineRule="auto"/>
        <w:ind w:left="360"/>
      </w:pPr>
      <w:hyperlink w:anchor="nav_heading_2_7_From_explanation_evaluat" w:history="1">
        <w:r>
          <w:rPr>
            <w:noProof/>
          </w:rPr>
          <w:t xml:space="preserve">2.7 From explanation evaluation to explanation assurance</w:t>
          <w:tab/>
          <w:t>8</w:t>
        </w:r>
      </w:hyperlink>
    </w:p>
    <w:p>
      <w:pPr>
        <w:keepLines/>
        <w:tabs>
          <w:tab w:pos="8784" w:val="right" w:leader="dot"/>
        </w:tabs>
        <w:spacing w:after="40" w:line="240" w:lineRule="auto"/>
        <w:ind w:left="360"/>
      </w:pPr>
      <w:hyperlink w:anchor="nav_heading_2_8_Research_gap_and_positio" w:history="1">
        <w:r>
          <w:rPr>
            <w:noProof/>
          </w:rPr>
          <w:t xml:space="preserve">2.8 Research gap and positioning</w:t>
          <w:tab/>
          <w:t>8</w:t>
        </w:r>
      </w:hyperlink>
    </w:p>
    <w:p>
      <w:pPr>
        <w:keepLines/>
        <w:tabs>
          <w:tab w:pos="8784" w:val="right" w:leader="dot"/>
        </w:tabs>
        <w:spacing w:after="40" w:line="240" w:lineRule="auto"/>
        <w:ind w:left="0"/>
      </w:pPr>
      <w:hyperlink w:anchor="nav_heading_Chapter_3_Methodology" w:history="1">
        <w:r>
          <w:rPr>
            <w:noProof/>
          </w:rPr>
          <w:t xml:space="preserve">Chapter 3: Methodology</w:t>
          <w:tab/>
          <w:t>10</w:t>
        </w:r>
      </w:hyperlink>
    </w:p>
    <w:p>
      <w:pPr>
        <w:keepLines/>
        <w:tabs>
          <w:tab w:pos="8784" w:val="right" w:leader="dot"/>
        </w:tabs>
        <w:spacing w:after="40" w:line="240" w:lineRule="auto"/>
        <w:ind w:left="360"/>
      </w:pPr>
      <w:hyperlink w:anchor="nav_heading_3_1_Study_design" w:history="1">
        <w:r>
          <w:rPr>
            <w:noProof/>
          </w:rPr>
          <w:t xml:space="preserve">3.1 Study design</w:t>
          <w:tab/>
          <w:t>10</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10</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10</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11</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15</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16</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16</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17</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18</w:t>
        </w:r>
      </w:hyperlink>
    </w:p>
    <w:p>
      <w:pPr>
        <w:keepLines/>
        <w:tabs>
          <w:tab w:pos="8784" w:val="right" w:leader="dot"/>
        </w:tabs>
        <w:spacing w:after="40" w:line="240" w:lineRule="auto"/>
        <w:ind w:left="360"/>
      </w:pPr>
      <w:hyperlink w:anchor="nav_heading_3_8_Evaluation_design" w:history="1">
        <w:r>
          <w:rPr>
            <w:noProof/>
          </w:rPr>
          <w:t xml:space="preserve">3.8 Evaluation design</w:t>
          <w:tab/>
          <w:t>19</w:t>
        </w:r>
      </w:hyperlink>
    </w:p>
    <w:p>
      <w:pPr>
        <w:keepLines/>
        <w:tabs>
          <w:tab w:pos="8784" w:val="right" w:leader="dot"/>
        </w:tabs>
        <w:spacing w:after="40" w:line="240" w:lineRule="auto"/>
        <w:ind w:left="360"/>
      </w:pPr>
      <w:hyperlink w:anchor="nav_heading_3_8_1_Primary_evaluation" w:history="1">
        <w:r>
          <w:rPr>
            <w:noProof/>
          </w:rPr>
          <w:t xml:space="preserve">3.8.1 Primary evaluation</w:t>
          <w:tab/>
          <w:t>19</w:t>
        </w:r>
      </w:hyperlink>
    </w:p>
    <w:p>
      <w:pPr>
        <w:keepLines/>
        <w:tabs>
          <w:tab w:pos="8784" w:val="right" w:leader="dot"/>
        </w:tabs>
        <w:spacing w:after="40" w:line="240" w:lineRule="auto"/>
        <w:ind w:left="360"/>
      </w:pPr>
      <w:hyperlink w:anchor="nav_heading_3_8_2_Supporting_analyses" w:history="1">
        <w:r>
          <w:rPr>
            <w:noProof/>
          </w:rPr>
          <w:t xml:space="preserve">3.8.2 Supporting analyses</w:t>
          <w:tab/>
          <w:t>21</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statistical analysis</w:t>
          <w:tab/>
          <w:t>21</w:t>
        </w:r>
      </w:hyperlink>
    </w:p>
    <w:p>
      <w:pPr>
        <w:keepLines/>
        <w:tabs>
          <w:tab w:pos="8784" w:val="right" w:leader="dot"/>
        </w:tabs>
        <w:spacing w:after="40" w:line="240" w:lineRule="auto"/>
        <w:ind w:left="360"/>
      </w:pPr>
      <w:hyperlink w:anchor="nav_heading_3_9_1_Statistical_procedure" w:history="1">
        <w:r>
          <w:rPr>
            <w:noProof/>
          </w:rPr>
          <w:t xml:space="preserve">3.9.1 Statistical procedure</w:t>
          <w:tab/>
          <w:t>22</w:t>
        </w:r>
      </w:hyperlink>
    </w:p>
    <w:p>
      <w:pPr>
        <w:keepLines/>
        <w:tabs>
          <w:tab w:pos="8784" w:val="right" w:leader="dot"/>
        </w:tabs>
        <w:spacing w:after="40" w:line="240" w:lineRule="auto"/>
        <w:ind w:left="360"/>
      </w:pPr>
      <w:hyperlink w:anchor="nav_heading_3_9_2_Interpretation_limits" w:history="1">
        <w:r>
          <w:rPr>
            <w:noProof/>
          </w:rPr>
          <w:t xml:space="preserve">3.9.2 Interpretation limits</w:t>
          <w:tab/>
          <w:t>22</w:t>
        </w:r>
      </w:hyperlink>
    </w:p>
    <w:p>
      <w:pPr>
        <w:keepLines/>
        <w:tabs>
          <w:tab w:pos="8784" w:val="right" w:leader="dot"/>
        </w:tabs>
        <w:spacing w:after="40" w:line="240" w:lineRule="auto"/>
        <w:ind w:left="360"/>
      </w:pPr>
      <w:hyperlink w:anchor="nav_heading_3_10_Audit_decision_implemen" w:history="1">
        <w:r>
          <w:rPr>
            <w:noProof/>
          </w:rPr>
          <w:t xml:space="preserve">3.10 Audit decision implementation</w:t>
          <w:tab/>
          <w:t>22</w:t>
        </w:r>
      </w:hyperlink>
    </w:p>
    <w:p>
      <w:pPr>
        <w:keepLines/>
        <w:tabs>
          <w:tab w:pos="8784" w:val="right" w:leader="dot"/>
        </w:tabs>
        <w:spacing w:after="40" w:line="240" w:lineRule="auto"/>
        <w:ind w:left="360"/>
      </w:pPr>
      <w:hyperlink w:anchor="nav_heading_3_11_Reproducibility" w:history="1">
        <w:r>
          <w:rPr>
            <w:noProof/>
          </w:rPr>
          <w:t xml:space="preserve">3.11 Reproducibility</w:t>
          <w:tab/>
          <w:t>23</w:t>
        </w:r>
      </w:hyperlink>
    </w:p>
    <w:p>
      <w:pPr>
        <w:keepLines/>
        <w:tabs>
          <w:tab w:pos="8784" w:val="right" w:leader="dot"/>
        </w:tabs>
        <w:spacing w:after="40" w:line="240" w:lineRule="auto"/>
        <w:ind w:left="360"/>
      </w:pPr>
      <w:hyperlink w:anchor="nav_heading_3_12_Ethics_and_data_governa" w:history="1">
        <w:r>
          <w:rPr>
            <w:noProof/>
          </w:rPr>
          <w:t xml:space="preserve">3.12 Ethics and data governance</w:t>
          <w:tab/>
          <w:t>24</w:t>
        </w:r>
      </w:hyperlink>
    </w:p>
    <w:p>
      <w:pPr>
        <w:keepLines/>
        <w:tabs>
          <w:tab w:pos="8784" w:val="right" w:leader="dot"/>
        </w:tabs>
        <w:spacing w:after="40" w:line="240" w:lineRule="auto"/>
        <w:ind w:left="0"/>
      </w:pPr>
      <w:hyperlink w:anchor="nav_heading_Chapter_4_Results" w:history="1">
        <w:r>
          <w:rPr>
            <w:noProof/>
          </w:rPr>
          <w:t xml:space="preserve">Chapter 4: Results</w:t>
          <w:tab/>
          <w:t>25</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25</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27</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27</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30</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31</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32</w:t>
        </w:r>
      </w:hyperlink>
    </w:p>
    <w:p>
      <w:pPr>
        <w:keepLines/>
        <w:tabs>
          <w:tab w:pos="8784" w:val="right" w:leader="dot"/>
        </w:tabs>
        <w:spacing w:after="40" w:line="240" w:lineRule="auto"/>
        <w:ind w:left="360"/>
      </w:pPr>
      <w:hyperlink w:anchor="nav_heading_4_7_Analysis_by_action_type" w:history="1">
        <w:r>
          <w:rPr>
            <w:noProof/>
          </w:rPr>
          <w:t xml:space="preserve">4.7 Analysis by action type</w:t>
          <w:tab/>
          <w:t>33</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34</w:t>
        </w:r>
      </w:hyperlink>
    </w:p>
    <w:p>
      <w:pPr>
        <w:keepLines/>
        <w:tabs>
          <w:tab w:pos="8784" w:val="right" w:leader="dot"/>
        </w:tabs>
        <w:spacing w:after="40" w:line="240" w:lineRule="auto"/>
        <w:ind w:left="360"/>
      </w:pPr>
      <w:hyperlink w:anchor="nav_heading_4_9_Faithfulness_hypotheses" w:history="1">
        <w:r>
          <w:rPr>
            <w:noProof/>
          </w:rPr>
          <w:t xml:space="preserve">4.9 Faithfulness hypotheses</w:t>
          <w:tab/>
          <w:t>37</w:t>
        </w:r>
      </w:hyperlink>
    </w:p>
    <w:p>
      <w:pPr>
        <w:keepLines/>
        <w:tabs>
          <w:tab w:pos="8784" w:val="right" w:leader="dot"/>
        </w:tabs>
        <w:spacing w:after="40" w:line="240" w:lineRule="auto"/>
        <w:ind w:left="360"/>
      </w:pPr>
      <w:hyperlink w:anchor="nav_heading_4_10_Result_summary" w:history="1">
        <w:r>
          <w:rPr>
            <w:noProof/>
          </w:rPr>
          <w:t xml:space="preserve">4.10 Result summary</w:t>
          <w:tab/>
          <w:t>38</w:t>
        </w:r>
      </w:hyperlink>
    </w:p>
    <w:p>
      <w:pPr>
        <w:keepLines/>
        <w:tabs>
          <w:tab w:pos="8784" w:val="right" w:leader="dot"/>
        </w:tabs>
        <w:spacing w:after="40" w:line="240" w:lineRule="auto"/>
        <w:ind w:left="360"/>
      </w:pPr>
      <w:hyperlink w:anchor="nav_heading_4_11_Demonstrative_framework" w:history="1">
        <w:r>
          <w:rPr>
            <w:noProof/>
          </w:rPr>
          <w:t xml:space="preserve">4.11 Demonstrative framework decision</w:t>
          <w:tab/>
          <w:t>38</w:t>
        </w:r>
      </w:hyperlink>
    </w:p>
    <w:p>
      <w:pPr>
        <w:keepLines/>
        <w:tabs>
          <w:tab w:pos="8784" w:val="right" w:leader="dot"/>
        </w:tabs>
        <w:spacing w:after="40" w:line="240" w:lineRule="auto"/>
        <w:ind w:left="0"/>
      </w:pPr>
      <w:hyperlink w:anchor="nav_heading_Chapter_5_Discussion" w:history="1">
        <w:r>
          <w:rPr>
            <w:noProof/>
          </w:rPr>
          <w:t xml:space="preserve">Chapter 5: Discussion</w:t>
          <w:tab/>
          <w:t>40</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40</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41</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41</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42</w:t>
        </w:r>
      </w:hyperlink>
    </w:p>
    <w:p>
      <w:pPr>
        <w:keepLines/>
        <w:tabs>
          <w:tab w:pos="8784" w:val="right" w:leader="dot"/>
        </w:tabs>
        <w:spacing w:after="40" w:line="240" w:lineRule="auto"/>
        <w:ind w:left="360"/>
      </w:pPr>
      <w:hyperlink w:anchor="nav_heading_5_5_Why_outage_training_did_" w:history="1">
        <w:r>
          <w:rPr>
            <w:noProof/>
          </w:rPr>
          <w:t xml:space="preserve">5.5 Why outage training did not solve the problem</w:t>
          <w:tab/>
          <w:t>42</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43</w:t>
        </w:r>
      </w:hyperlink>
    </w:p>
    <w:p>
      <w:pPr>
        <w:keepLines/>
        <w:tabs>
          <w:tab w:pos="8784" w:val="right" w:leader="dot"/>
        </w:tabs>
        <w:spacing w:after="40" w:line="240" w:lineRule="auto"/>
        <w:ind w:left="360"/>
      </w:pPr>
      <w:hyperlink w:anchor="nav_heading_5_6_1_Purpose_and_scope" w:history="1">
        <w:r>
          <w:rPr>
            <w:noProof/>
          </w:rPr>
          <w:t xml:space="preserve">5.6.1 Purpose and scope</w:t>
          <w:tab/>
          <w:t>43</w:t>
        </w:r>
      </w:hyperlink>
    </w:p>
    <w:p>
      <w:pPr>
        <w:keepLines/>
        <w:tabs>
          <w:tab w:pos="8784" w:val="right" w:leader="dot"/>
        </w:tabs>
        <w:spacing w:after="40" w:line="240" w:lineRule="auto"/>
        <w:ind w:left="360"/>
      </w:pPr>
      <w:hyperlink w:anchor="nav_heading_5_6_2_Inputs_outputs_and_use" w:history="1">
        <w:r>
          <w:rPr>
            <w:noProof/>
          </w:rPr>
          <w:t xml:space="preserve">5.6.2 Inputs, outputs and use</w:t>
          <w:tab/>
          <w:t>44</w:t>
        </w:r>
      </w:hyperlink>
    </w:p>
    <w:p>
      <w:pPr>
        <w:keepLines/>
        <w:tabs>
          <w:tab w:pos="8784" w:val="right" w:leader="dot"/>
        </w:tabs>
        <w:spacing w:after="40" w:line="240" w:lineRule="auto"/>
        <w:ind w:left="360"/>
      </w:pPr>
      <w:hyperlink w:anchor="nav_heading_5_6_3_Application_to_this_st" w:history="1">
        <w:r>
          <w:rPr>
            <w:noProof/>
          </w:rPr>
          <w:t xml:space="preserve">5.6.3 Application to this study</w:t>
          <w:tab/>
          <w:t>45</w:t>
        </w:r>
      </w:hyperlink>
    </w:p>
    <w:p>
      <w:pPr>
        <w:keepLines/>
        <w:tabs>
          <w:tab w:pos="8784" w:val="right" w:leader="dot"/>
        </w:tabs>
        <w:spacing w:after="40" w:line="240" w:lineRule="auto"/>
        <w:ind w:left="360"/>
      </w:pPr>
      <w:hyperlink w:anchor="nav_heading_5_7_Limitations" w:history="1">
        <w:r>
          <w:rPr>
            <w:noProof/>
          </w:rPr>
          <w:t xml:space="preserve">5.7 Limitations</w:t>
          <w:tab/>
          <w:t>45</w:t>
        </w:r>
      </w:hyperlink>
    </w:p>
    <w:p>
      <w:pPr>
        <w:keepLines/>
        <w:tabs>
          <w:tab w:pos="8784" w:val="right" w:leader="dot"/>
        </w:tabs>
        <w:spacing w:after="40" w:line="240" w:lineRule="auto"/>
        <w:ind w:left="360"/>
      </w:pPr>
      <w:hyperlink w:anchor="nav_heading_5_8_Future_work" w:history="1">
        <w:r>
          <w:rPr>
            <w:noProof/>
          </w:rPr>
          <w:t xml:space="preserve">5.8 Future work</w:t>
          <w:tab/>
          <w:t>46</w:t>
        </w:r>
      </w:hyperlink>
    </w:p>
    <w:p>
      <w:pPr>
        <w:keepLines/>
        <w:tabs>
          <w:tab w:pos="8784" w:val="right" w:leader="dot"/>
        </w:tabs>
        <w:spacing w:after="40" w:line="240" w:lineRule="auto"/>
        <w:ind w:left="0"/>
      </w:pPr>
      <w:hyperlink w:anchor="nav_heading_Chapter_6_Conclusion" w:history="1">
        <w:r>
          <w:rPr>
            <w:noProof/>
          </w:rPr>
          <w:t xml:space="preserve">Chapter 6: Conclusion</w:t>
          <w:tab/>
          <w:t>47</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In the tested configurations, does degradation-aware training produce more consistent attention and faithfulness responses under telemetry degradation than clean training?</w:t>
      </w:r>
    </w:p>
    <w:p>
      <w:pPr>
        <w:widowControl/>
      </w:pPr>
      <w:r>
        <w:t>The construct-validity audit supports the interpretation of all four research questions. It is not a separate primary problem. Its purpose is to check that the faithfulness evaluator measures the effect of removing information rather than the accidental removal of an available action.</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groups, and attention-extraction choices;</w:t>
      </w:r>
    </w:p>
    <w:p>
      <w:pPr>
        <w:pStyle w:val="14"/>
        <w:keepLines/>
        <w:numPr>
          <w:ilvl w:val="0"/>
          <w:numId w:val="6"/>
        </w:numPr>
        <w:spacing w:after="40"/>
      </w:pPr>
      <w:r>
        <w:t>compare the matched clean-trained and degradation-aware configurations to assess whether the tested degradation-aware configuration gives more consistent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pStyle w:val="3"/>
        <w:keepNext/>
      </w:pPr>
      <w:bookmarkStart w:id="6" w:name="nav_heading_1_5_Main_findings"/>
      <w:r>
        <w:t>1.5 Main findings</w:t>
      </w:r>
      <w:bookmarkEnd w:id="6"/>
    </w:p>
    <w:p>
      <w:pPr>
        <w:widowControl/>
      </w:pPr>
      <w:r>
        <w:t xml:space="preserve">Overall, </w:t>
      </w:r>
      <w:r>
        <w:rPr>
          <w:b/>
          <w:i w:val="0"/>
        </w:rPr>
        <w:t>this study does not validate raw graph-attention weights as reliable explanations of fleet-dispatch decisions</w:t>
      </w:r>
      <w:r>
        <w:t>. Figure 1.1 summarizes the central finding: an attention explanation can remain available after the policy begins receiving stale vehicle information, but its availability does not show that it reliably identifies the evidence behind the decision.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9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freshness and faithfulness are not both established.</w:t>
      </w:r>
      <w:bookmarkEnd w:id="7"/>
    </w:p>
    <w:p>
      <w:pPr>
        <w:widowControl/>
      </w:pPr>
      <w:r>
        <w:t>Under clean telemetry, raw attention performs close to its type-matched random control and varies across the six trained policies. In contrast, the leave-one-out control produces a clearer faithfulness response. This shows that the evaluator can detect decision-relevant information, but raw attention does not consistently provide it.</w:t>
      </w:r>
    </w:p>
    <w:p>
      <w:pPr>
        <w:widowControl/>
      </w:pPr>
      <w:r>
        <w:t>Longer outages consistently increase exposure to stale vehicle information. However, the resulting changes in attention and faithfulness differ across trained policies. Some policies assign more attention to stale nodes, while others assign less. The study therefore does not find a single, consistent attention response to telemetry degradation.</w:t>
      </w:r>
    </w:p>
    <w:p>
      <w:pPr>
        <w:widowControl/>
      </w:pPr>
      <w:r>
        <w:t>The findings also depend on how attention is extracted and on whether the selected action is dispatch or no-op. Most scorable decisions are no-op, and the smaller dispatch-only results do not reproduce the main associations consistently. Degradation-aware training does not remove this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action-type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the SUMO environment, policy models, observation-layer degradation, faithfulness measures, evaluation design,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Multi-Agent Deep Deterministic Policy Gradient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Hu, Feng and Li (2025) propose Localized Bipartite Match Graph Attention Q-learning (BMG-Q), which uses a local bipartite graph for ride-pooling dispatch. CoopRide studies cooperation across city grids (Wang et al., 2025), while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5" w:name="nav_heading_2_5_Evaluating_faithfulness_"/>
      <w:r>
        <w:t>2.5 Evaluating faithfulness: methods and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This dissertation uses AoI only as a node-level freshness descriptor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From_explanation_evaluat"/>
      <w:r>
        <w:t>2.7 From explanation evaluation to explanation assurance</w:t>
      </w:r>
      <w:bookmarkEnd w:id="17"/>
    </w:p>
    <w:p>
      <w:pPr>
        <w:widowControl/>
      </w:pPr>
      <w:r>
        <w:t>An explanation test becomes an assurance process when its result is used to decide whether an explanation should be shown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general assurance principle to a narrower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w:t>
      </w:r>
    </w:p>
    <w:p>
      <w:pPr>
        <w:pStyle w:val="3"/>
        <w:keepNext/>
      </w:pPr>
      <w:bookmarkStart w:id="18" w:name="nav_heading_2_8_Research_gap_and_positio"/>
      <w:r>
        <w:t>2.8 Research gap and positioning</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Within the literature reviewed in this chapter, no study was identified that treats these topics as one explanation-assurance problem. This is a focused narrative review used to position the experiment; it is not a systematic or exhaustive literature search.</w:t>
      </w:r>
    </w:p>
    <w:p>
      <w:pPr>
        <w:widowControl/>
      </w:pPr>
      <w:r>
        <w:t>Recent graph-based dispatch studies provide the closest task comparison, but they answer a different question from this dissertation. Hu, Feng and Li (2025) evaluate BMG-Q, Wang et al. (2025) evaluate CoopRide, and Sha et al. (2026) evaluate DualG-MARL. Table 2.1 summarizes how their aims differ from the present study.</w:t>
      </w:r>
    </w:p>
    <w:p>
      <w:pPr>
        <w:pStyle w:val="12"/>
        <w:keepNext/>
      </w:pPr>
      <w:bookmarkStart w:id="19" w:name="nav_table_Table_2_1"/>
      <w:r>
        <w:rPr>
          <w:b/>
        </w:rPr>
        <w:t>Table 2.1: Recent graph-based dispatch literature compared with this study</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500"/>
        <w:gridCol w:w="2500"/>
        <w:gridCol w:w="1800"/>
        <w:gridCol w:w="3220"/>
      </w:tblGrid>
      <w:tr>
        <w:trPr>
          <w:cantSplit/>
          <w:tblHeader w:val="true"/>
        </w:trPr>
        <w:tc>
          <w:tcPr>
            <w:tcW w:type="dxa" w:w="1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2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Data and graph design</w:t>
            </w:r>
          </w:p>
        </w:tc>
        <w:tc>
          <w:tcPr>
            <w:tcW w:type="dxa" w:w="1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purpose</w:t>
            </w:r>
          </w:p>
        </w:tc>
        <w:tc>
          <w:tcPr>
            <w:tcW w:type="dxa" w:w="32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Unaddressed assurance question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BMG-Q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ride-pooling with a local bipartite matching graph</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quality and scalability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graph weights faithful under stale telemetry?</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CoopRide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cooperative MARL across city grids and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city-scale dispatch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node-level explanations faithful?</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DualG-MARL (2026)</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vehicle-state and task graphs with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ride-sharing scheduling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explanations remain supported under paired telemetry degradation?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This dissertation</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local GAT-MAPPO taxi/request graphs in controlled SUMO runs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 assurance</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paired degradation, action-aware faithfulness, and release conditions.</w:t>
            </w:r>
          </w:p>
        </w:tc>
      </w:tr>
    </w:tbl>
    <w:p>
      <w:pPr>
        <w:widowControl/>
      </w:pPr>
      <w:r>
        <w:t>These methods are not treated as performance baselines because their tasks, action spaces, and data-generation procedures differ. They are benchmark literature for positioning the contribution: recent work improves relational dispatch, whereas this dissertation tests whether an exposed attention channel has enough evidence to be presented as an explanation.</w:t>
      </w:r>
    </w:p>
    <w:p>
      <w:pPr>
        <w:keepNext/>
        <w:widowControl/>
      </w:pPr>
      <w:r>
        <w:t>Within the graph- and RL-explainability and delayed-observation studies reviewed in Sections 2.2-2.6,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w:t>
      </w:r>
    </w:p>
    <w:p>
      <w:pPr>
        <w:pStyle w:val="13"/>
        <w:keepLines/>
        <w:spacing w:after="120"/>
      </w:pPr>
      <w:r>
        <w:t>replication across independently trained checkpoints.</w:t>
      </w:r>
    </w:p>
    <w:p>
      <w:pPr>
        <w:widowControl/>
      </w:pPr>
      <w:r>
        <w:t>This thesis contributes an audit protocol and an empirical test rather than a new dispatch algorithm. SUMO supplies a controlled simulated state (Lopez et al., 2018). The GAT-MAPPO policy supplies an auditable attention channel. The research contribution is to test whether that channel gives a reproducible freshness-aware and decision-relevant explanation, and to state clearly when the evidence cannot support that claim.</w:t>
      </w:r>
    </w:p>
    <w:p>
      <w:pPr>
        <w:pStyle w:val="2"/>
        <w:keepNext/>
      </w:pPr>
      <w:bookmarkStart w:id="20" w:name="nav_heading_Chapter_3_Methodology"/>
      <w:r>
        <w:t>Chapter 3: Methodology</w:t>
      </w:r>
      <w:bookmarkEnd w:id="20"/>
    </w:p>
    <w:p>
      <w:pPr>
        <w:pStyle w:val="3"/>
        <w:keepNext/>
      </w:pPr>
      <w:bookmarkStart w:id="21" w:name="nav_heading_3_1_Study_design"/>
      <w:r>
        <w:t>3.1 Study design</w:t>
      </w:r>
      <w:bookmarkEnd w:id="21"/>
    </w:p>
    <w:p>
      <w:pPr>
        <w:widowControl/>
      </w:pPr>
      <w:r>
        <w:t>The study uses a controlled simulation because the research question requires the same decision to be observed in two ways: once with current telemetry and once with degraded telemetry. A conventional observational fleet log would not normally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six objectives are implemented through the paired observation benchmark, clean faithfulness controls, telemetry-degradation sweep, cross-checkpoint consistency analyses, matched training comparison, and final explanation-release audit.</w:t>
      </w:r>
    </w:p>
    <w:p>
      <w:pPr>
        <w:pStyle w:val="3"/>
        <w:keepNext/>
      </w:pPr>
      <w:bookmarkStart w:id="22" w:name="nav_heading_3_2_SUMO_environment_and_dat"/>
      <w:r>
        <w:t>3.2 SUMO environment and data</w:t>
      </w:r>
      <w:bookmarkEnd w:id="22"/>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Twenty generated demand variants use one fixed taxi seed (42) and passenger request seeds 1000-1019. Variants 0-13 form the training split, variants 14-16 form the validation split, and variants 17-19 form the held-out test split. The policy is fitted on the 14 training variants. Candidate checkpoints are compared on the three validation variants. The final reported runs use only the three test variants. This separation prevents test results from influencing model selection. During evaluation, consecutive episodes cycle through the three test variants, and actions are sampled from the policy's probability distribution. Evaluation seeds control this action sampling; they do not create additional independent demand datasets.</w:t>
      </w:r>
    </w:p>
    <w:p>
      <w:pPr>
        <w:widowControl/>
      </w:pPr>
      <w:r>
        <w:t>SUMO is a microscopic traffic simulator (Lopez et al., 2018), not a source of directly observed traffic data.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3" w:name="nav_heading_3_3_Observation_graph_and_ac"/>
      <w:r>
        <w:t>3.3 Observation graph and action space</w:t>
      </w:r>
      <w:bookmarkEnd w:id="23"/>
    </w:p>
    <w:p>
      <w:pPr>
        <w:widowControl/>
      </w:pPr>
      <w:r>
        <w:t>Each idle taxi receives a self-centered graph. Table 3.1 summarizes its node types, features, and roles.</w:t>
      </w:r>
    </w:p>
    <w:p>
      <w:pPr>
        <w:pStyle w:val="12"/>
        <w:keepNext/>
      </w:pPr>
      <w:bookmarkStart w:id="24" w:name="nav_table_Table_3_1"/>
      <w:r>
        <w:rPr>
          <w:b/>
        </w:rPr>
        <w:t>Table 3.1: Observation graph node types and roles</w:t>
      </w:r>
      <w:bookmarkEnd w:id="2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normalized time, speed and AoI; separate position-valid indicator</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 and taxi masks prevent padded nodes from receiving attention. The discrete action space contains no-op plus one action for each visible passenger request. Figure 3.1 shows the maximum graph size and the request-to-action mapping. This mapping is important for the faithfulness evaluation: masking a passenger request node also removes its associated action, whereas masking a peer-taxi node removes only information about that taxi. Section 3.7 explains how the evaluation accounts for the different effects of masking request and peer-taxi nodes.</w:t>
      </w:r>
    </w:p>
    <w:p>
      <w:pPr>
        <w:keepNext/>
        <w:keepLines/>
        <w:spacing w:before="120" w:after="40"/>
        <w:jc w:val="center"/>
      </w:pPr>
      <w:r>
        <w:drawing>
          <wp:inline xmlns:a="http://schemas.openxmlformats.org/drawingml/2006/main" xmlns:pic="http://schemas.openxmlformats.org/drawingml/2006/picture">
            <wp:extent cx="5623560" cy="2904119"/>
            <wp:docPr id="3" name="Picture 3" descr="Local observation graph with peer taxis, requests and request-to-action mapping"/>
            <wp:cNvGraphicFramePr>
              <a:graphicFrameLocks noChangeAspect="1"/>
            </wp:cNvGraphicFramePr>
            <a:graphic>
              <a:graphicData uri="http://schemas.openxmlformats.org/drawingml/2006/picture">
                <pic:pic>
                  <pic:nvPicPr>
                    <pic:cNvPr id="0" name="observation_graph_action_mapping.png"/>
                    <pic:cNvPicPr/>
                  </pic:nvPicPr>
                  <pic:blipFill>
                    <a:blip r:embed="rId46"/>
                    <a:stretch>
                      <a:fillRect/>
                    </a:stretch>
                  </pic:blipFill>
                  <pic:spPr>
                    <a:xfrm>
                      <a:off x="0" y="0"/>
                      <a:ext cx="5623560" cy="2904119"/>
                    </a:xfrm>
                    <a:prstGeom prst="rect"/>
                  </pic:spPr>
                </pic:pic>
              </a:graphicData>
            </a:graphic>
          </wp:inline>
        </w:drawing>
      </w:r>
    </w:p>
    <w:p>
      <w:pPr>
        <w:pStyle w:val="12"/>
        <w:keepLines/>
      </w:pPr>
      <w:bookmarkStart w:id="25" w:name="nav_figure_Figure_3_1"/>
      <w:r>
        <w:t>Figure 3.1. Maximum configured graph: one self taxi, five peer taxis, and five requests. Valid nodes are fully connected, and unused slots are masked. The red ring marks stale telemetry; dark edges show illustrative attention into the self taxi. Each request maps to one dispatch action.</w:t>
      </w:r>
      <w:bookmarkEnd w:id="25"/>
    </w:p>
    <w:p>
      <w:pPr>
        <w:pStyle w:val="3"/>
        <w:keepNext/>
      </w:pPr>
      <w:bookmarkStart w:id="26" w:name="nav_heading_3_4_Policy_models_and_traini"/>
      <w:r>
        <w:t>3.4 Policy models and training</w:t>
      </w:r>
      <w:bookmarkEnd w:id="26"/>
    </w:p>
    <w:p>
      <w:pPr>
        <w:widowControl/>
      </w:pPr>
      <w:r>
        <w:t>The main policy uses per-node-type feature projections followed by two graph attention layers with four heads. The actor scores no-op and the visible requests. The critic estimates value for MAPPO training (Yu et al., 2022) with centralized training and decentralized execution (CTDE). The GAT implementation returns its attention tensors directly so they can be audited without changing the trained network.</w:t>
      </w:r>
    </w:p>
    <w:p>
      <w:pPr>
        <w:widowControl/>
      </w:pPr>
      <w:r>
        <w:t>During training, the centralized critic pools the valid node embeddings from all agents in the same transition and returns one shared team-value estimate. The actor does not receive this pooled representation: each taxi selects its action from its own local graph. At execution and during the explanation audit, the actor therefore remains decentralized.</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3.2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4" name="Picture 4"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27"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7"/>
    </w:p>
    <w:p>
      <w:pPr>
        <w:widowControl/>
      </w:pPr>
      <w:r>
        <w:t>Table 3.2 lists the three policy conditions included in the experiment. The non-graph baseline uses a multilayer perceptron (MLP).</w:t>
      </w:r>
    </w:p>
    <w:p>
      <w:pPr>
        <w:pStyle w:val="12"/>
        <w:keepNext/>
      </w:pPr>
      <w:bookmarkStart w:id="28" w:name="nav_table_Table_3_2"/>
      <w:r>
        <w:rPr>
          <w:b/>
        </w:rPr>
        <w:t>Table 3.2: Policy conditions used in the experiment</w:t>
      </w:r>
      <w:bookmarkEnd w:id="2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tested degradation-aware training configuration</w:t>
            </w:r>
          </w:p>
        </w:tc>
      </w:tr>
    </w:tbl>
    <w:p>
      <w:pPr>
        <w:widowControl/>
      </w:pPr>
      <w:r>
        <w:t>Each model is trained in three independently initialized runs using seeds 42, 43, and 44. Corresponding GAT and GAT-Outage seeds are paired in the H5 comparison.</w:t>
      </w:r>
    </w:p>
    <w:p>
      <w:pPr>
        <w:widowControl/>
      </w:pPr>
      <w:r>
        <w:t>The maximum training budgets were fixed from validation-only stability diagnostics before the held-out evaluation. Clean GAT uses 40 epochs because longer development runs showed late policy drift. MLP uses 50 epochs because it learned too slowly under the lower GAT learning rate, while a 60-epoch probe failed the 80% final-validation-retention gate. GAT-Outage uses 50 epochs because its seed-43 validation result was still improving at epoch 40 and retained 93.9% of its selected validation pickup count at epoch 50.</w:t>
      </w:r>
    </w:p>
    <w:p>
      <w:pPr>
        <w:widowControl/>
      </w:pPr>
      <w:r>
        <w:t>These choices improve stability but mean that GAT and GAT-Outage do not have identical optimization horizons: their learning rates decay over 40 and 50 epochs, respectively. H5 therefore compares the two fitted training configurations descriptively. It does not isolate the effect of degraded training observations from the difference in training budget.</w:t>
      </w:r>
    </w:p>
    <w:p>
      <w:pPr>
        <w:widowControl/>
      </w:pPr>
      <w:r>
        <w:t>Candidate checkpoints include snapshots saved at zero-based indices 0, 10, 20, 30, and so on, the final snapshot, and a rolling-best snapshot updated when the ten-epoch mean pickup count improves. Because the implementation records zero-based indices, index 39 denotes the checkpoint saved after 40 training epochs. Selection uses eight sampled-action validation episodes with seed 2026 and mean pickups as the primary criterion; mean reward and the earlier checkpoint index break ties. The test split is not read during selection. Table 3.3 reports the selected checkpoint index for each training run.</w:t>
      </w:r>
    </w:p>
    <w:p>
      <w:pPr>
        <w:pStyle w:val="12"/>
        <w:keepNext/>
      </w:pPr>
      <w:bookmarkStart w:id="29" w:name="nav_table_Table_3_3"/>
      <w:r>
        <w:rPr>
          <w:b/>
        </w:rPr>
        <w:t>Table 3.3: Validation-selected checkpoint indices (zero-based)</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Table 3.4 reports the training and optimization settings.</w:t>
      </w:r>
    </w:p>
    <w:p>
      <w:pPr>
        <w:pStyle w:val="12"/>
        <w:keepNext/>
      </w:pPr>
      <w:bookmarkStart w:id="30" w:name="nav_table_Table_3_4"/>
      <w:r>
        <w:rPr>
          <w:b/>
        </w:rPr>
        <w:t>Table 3.4: Training and optimization settings</w:t>
      </w:r>
      <w:bookmarkEnd w:id="3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510"/>
        <w:gridCol w:w="4510"/>
      </w:tblGrid>
      <w:tr>
        <w:trPr>
          <w:cantSplit/>
          <w:tblHeader w:val="true"/>
        </w:trPr>
        <w:tc>
          <w:tcPr>
            <w:tcW w:type="dxa" w:w="451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Learning-rate schedule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linear decay over each run (GAT variants); constant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attention dropout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 hidden width / layers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3</w:t>
            </w:r>
          </w:p>
        </w:tc>
      </w:tr>
    </w:tbl>
    <w:p>
      <w:pPr>
        <w:widowControl/>
      </w:pPr>
      <w:r>
        <w:t>Table 3.5 separates checkpoint acceptance from the optimizer settings. Final validation retention is the final checkpoint's mean validation pickups divided by the selected checkpoint's mean validation pickups. The stability window defines where the training measures are calculated; the remaining four gates must pass before a training run is accepted for evaluation.</w:t>
      </w:r>
    </w:p>
    <w:p>
      <w:pPr>
        <w:pStyle w:val="12"/>
        <w:keepNext/>
      </w:pPr>
      <w:bookmarkStart w:id="31" w:name="nav_table_Table_3_5"/>
      <w:r>
        <w:rPr>
          <w:b/>
        </w:rPr>
        <w:t>Table 3.5: Checkpoint-acceptance criteria</w:t>
      </w:r>
      <w:bookmarkEnd w:id="3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5900"/>
        <w:gridCol w:w="3120"/>
      </w:tblGrid>
      <w:tr>
        <w:trPr>
          <w:cantSplit/>
          <w:tblHeader w:val="true"/>
        </w:trPr>
        <w:tc>
          <w:tcPr>
            <w:tcW w:type="dxa" w:w="5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Checkpoint-acceptance setting</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value</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pickups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zero-pickup epochs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pickups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At simulation step t, the reported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r</m:t>
                  </m:r>
                </m:e>
                <m:sub>
                  <m:r>
                    <m:t>t</m:t>
                  </m:r>
                </m:sub>
              </m:sSub>
              <m:r>
                <m:t>=10</m:t>
              </m:r>
              <m:sSub>
                <m:e>
                  <m:r>
                    <m:t>N</m:t>
                  </m:r>
                </m:e>
                <m:sub>
                  <m:r>
                    <m:rPr>
                      <m:nor/>
                    </m:rPr>
                    <m:t>pickup</m:t>
                  </m:r>
                  <m:r>
                    <m:t>,t</m:t>
                  </m:r>
                </m:sub>
              </m:sSub>
              <m:r>
                <m:t>+0.5</m:t>
              </m:r>
              <m:sSub>
                <m:e>
                  <m:r>
                    <m:t>N</m:t>
                  </m:r>
                </m:e>
                <m:sub>
                  <m:r>
                    <m:rPr>
                      <m:nor/>
                    </m:rPr>
                    <m:t>dispatch</m:t>
                  </m:r>
                  <m:r>
                    <m:t>,t</m:t>
                  </m:r>
                </m:sub>
              </m:sSub>
              <m:r>
                <m:t>-0.001</m:t>
              </m:r>
              <m:sSub>
                <m:e>
                  <m:r>
                    <m:rPr>
                      <m:nor/>
                    </m:rPr>
                    <m:t>mean_wait</m:t>
                  </m:r>
                </m:e>
                <m:sub>
                  <m:r>
                    <m:t>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For PPO training, taxi i receives an additional difference credit only when its dispatch is accepted: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Sup>
                <m:e>
                  <m:r>
                    <m:t>r</m:t>
                  </m:r>
                </m:e>
                <m:sub>
                  <m:r>
                    <m:t>i,t</m:t>
                  </m:r>
                </m:sub>
                <m:sup>
                  <m:r>
                    <m:rPr>
                      <m:nor/>
                    </m:rPr>
                    <m:t>train</m:t>
                  </m:r>
                </m:sup>
              </m:sSubSup>
              <m:r>
                <m:t>=</m:t>
              </m:r>
              <m:sSub>
                <m:e>
                  <m:r>
                    <m:t>r</m:t>
                  </m:r>
                </m:e>
                <m:sub>
                  <m:r>
                    <m:t>t</m:t>
                  </m:r>
                </m:sub>
              </m:sSub>
              <m:r>
                <m:t>+1.0</m:t>
              </m:r>
              <m:sSub>
                <m:e>
                  <m:r>
                    <m:t>I</m:t>
                  </m:r>
                </m:e>
                <m:sub>
                  <m:r>
                    <m:rPr>
                      <m:nor/>
                    </m:rPr>
                    <m:t>successful dispatch by i at 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Here, I(.) is one when the condition is true and zero otherwise. The shared reward is retained for reporting, while the agent-specific training reward enters advantage estimation and PPO updates. Neither reward contains a term for a faithful, stable, or human-readable attention map.</w:t>
      </w:r>
    </w:p>
    <w:p>
      <w:pPr>
        <w:widowControl/>
      </w:pPr>
      <w:r>
        <w:t>Figure 3.3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5" name="Picture 5"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8"/>
                    <a:stretch>
                      <a:fillRect/>
                    </a:stretch>
                  </pic:blipFill>
                  <pic:spPr>
                    <a:xfrm>
                      <a:off x="0" y="0"/>
                      <a:ext cx="5623560" cy="3247093"/>
                    </a:xfrm>
                    <a:prstGeom prst="rect"/>
                  </pic:spPr>
                </pic:pic>
              </a:graphicData>
            </a:graphic>
          </wp:inline>
        </w:drawing>
      </w:r>
    </w:p>
    <w:p>
      <w:pPr>
        <w:pStyle w:val="12"/>
        <w:keepLines/>
      </w:pPr>
      <w:bookmarkStart w:id="32" w:name="nav_figure_Figure_3_3"/>
      <w:r>
        <w:t>Figure 3.3. Shared training and validation-based selection pipeline with the model-specific budgets described above. Each frozen checkpoint receives 24 clean held-out episodes. The faithfulness audit then compares the frozen GAT and GAT-Outage checkpoints across clean and four outage conditions without reselection. This produces 720 faithfulness-sweep episodes per GAT model and 1,440 in total.</w:t>
      </w:r>
      <w:bookmarkEnd w:id="32"/>
    </w:p>
    <w:p>
      <w:pPr>
        <w:pStyle w:val="3"/>
        <w:keepNext/>
      </w:pPr>
      <w:bookmarkStart w:id="33" w:name="nav_heading_3_5_Telemetry_degradation"/>
      <w:r>
        <w:t>3.5 Telemetry degradation</w:t>
      </w:r>
      <w:bookmarkEnd w:id="33"/>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 Figure 3.4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6" name="Picture 6"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9"/>
                    <a:stretch>
                      <a:fillRect/>
                    </a:stretch>
                  </pic:blipFill>
                  <pic:spPr>
                    <a:xfrm>
                      <a:off x="0" y="0"/>
                      <a:ext cx="5623560" cy="3113151"/>
                    </a:xfrm>
                    <a:prstGeom prst="rect"/>
                  </pic:spPr>
                </pic:pic>
              </a:graphicData>
            </a:graphic>
          </wp:inline>
        </w:drawing>
      </w:r>
    </w:p>
    <w:p>
      <w:pPr>
        <w:pStyle w:val="12"/>
        <w:keepLines/>
      </w:pPr>
      <w:bookmarkStart w:id="34" w:name="nav_figure_Figure_3_4"/>
      <w:r>
        <w:t>Figure 3.4. Tunnel entry triggers an observation-layer outage. SUMO keeps moving the vehicle while the policy sees its last valid position; the clean twin reads current state but never acts. The paired observations keep the same node identities, node order, masks, and selected action.</w:t>
      </w:r>
      <w:bookmarkEnd w:id="34"/>
    </w:p>
    <w:p>
      <w:pPr>
        <w:pStyle w:val="3"/>
        <w:keepNext/>
      </w:pPr>
      <w:bookmarkStart w:id="35" w:name="nav_heading_3_6_Explanation_measures"/>
      <w:r>
        <w:t>3.6 Explanation measures</w:t>
      </w:r>
      <w:bookmarkEnd w:id="35"/>
    </w:p>
    <w:p>
      <w:pPr>
        <w:pStyle w:val="4"/>
        <w:keepNext/>
      </w:pPr>
      <w:bookmarkStart w:id="36" w:name="nav_heading_3_6_1_Decision_level_explana"/>
      <w:r>
        <w:t>3.6.1 Decision-level explanation faithfulness</w:t>
      </w:r>
      <w:bookmarkEnd w:id="36"/>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self node is always retained and is not a deletion candidate. The candidate set contains only valid peer-taxi and request nodes. The two gains are compared with five matched random subsets for each k in {1,2,3} and then averaged.</w:t>
      </w:r>
    </w:p>
    <w:p>
      <w:pPr>
        <w:widowControl/>
      </w:pPr>
      <w:r>
        <w:t>Let s(G,a) denote either p(G,a) or m(G,a). The action a is sampled from the policy observation being audited. For a degraded/clean pair, the action sampled on the degraded side is held fixed when both observations and every counterfactual subset are scored. For explanation subset R_k and each matched random subset indexed by b:</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r>
                    <m:rPr>
                      <m:nor/>
                    </m:rPr>
                    <m:t>Comp</m:t>
                  </m:r>
                  <m:r>
                    <m:t>(</m:t>
                  </m:r>
                  <m:sSub>
                    <m:e>
                      <m:r>
                        <m:t>R</m:t>
                      </m:r>
                    </m:e>
                    <m:sub>
                      <m:r>
                        <m:t>k</m:t>
                      </m:r>
                    </m:sub>
                  </m:sSub>
                  <m:r>
                    <m:t>,a)</m:t>
                  </m:r>
                  <m:r>
                    <m:t>=</m:t>
                  </m:r>
                  <m:r>
                    <m:rPr>
                      <m:nor/>
                    </m:rPr>
                    <m:t>s</m:t>
                  </m:r>
                  <m:r>
                    <m:t>(G,a)</m:t>
                  </m:r>
                  <m:r>
                    <m:t>-</m:t>
                  </m:r>
                  <m:r>
                    <m:rPr>
                      <m:nor/>
                    </m:rPr>
                    <m:t>s</m:t>
                  </m:r>
                  <m:r>
                    <m:t>(</m:t>
                  </m:r>
                  <m:r>
                    <m:t>G∖</m:t>
                  </m:r>
                  <m:sSub>
                    <m:e>
                      <m:r>
                        <m:t>R</m:t>
                      </m:r>
                    </m:e>
                    <m:sub>
                      <m:r>
                        <m:t>k</m:t>
                      </m:r>
                    </m:sub>
                  </m:sSub>
                  <m:r>
                    <m:t>,a)</m:t>
                  </m:r>
                </m:e>
                <m:e>
                  <m:r>
                    <m:rPr>
                      <m:nor/>
                    </m:rPr>
                    <m:t>Suff</m:t>
                  </m:r>
                  <m:r>
                    <m:t>(</m:t>
                  </m:r>
                  <m:sSub>
                    <m:e>
                      <m:r>
                        <m:t>R</m:t>
                      </m:r>
                    </m:e>
                    <m:sub>
                      <m:r>
                        <m:t>k</m:t>
                      </m:r>
                    </m:sub>
                  </m:sSub>
                  <m:r>
                    <m:t>,a)</m:t>
                  </m:r>
                  <m:r>
                    <m:t>=</m:t>
                  </m:r>
                  <m:r>
                    <m:rPr>
                      <m:nor/>
                    </m:rPr>
                    <m:t>s</m:t>
                  </m:r>
                  <m:r>
                    <m:t>(G,a)</m:t>
                  </m:r>
                  <m:r>
                    <m:t>-</m:t>
                  </m:r>
                  <m:r>
                    <m:rPr>
                      <m:nor/>
                    </m:rPr>
                    <m:t>s</m:t>
                  </m:r>
                  <m:r>
                    <m:t>(</m:t>
                  </m:r>
                  <m:r>
                    <m:t>G[</m:t>
                  </m:r>
                  <m:sSub>
                    <m:e>
                      <m:r>
                        <m:t>R</m:t>
                      </m:r>
                    </m:e>
                    <m:sub>
                      <m:r>
                        <m:t>k</m:t>
                      </m:r>
                    </m:sub>
                  </m:sSub>
                  <m:r>
                    <m:t>]</m:t>
                  </m:r>
                  <m:r>
                    <m:t>,a)</m:t>
                  </m:r>
                </m:e>
                <m:e>
                  <m:sSub>
                    <m:e>
                      <m:r>
                        <m:t>g</m:t>
                      </m:r>
                    </m:e>
                    <m:sub>
                      <m:r>
                        <m:rPr>
                          <m:nor/>
                        </m:rPr>
                        <m:t>comp</m:t>
                      </m:r>
                    </m:sub>
                  </m:sSub>
                  <m:r>
                    <m:t>(k;a)=</m:t>
                  </m:r>
                  <m:r>
                    <m:rPr>
                      <m:nor/>
                    </m:rPr>
                    <m:t>Comp</m:t>
                  </m:r>
                  <m:r>
                    <m:t>(</m:t>
                  </m:r>
                  <m:sSub>
                    <m:e>
                      <m:r>
                        <m:t>R</m:t>
                      </m:r>
                    </m:e>
                    <m:sub>
                      <m:r>
                        <m:t>k</m:t>
                      </m:r>
                    </m:sub>
                  </m:sSub>
                  <m:r>
                    <m:t>,a)</m:t>
                  </m:r>
                  <m:r>
                    <m:t>-</m:t>
                  </m:r>
                  <m:sSub>
                    <m:e>
                      <m:r>
                        <m:rPr>
                          <m:nor/>
                        </m:rPr>
                        <m:t>mean</m:t>
                      </m:r>
                    </m:e>
                    <m:sub>
                      <m:r>
                        <m:t>b</m:t>
                      </m:r>
                    </m:sub>
                  </m:sSub>
                  <m:r>
                    <m:rPr>
                      <m:nor/>
                    </m:rPr>
                    <m:t>Comp</m:t>
                  </m:r>
                  <m:r>
                    <m:t>(</m:t>
                  </m:r>
                  <m:sSubSup>
                    <m:e>
                      <m:r>
                        <m:t>B</m:t>
                      </m:r>
                    </m:e>
                    <m:sub>
                      <m:r>
                        <m:t>k</m:t>
                      </m:r>
                    </m:sub>
                    <m:sup>
                      <m:r>
                        <m:t>b</m:t>
                      </m:r>
                    </m:sup>
                  </m:sSubSup>
                  <m:r>
                    <m:t>,a)</m:t>
                  </m:r>
                </m:e>
                <m:e>
                  <m:sSub>
                    <m:e>
                      <m:r>
                        <m:t>g</m:t>
                      </m:r>
                    </m:e>
                    <m:sub>
                      <m:r>
                        <m:rPr>
                          <m:nor/>
                        </m:rPr>
                        <m:t>suff</m:t>
                      </m:r>
                    </m:sub>
                  </m:sSub>
                  <m:r>
                    <m:t>(k;a)=</m:t>
                  </m:r>
                  <m:sSub>
                    <m:e>
                      <m:r>
                        <m:rPr>
                          <m:nor/>
                        </m:rPr>
                        <m:t>mean</m:t>
                      </m:r>
                    </m:e>
                    <m:sub>
                      <m:r>
                        <m:t>b</m:t>
                      </m:r>
                    </m:sub>
                  </m:sSub>
                  <m:r>
                    <m:rPr>
                      <m:nor/>
                    </m:rPr>
                    <m:t>Suff</m:t>
                  </m:r>
                  <m:r>
                    <m:t>(</m:t>
                  </m:r>
                  <m:sSubSup>
                    <m:e>
                      <m:r>
                        <m:t>B</m:t>
                      </m:r>
                    </m:e>
                    <m:sub>
                      <m:r>
                        <m:t>k</m:t>
                      </m:r>
                    </m:sub>
                    <m:sup>
                      <m:r>
                        <m:t>b</m:t>
                      </m:r>
                    </m:sup>
                  </m:sSubSup>
                  <m:r>
                    <m:t>,a)</m:t>
                  </m:r>
                  <m:r>
                    <m:t>-</m:t>
                  </m:r>
                  <m:r>
                    <m:rPr>
                      <m:nor/>
                    </m:rPr>
                    <m:t>Suff</m:t>
                  </m:r>
                  <m:r>
                    <m:t>(</m:t>
                  </m:r>
                  <m:sSub>
                    <m:e>
                      <m:r>
                        <m:t>R</m:t>
                      </m:r>
                    </m:e>
                    <m:sub>
                      <m:r>
                        <m:t>k</m:t>
                      </m:r>
                    </m:sub>
                  </m:sSub>
                  <m:r>
                    <m:t>,a)</m:t>
                  </m:r>
                </m:e>
                <m:e>
                  <m:r>
                    <m:rPr>
                      <m:nor/>
                    </m:rPr>
                    <m:t>DEF</m:t>
                  </m:r>
                  <m:r>
                    <m:t>(a)</m:t>
                  </m:r>
                  <m:r>
                    <m:t>=</m:t>
                  </m:r>
                  <m:sSub>
                    <m:e>
                      <m:r>
                        <m:rPr>
                          <m:nor/>
                        </m:rPr>
                        <m:t>mean</m:t>
                      </m:r>
                    </m:e>
                    <m:sub>
                      <m:r>
                        <m:t>k</m:t>
                      </m:r>
                    </m:sub>
                  </m:sSub>
                  <m:f>
                    <m:fPr>
                      <m:type m:val="bar"/>
                    </m:fPr>
                    <m:num>
                      <m:r>
                        <m:t>1</m:t>
                      </m:r>
                    </m:num>
                    <m:den>
                      <m:r>
                        <m:t>2</m:t>
                      </m:r>
                    </m:den>
                  </m:f>
                  <m:r>
                    <m:t>[</m:t>
                  </m:r>
                  <m:sSub>
                    <m:e>
                      <m:r>
                        <m:t>g</m:t>
                      </m:r>
                    </m:e>
                    <m:sub>
                      <m:r>
                        <m:rPr>
                          <m:nor/>
                        </m:rPr>
                        <m:t>comp</m:t>
                      </m:r>
                    </m:sub>
                  </m:sSub>
                  <m:r>
                    <m:t>(k;a)+</m:t>
                  </m:r>
                  <m:sSub>
                    <m:e>
                      <m:r>
                        <m:t>g</m:t>
                      </m:r>
                    </m:e>
                    <m:sub>
                      <m:r>
                        <m:rPr>
                          <m:nor/>
                        </m:rPr>
                        <m:t>suff</m:t>
                      </m:r>
                    </m:sub>
                  </m:sSub>
                  <m:r>
                    <m:t>(k;a)]</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predeclared H1-H4 analysis family and the paired clean-twin comparison use probability DEF, following the declared analysis plan.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3.6 states the role of each measure.</w:t>
      </w:r>
    </w:p>
    <w:p>
      <w:pPr>
        <w:pStyle w:val="12"/>
        <w:keepNext/>
      </w:pPr>
      <w:bookmarkStart w:id="37" w:name="nav_table_Table_3_6"/>
      <w:r>
        <w:rPr>
          <w:b/>
        </w:rPr>
        <w:t>Table 3.6: Explanation measures and roles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28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2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probability scale</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selected-action margin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38" w:name="nav_heading_3_6_2_Stale_node_attention"/>
      <w:r>
        <w:t>3.6.2 Stale-node attention</w:t>
      </w:r>
      <w:bookmarkEnd w:id="38"/>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9" w:name="nav_heading_3_7_Construct_validity_audit"/>
      <w:r>
        <w:t>3.7 Construct-validity audit</w:t>
      </w:r>
      <w:bookmarkEnd w:id="39"/>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3.5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7" name="Picture 7"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40" w:name="nav_figure_Figure_3_5"/>
      <w:r>
        <w:t>Figure 3.5. Request-node occlusion can remove its action, while peer-taxi occlusion removes context only. Corrected DEF matches subset size and node types, protects the chosen request, and logs margin clamps.</w:t>
      </w:r>
      <w:bookmarkEnd w:id="40"/>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41" w:name="nav_heading_3_8_Evaluation_design"/>
      <w:r>
        <w:t>3.8 Evaluation design</w:t>
      </w:r>
      <w:bookmarkEnd w:id="41"/>
    </w:p>
    <w:p>
      <w:pPr>
        <w:pStyle w:val="4"/>
        <w:keepNext/>
      </w:pPr>
      <w:bookmarkStart w:id="42" w:name="nav_heading_3_8_1_Primary_evaluation"/>
      <w:r>
        <w:t>3.8.1 Primary evaluation</w:t>
      </w:r>
      <w:bookmarkEnd w:id="42"/>
    </w:p>
    <w:p>
      <w:pPr>
        <w:widowControl/>
      </w:pPr>
      <w:r>
        <w:t>MLP, GAT, and GAT-Outage are evaluated under clean telemetry with eight evaluation seeds (42-49) and three episodes per seed. One checkpoint is frozen for each model and training seed, giving 24 held-out episodes per checkpoint. The clean capability evaluation contains 216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3 × 3 × 8 × 3</m:t>
              </m:r>
              <m:r>
                <m:t>=216</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summarizes the complete evaluation structure. An episode evaluation is one complete rollout of one frozen checkpoint under one telemetry condition.</w:t>
      </w:r>
    </w:p>
    <w:p>
      <w:pPr>
        <w:pStyle w:val="12"/>
        <w:keepNext/>
      </w:pPr>
      <w:bookmarkStart w:id="43" w:name="nav_table_Table_3_7"/>
      <w:r>
        <w:rPr>
          <w:b/>
        </w:rPr>
        <w:t>Table 3.7: Held-out evaluation structure and episode counts</w:t>
      </w:r>
      <w:bookmarkEnd w:id="4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00"/>
        <w:gridCol w:w="1000"/>
        <w:gridCol w:w="1400"/>
        <w:gridCol w:w="1100"/>
        <w:gridCol w:w="1500"/>
        <w:gridCol w:w="1220"/>
      </w:tblGrid>
      <w:tr>
        <w:trPr>
          <w:cantSplit/>
          <w:tblHeader w:val="true"/>
        </w:trPr>
        <w:tc>
          <w:tcPr>
            <w:tcW w:type="dxa" w:w="2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216</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5 × 8 × 6</m:t>
              </m:r>
              <m:r>
                <m:t>=</m:t>
              </m:r>
              <m:r>
                <m:rPr>
                  <m:sty m:val="p"/>
                </m:rPr>
                <m:t>1,440</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This gives 720 episode evaluations per GAT model and 1,440 across both models.</w:t>
      </w:r>
    </w:p>
    <w:p>
      <w:pPr>
        <w:widowControl/>
      </w:pPr>
      <w:r>
        <w:t>Table 3.8 lists the five telemetry conditions and their roles.</w:t>
      </w:r>
    </w:p>
    <w:p>
      <w:pPr>
        <w:pStyle w:val="12"/>
        <w:keepNext/>
      </w:pPr>
      <w:bookmarkStart w:id="44" w:name="nav_table_Table_3_8"/>
      <w:r>
        <w:rPr>
          <w:b/>
        </w:rPr>
        <w:t>Table 3.8: Telemetry conditions used in held-out evaluation</w:t>
      </w:r>
      <w:bookmarkEnd w:id="4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500"/>
        <w:gridCol w:w="2000"/>
        <w:gridCol w:w="34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4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pair keeps the same trained checkpoint, agent, graph-node identities, node order, validity masks, and sampled action. Only telemetry-dependent feature values and freshness indicators differ. The degraded and clean evaluations also reuse the same matched-random subsets,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 checkpoint sweep is included in the analysis only if it passes these gates.</w:t>
      </w:r>
    </w:p>
    <w:p>
      <w:pPr>
        <w:pStyle w:val="4"/>
        <w:keepNext/>
      </w:pPr>
      <w:bookmarkStart w:id="45" w:name="nav_heading_3_8_2_Supporting_analyses"/>
      <w:r>
        <w:t>3.8.2 Supporting analyses</w:t>
      </w:r>
      <w:bookmarkEnd w:id="45"/>
    </w:p>
    <w:p>
      <w:pPr>
        <w:widowControl/>
      </w:pPr>
      <w:r>
        <w:t>Actions in the primary learned-policy evaluation are sampled from the policy distribution, matching training and preserving both no-op and dispatch decisions for audit. A separate descriptive diagnostic applies deterministic argmax to each of the six GAT checkpoints over three held-out episodes. It does not affect checkpoint selection or the primary capability comparison.</w:t>
      </w:r>
    </w:p>
    <w:p>
      <w:pPr>
        <w:widowControl/>
      </w:pPr>
      <w:r>
        <w:t>The action-type diagnostic separates scorable decisions into no-op and dispatch; cases with no available request are excluded because no-op is then forced. Records are averaged by episode within each action group. This shows whether combined results apply to both action types or mainly reflect the more common action.</w:t>
      </w:r>
    </w:p>
    <w:p>
      <w:pPr>
        <w:widowControl/>
      </w:pPr>
      <w:r>
        <w:t>The random-trigger sensitivity analysis evaluates the six frozen checkpoints under clean telemetry, a 30-second tunnel-triggered freeze, and a 30-second randomly triggered freeze. A validation-only calibration set the per-taxi, per-step trigger probability to 0.0023, giving 0.569% exposure for the reference checkpoint compared with 0.580% under the tunnel trigger. The probability is then fixed for every checkpoint. Realized exposure is reported because actions change taxi availability and trajectories. This post-study analysis tests transfer to another trigger mechanism; it is not a fully independent robustness test because the calibration used a reference checkpoint and was not preregistered.</w:t>
      </w:r>
    </w:p>
    <w:p>
      <w:pPr>
        <w:widowControl/>
      </w:pPr>
      <w:r>
        <w:t>The ranking controls use the same held-out demand and action-sampling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2 × 8 × 3</m:t>
              </m:r>
              <m:r>
                <m:t>=288</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(3.9)</w:t>
            </w:r>
          </w:p>
        </w:tc>
      </w:tr>
    </w:tbl>
    <w:p>
      <w:pPr>
        <w:widowControl/>
      </w:pPr>
      <w:r>
        <w:t>LOO, Gradient x Input, overlap, and aggregation diagnostics are sampled every eight decisions. Query-row sensitivity is evaluated for every selected-request action. Records are averaged within episodes before bootstrap intervals are calculated. Attention-aggregation sensitivity is reported by training seed for decisions with at least one visible stale vehicle node.</w:t>
      </w:r>
    </w:p>
    <w:p>
      <w:pPr>
        <w:pStyle w:val="3"/>
        <w:keepNext/>
      </w:pPr>
      <w:bookmarkStart w:id="46" w:name="nav_heading_3_9_Hypotheses_and_statistic"/>
      <w:r>
        <w:t>3.9 Hypotheses and statistical analysis</w:t>
      </w:r>
      <w:bookmarkEnd w:id="46"/>
    </w:p>
    <w:p>
      <w:pPr>
        <w:widowControl/>
      </w:pPr>
      <w:r>
        <w:t>Table 3.9 provides one map of the five hypotheses, their analyses, and their roles. H1, H3, and H4 were predeclared as primary tests; H2 was predeclared as exploratory; and H5 is a matched-seed descriptive comparison.</w:t>
      </w:r>
    </w:p>
    <w:p>
      <w:pPr>
        <w:pStyle w:val="12"/>
        <w:keepNext/>
      </w:pPr>
      <w:bookmarkStart w:id="47" w:name="nav_table_Table_3_9"/>
      <w:r>
        <w:rPr>
          <w:b/>
        </w:rPr>
        <w:t>Table 3.9: Hypothesis map and analysis roles</w:t>
      </w:r>
      <w:bookmarkEnd w:id="4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900"/>
        <w:gridCol w:w="3000"/>
        <w:gridCol w:w="20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Hypothesis</w:t>
            </w:r>
          </w:p>
        </w:tc>
        <w:tc>
          <w:tcPr>
            <w:tcW w:type="dxa" w:w="2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Question</w:t>
            </w:r>
          </w:p>
        </w:tc>
        <w:tc>
          <w:tcPr>
            <w:tcW w:type="dxa" w:w="3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Analysis</w:t>
            </w:r>
          </w:p>
        </w:tc>
        <w:tc>
          <w:tcPr>
            <w:tcW w:type="dxa" w:w="20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Role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H1</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DEF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probability-DEF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H2</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Faithfulness versus capability decline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paired clean-relative change</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exploratory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H3</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WAMSN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WAMSN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 check</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H4</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Within-episode WAMSN-DEF link</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Spearman correlation and sign-flip test</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H5</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Weaker relationships for GAT-Outage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matched-seed correlation comparison</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descriptive</w:t>
            </w:r>
          </w:p>
        </w:tc>
      </w:tr>
    </w:tbl>
    <w:p>
      <w:pPr>
        <w:widowControl/>
      </w:pPr>
      <w:r>
        <w:t>RQ1 uses clean DEF, type-matched random controls, LOO, and ranking controls. RQ2 uses the paired clean/degraded stale-attention comparison. RQ3 uses H1, H3, and H4 together with the paired and action-type diagnostics. RQ4 uses H5.</w:t>
      </w:r>
    </w:p>
    <w:p>
      <w:pPr>
        <w:pStyle w:val="4"/>
        <w:keepNext/>
      </w:pPr>
      <w:bookmarkStart w:id="48" w:name="nav_heading_3_9_1_Statistical_procedure"/>
      <w:r>
        <w:t>3.9.1 Statistical procedure</w:t>
      </w:r>
      <w:bookmarkEnd w:id="48"/>
    </w:p>
    <w:p>
      <w:pPr>
        <w:widowControl/>
      </w:pPr>
      <w:r>
        <w:t>H1 and H3 use episode-block permutation trend tests and cluster bootstrap confidence intervals. H2 uses paired cell-level sign flips relative to each evaluation seed's clean condition. H4 first calculates a Spearman correlation within each episode and then applies a sign-flip test. Holm adjustment is applied to H1-H4 within each trained policy; H2 remains exploratory.</w:t>
      </w:r>
    </w:p>
    <w:p>
      <w:pPr>
        <w:widowControl/>
      </w:pPr>
      <w:r>
        <w:t>All tests use 10,000 permutation draws, 2,000 bootstrap draws, statistical seed 0, and 95% percentile bootstrap intervals. Episodes, rather than individual decisions, are the resampling blocks. Each training seed represents one trained policy. Three seeds can show variation but cannot support a population-level claim, so cross-seed results are reported as ranges and counts of supporting seeds without a population p-value.</w:t>
      </w:r>
    </w:p>
    <w:p>
      <w:pPr>
        <w:widowControl/>
      </w:pPr>
      <w:r>
        <w:t>H5 is supported for a matched seed only when both the outage-duration/DEF and WAMSN/DEF correlations are closer to zero for GAT-Outage than for GAT. The result is the number of supporting pairs out of three; no cross-seed significance test is used.</w:t>
      </w:r>
    </w:p>
    <w:p>
      <w:pPr>
        <w:pStyle w:val="4"/>
        <w:keepNext/>
      </w:pPr>
      <w:bookmarkStart w:id="49" w:name="nav_heading_3_9_2_Interpretation_limits"/>
      <w:r>
        <w:t>3.9.2 Interpretation limits</w:t>
      </w:r>
      <w:bookmarkEnd w:id="49"/>
    </w:p>
    <w:p>
      <w:pPr>
        <w:widowControl/>
      </w:pPr>
      <w:r>
        <w:t>H2's original rate divides by clean DEF. Because clean DEF is close to zero, that ratio can exaggerate a small absolute change. The analysis therefore uses the support verdict and absolute trajectories as its main evidence.</w:t>
      </w:r>
    </w:p>
    <w:p>
      <w:pPr>
        <w:widowControl/>
      </w:pPr>
      <w:r>
        <w:t>H3 is a manipulation check, not evidence that AoI causes DEF to change. WAMSN contains normalized AoI by definition, so H3 only confirms that longer outages create more AoI-weighted stale exposure.</w:t>
      </w:r>
    </w:p>
    <w:p>
      <w:pPr>
        <w:widowControl/>
      </w:pPr>
      <w:r>
        <w:t>H5 compares two fitted configurations with different maximum training budgets and learning-rate decay horizons. It does not isolate the effect of degraded training observations. The exposure-conditioned paired follow-up is also kept separate from H1-H5: it subtracts clean-twin DEF from degraded DEF for the same decision and reports episode-block intervals, effect size, direction across trained policies, and uncertainty.</w:t>
      </w:r>
    </w:p>
    <w:p>
      <w:pPr>
        <w:pStyle w:val="3"/>
        <w:keepNext/>
      </w:pPr>
      <w:bookmarkStart w:id="50" w:name="nav_heading_3_10_Audit_decision_implemen"/>
      <w:r>
        <w:t>3.10 Audit decision implementation</w:t>
      </w:r>
      <w:bookmarkEnd w:id="50"/>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action-type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requires both action groups and at least 20 dispatch decisions at the model and individual-checkpoint levels, matching the minimum stale-exposure record floor used by the evaluation preflight. It confirms that dispatch evidence is present but does not by itself establish that a sparse dispatch group is representative.</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Their application to the present results is therefore demonstrative and is not an additional confirmatory test of H1-H5. For future candidate models, the rules and thresholds must be fixed before held-out evaluation.</w:t>
      </w:r>
    </w:p>
    <w:p>
      <w:pPr>
        <w:pStyle w:val="3"/>
        <w:keepNext/>
      </w:pPr>
      <w:bookmarkStart w:id="51" w:name="nav_heading_3_11_Reproducibility"/>
      <w:r>
        <w:t>3.11 Reproducibility</w:t>
      </w:r>
      <w:bookmarkEnd w:id="51"/>
    </w:p>
    <w:p>
      <w:pPr>
        <w:widowControl/>
      </w:pPr>
      <w:r>
        <w:t>The experiment runner records the configuration, commands, seeds, checkpoint hashes, source revision, and preflight reports in versioned run directories. Compact outputs include the summary, performance context, deterministic diagnostic, action-type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pStyle w:val="3"/>
        <w:keepNext/>
      </w:pPr>
      <w:bookmarkStart w:id="52" w:name="nav_heading_3_12_Ethics_and_data_governa"/>
      <w:r>
        <w:t>3.12 Ethics and data governance</w:t>
      </w:r>
      <w:bookmarkEnd w:id="52"/>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53" w:name="nav_heading_Chapter_4_Results"/>
      <w:r>
        <w:t>Chapter 4: Results</w:t>
      </w:r>
      <w:bookmarkEnd w:id="53"/>
    </w:p>
    <w:p>
      <w:pPr>
        <w:widowControl/>
      </w:pPr>
      <w:r>
        <w:t>The automated preflight audit passed 100 checks covering provenance and protocol requirements, and all six GAT checkpoint sweeps passed the inclusion gates defined in Section 3.8. Results are reported by training seed because decisions and episodes from one checkpoint do not constitute independent model replications. Unless stated otherwise, uncertainty is reported as a 95% confidence interval (CI).</w:t>
      </w:r>
    </w:p>
    <w:p>
      <w:pPr>
        <w:pStyle w:val="3"/>
        <w:keepNext/>
      </w:pPr>
      <w:bookmarkStart w:id="54" w:name="nav_heading_4_1_Policy_capability_and_tr"/>
      <w:r>
        <w:t>4.1 Policy capability and training stability</w:t>
      </w:r>
      <w:bookmarkEnd w:id="54"/>
    </w:p>
    <w:p>
      <w:pPr>
        <w:widowControl/>
      </w:pPr>
      <w:r>
        <w:t>Validation selected GAT checkpoint indices 39, 39, and 30 and GAT-Outage indices 49, 40, and 40 for seeds 42, 43, and 44. These are zero-based indices; for example, index 39 is the checkpoint saved after 40 training epochs. The selected index is reported separately for each trained policy.</w:t>
      </w:r>
    </w:p>
    <w:p>
      <w:pPr>
        <w:widowControl/>
      </w:pPr>
      <w:r>
        <w:t>Figure 4.1 shows the training and checkpoint-selection diagnostics.</w:t>
      </w:r>
    </w:p>
    <w:p>
      <w:pPr>
        <w:keepNext/>
        <w:keepLines/>
        <w:spacing w:before="120" w:after="40"/>
        <w:jc w:val="center"/>
      </w:pPr>
      <w:r>
        <w:drawing>
          <wp:inline xmlns:a="http://schemas.openxmlformats.org/drawingml/2006/main" xmlns:pic="http://schemas.openxmlformats.org/drawingml/2006/picture">
            <wp:extent cx="4663440" cy="4820122"/>
            <wp:docPr id="8" name="Picture 8" descr="GAT and GAT-Outage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50"/>
                    <a:stretch>
                      <a:fillRect/>
                    </a:stretch>
                  </pic:blipFill>
                  <pic:spPr>
                    <a:xfrm>
                      <a:off x="0" y="0"/>
                      <a:ext cx="4663440" cy="4820122"/>
                    </a:xfrm>
                    <a:prstGeom prst="rect"/>
                  </pic:spPr>
                </pic:pic>
              </a:graphicData>
            </a:graphic>
          </wp:inline>
        </w:drawing>
      </w:r>
    </w:p>
    <w:p>
      <w:pPr>
        <w:pStyle w:val="12"/>
        <w:keepLines/>
      </w:pPr>
      <w:bookmarkStart w:id="55" w:name="nav_figure_Figure_4_1"/>
      <w:r>
        <w:t>Figure 4.1. Training diagnostics for GAT (upper panels) and GAT-Outage (lower panels). Curves use a ten-epoch moving mean; stars mark validation-selected checkpoints. Entropy remains above the collapse threshold, and PPO clipping is limited.</w:t>
      </w:r>
      <w:bookmarkEnd w:id="55"/>
    </w:p>
    <w:p>
      <w:pPr>
        <w:widowControl/>
      </w:pPr>
      <w:r>
        <w:t>All nine training runs pass the declared stability gates. The following values describe the final ten training epochs, not the held-out evaluation in Table 4.1. For GAT, the final ten-epoch mean pickups are 13.3, 9.0, and 9.9, and final validation retention is 100%, 100%, and 92.6%. The corresponding GAT-Outage values are 12.4, 14.1, and 13.8 pickups, with validation retention of 100%, 93.9%, and 96.5%. Training metrics still fluctuate across epochs, but no selected checkpoint is a zero-pickup policy under sampled-action validation. Deterministic argmax results are reported separately below.</w:t>
      </w:r>
    </w:p>
    <w:p>
      <w:pPr>
        <w:widowControl/>
      </w:pPr>
      <w:r>
        <w:t>Table 4.1 places the selected policies above two lower bounds evaluated on the same held-out demand. Performance is reported only to establish that the audited policies perform above random and greedy lower bounds.</w:t>
      </w:r>
    </w:p>
    <w:p>
      <w:pPr>
        <w:pStyle w:val="12"/>
        <w:keepNext/>
      </w:pPr>
      <w:bookmarkStart w:id="56" w:name="nav_table_Table_4_1"/>
      <w:r>
        <w:rPr>
          <w:b/>
        </w:rPr>
        <w:t>Table 4.1: Policy capability on held-out demand</w:t>
      </w:r>
      <w:bookmarkEnd w:id="5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when actions are sampled from its probability distribution. These results confirm capability for the sampled policy distributions only; the role of graph attention and the usability of the argmax policy remain untested.</w:t>
      </w:r>
    </w:p>
    <w:p>
      <w:pPr>
        <w:widowControl/>
      </w:pPr>
      <w:r>
        <w:t>The audit requires each checkpoint's sampled policy distribution to exceed the declared lower bounds, not GAT to outperform MLP. That condition is met. MLP has the highest cross-seed mean in this implementation, although the replicate ranges overlap. The experiment finds no task-performance advantage for graph attention. This limits how broadly the audit can be generalized but remains separate from whether the exposed weights faithfully explain GAT decisions.</w:t>
      </w:r>
    </w:p>
    <w:p>
      <w:pPr>
        <w:widowControl/>
      </w:pPr>
      <w:r>
        <w:t>Figure 4.2 shows the held-out pickup count for each selected policy.</w:t>
      </w:r>
    </w:p>
    <w:p>
      <w:pPr>
        <w:keepNext/>
        <w:keepLines/>
        <w:spacing w:before="120" w:after="40"/>
        <w:jc w:val="center"/>
      </w:pPr>
      <w:r>
        <w:drawing>
          <wp:inline xmlns:a="http://schemas.openxmlformats.org/drawingml/2006/main" xmlns:pic="http://schemas.openxmlformats.org/drawingml/2006/picture">
            <wp:extent cx="5623560" cy="2925114"/>
            <wp:docPr id="9" name="Picture 9" descr="Clean-telemetry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51"/>
                    <a:stretch>
                      <a:fillRect/>
                    </a:stretch>
                  </pic:blipFill>
                  <pic:spPr>
                    <a:xfrm>
                      <a:off x="0" y="0"/>
                      <a:ext cx="5623560" cy="2925114"/>
                    </a:xfrm>
                    <a:prstGeom prst="rect"/>
                  </pic:spPr>
                </pic:pic>
              </a:graphicData>
            </a:graphic>
          </wp:inline>
        </w:drawing>
      </w:r>
    </w:p>
    <w:p>
      <w:pPr>
        <w:pStyle w:val="12"/>
        <w:keepLines/>
      </w:pPr>
      <w:bookmarkStart w:id="57" w:name="nav_figure_Figure_4_2"/>
      <w:r>
        <w:t>Figure 4.2. Each point is one selected policy evaluated over 24 held-out episodes. Horizontal lines show the cross-seed mean.</w:t>
      </w:r>
      <w:bookmarkEnd w:id="57"/>
    </w:p>
    <w:p>
      <w:pPr>
        <w:widowControl/>
      </w:pPr>
      <w:r>
        <w:t>The deterministic diagnostic changes the capability interpretation. All six selected graph-attention checkpoints choose no-op throughout three held-out episodes, giving 0 pickups in 18 of 18 checkpoint-episodes. Their common mean reward is -46.58 and final pending-request wait is 905.9 seconds. The sampled-action results show only that the policy distributions assign enough probability to dispatch actions to produce pickups when sampled; they do not establish a stable argmax dispatcher.</w:t>
      </w:r>
    </w:p>
    <w:p>
      <w:pPr>
        <w:pStyle w:val="3"/>
        <w:keepNext/>
      </w:pPr>
      <w:bookmarkStart w:id="58" w:name="nav_heading_4_2_Construct_validity_audit"/>
      <w:r>
        <w:t>4.2 Construct-validity audit</w:t>
      </w:r>
      <w:bookmarkEnd w:id="58"/>
    </w:p>
    <w:p>
      <w:pPr>
        <w:widowControl/>
      </w:pPr>
      <w:r>
        <w:t>Removing a request node can remove an available action, while removing a peer taxi only hides information. A uniform random occlusion therefore compares different types of change. Table 4.2 quantifies the resulting control-baseline artifact.</w:t>
      </w:r>
    </w:p>
    <w:p>
      <w:pPr>
        <w:pStyle w:val="12"/>
        <w:keepNext/>
      </w:pPr>
      <w:bookmarkStart w:id="59" w:name="nav_table_Table_4_2"/>
      <w:r>
        <w:rPr>
          <w:b/>
        </w:rPr>
        <w:t>Table 4.2: Construct-validity audit of random controls</w:t>
      </w:r>
      <w:bookmarkEnd w:id="5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artifact. This 1,199-decision audit supports the measurement design rather than answering the primary research question. The reported protocol uses type matching, protects the chosen request in the margin variant, and logs action-margin clamps.</w:t>
      </w:r>
    </w:p>
    <w:p>
      <w:pPr>
        <w:pStyle w:val="3"/>
        <w:keepNext/>
      </w:pPr>
      <w:bookmarkStart w:id="60" w:name="nav_heading_4_3_Evaluator_sensitivity_an"/>
      <w:r>
        <w:t>4.3 Evaluator sensitivity and ranking controls</w:t>
      </w:r>
      <w:bookmarkEnd w:id="60"/>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widowControl/>
      </w:pPr>
      <w:r>
        <w:t>The two conditions are stored as separate evaluations and have different decision counts. Across the six checkpoints, the largest absolute 60-second minus clean change is 0.000071 for raw attention, 0.000254 for Gradient x Input, and 0.000306 for LOO. Figure 4.3 shows the clean values and the condition difference separately instead of presenting two visually indistinguishable rows.</w:t>
      </w:r>
    </w:p>
    <w:p>
      <w:pPr>
        <w:pStyle w:val="12"/>
        <w:keepNext/>
      </w:pPr>
      <w:bookmarkStart w:id="61" w:name="nav_table_Table_4_3"/>
      <w:r>
        <w:rPr>
          <w:b/>
        </w:rPr>
        <w:t>Table 4.3: Clean-telemetry faithfulness controls by training seed</w:t>
      </w:r>
      <w:bookmarkEnd w:id="6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2608"/>
        <w:gridCol w:w="1521"/>
        <w:gridCol w:w="1521"/>
        <w:gridCol w:w="1415"/>
      </w:tblGrid>
      <w:tr>
        <w:trPr>
          <w:cantSplit/>
          <w:tblHeader w:val="true"/>
        </w:trPr>
        <w:tc>
          <w:tcPr>
            <w:tcW w:type="dxa" w:w="108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260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Raw-attention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margin-DEF</w:t>
            </w:r>
          </w:p>
        </w:tc>
        <w:tc>
          <w:tcPr>
            <w:tcW w:type="dxa" w:w="141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+0.404</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+0.426</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-0.0010</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The LOO-ranked control is positive and larger than raw attention for all six selected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shows some agreement with decision-relevant LOO ordering, but the strength of that agreement remains checkpoint-dependent.</w:t>
      </w:r>
    </w:p>
    <w:p>
      <w:pPr>
        <w:keepNext/>
        <w:keepLines/>
        <w:spacing w:before="120" w:after="40"/>
        <w:jc w:val="center"/>
      </w:pPr>
      <w:r>
        <w:drawing>
          <wp:inline xmlns:a="http://schemas.openxmlformats.org/drawingml/2006/main" xmlns:pic="http://schemas.openxmlformats.org/drawingml/2006/picture">
            <wp:extent cx="5623560" cy="4033091"/>
            <wp:docPr id="10" name="Picture 10"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2"/>
                    <a:stretch>
                      <a:fillRect/>
                    </a:stretch>
                  </pic:blipFill>
                  <pic:spPr>
                    <a:xfrm>
                      <a:off x="0" y="0"/>
                      <a:ext cx="5623560" cy="4033091"/>
                    </a:xfrm>
                    <a:prstGeom prst="rect"/>
                  </pic:spPr>
                </pic:pic>
              </a:graphicData>
            </a:graphic>
          </wp:inline>
        </w:drawing>
      </w:r>
    </w:p>
    <w:p>
      <w:pPr>
        <w:pStyle w:val="12"/>
        <w:keepLines/>
      </w:pPr>
      <w:bookmarkStart w:id="62" w:name="nav_figure_Figure_4_3"/>
      <w:r>
        <w:t>Figure 4.3. Top: clean logit-margin DEF. Bottom: 60-second minus clean DEF, multiplied by 10,000, from separate evaluations. Lines join methods for each checkpoint; non-zero changes confirm distinct records.</w:t>
      </w:r>
      <w:bookmarkEnd w:id="62"/>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widowControl/>
      </w:pPr>
      <w:r>
        <w:t>Figure 4.4 shows the sensitivity to the attention reduction rule.</w:t>
      </w:r>
    </w:p>
    <w:p>
      <w:pPr>
        <w:keepNext/>
        <w:keepLines/>
        <w:spacing w:before="120" w:after="40"/>
        <w:jc w:val="center"/>
      </w:pPr>
      <w:r>
        <w:drawing>
          <wp:inline xmlns:a="http://schemas.openxmlformats.org/drawingml/2006/main" xmlns:pic="http://schemas.openxmlformats.org/drawingml/2006/picture">
            <wp:extent cx="5623560" cy="3797729"/>
            <wp:docPr id="11" name="Picture 11"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3"/>
                    <a:stretch>
                      <a:fillRect/>
                    </a:stretch>
                  </pic:blipFill>
                  <pic:spPr>
                    <a:xfrm>
                      <a:off x="0" y="0"/>
                      <a:ext cx="5623560" cy="3797729"/>
                    </a:xfrm>
                    <a:prstGeom prst="rect"/>
                  </pic:spPr>
                </pic:pic>
              </a:graphicData>
            </a:graphic>
          </wp:inline>
        </w:drawing>
      </w:r>
    </w:p>
    <w:p>
      <w:pPr>
        <w:pStyle w:val="12"/>
        <w:keepLines/>
      </w:pPr>
      <w:bookmarkStart w:id="63" w:name="nav_figure_Figure_4_4"/>
      <w:r>
        <w:t>Figure 4.4. Stale-attention shift multiplied by 1,000. Selecting a layer, head, or rollout rule after seeing the result could reverse the conclusion.</w:t>
      </w:r>
      <w:bookmarkEnd w:id="63"/>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 The largest absolute 60-second minus clean query-row change is 0.000264, so the two conditions again remain close without being duplicates.</w:t>
      </w:r>
    </w:p>
    <w:p>
      <w:pPr>
        <w:widowControl/>
      </w:pPr>
      <w:r>
        <w:t>Figure 4.5 compares the declared self row with the selected request row.</w:t>
      </w:r>
    </w:p>
    <w:p>
      <w:pPr>
        <w:keepNext/>
        <w:keepLines/>
        <w:spacing w:before="120" w:after="40"/>
        <w:jc w:val="center"/>
      </w:pPr>
      <w:r>
        <w:drawing>
          <wp:inline xmlns:a="http://schemas.openxmlformats.org/drawingml/2006/main" xmlns:pic="http://schemas.openxmlformats.org/drawingml/2006/picture">
            <wp:extent cx="5623560" cy="3899355"/>
            <wp:docPr id="12" name="Picture 12"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4"/>
                    <a:stretch>
                      <a:fillRect/>
                    </a:stretch>
                  </pic:blipFill>
                  <pic:spPr>
                    <a:xfrm>
                      <a:off x="0" y="0"/>
                      <a:ext cx="5623560" cy="3899355"/>
                    </a:xfrm>
                    <a:prstGeom prst="rect"/>
                  </pic:spPr>
                </pic:pic>
              </a:graphicData>
            </a:graphic>
          </wp:inline>
        </w:drawing>
      </w:r>
    </w:p>
    <w:p>
      <w:pPr>
        <w:pStyle w:val="12"/>
        <w:keepLines/>
      </w:pPr>
      <w:bookmarkStart w:id="64" w:name="nav_figure_Figure_4_5"/>
      <w:r>
        <w:t>Figure 4.5. Top: clean request-action DEF from the declared self row and the selected request row. Bottom: each query row's independently evaluated 60-second result minus clean, multiplied by 10,000. The selected request row improves the seed-43 clean results but does not provide a consistent improvement across checkpoints or conditions.</w:t>
      </w:r>
      <w:bookmarkEnd w:id="64"/>
    </w:p>
    <w:p>
      <w:pPr>
        <w:pStyle w:val="3"/>
        <w:keepNext/>
      </w:pPr>
      <w:bookmarkStart w:id="65" w:name="nav_heading_4_4_Small_graph_resolution"/>
      <w:r>
        <w:t>4.4 Small-graph resolution</w:t>
      </w:r>
      <w:bookmarkEnd w:id="65"/>
    </w:p>
    <w:p>
      <w:pPr>
        <w:widowControl/>
      </w:pPr>
      <w:r>
        <w:t>The scored graphs usually contain the maximum number of visible nodes, as summarized in Table 4.4.</w:t>
      </w:r>
    </w:p>
    <w:p>
      <w:pPr>
        <w:pStyle w:val="12"/>
        <w:keepNext/>
      </w:pPr>
      <w:bookmarkStart w:id="66" w:name="nav_table_Table_4_4"/>
      <w:r>
        <w:rPr>
          <w:b/>
        </w:rPr>
        <w:t>Table 4.4: Valid node-count distribution in scored graphs</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 This pattern suggests that the ranking agreement has more contrast at k=1; it does not establish that LOO is ground truth or that the top-ranked attention node is a causal explanation.</w:t>
      </w:r>
    </w:p>
    <w:p>
      <w:pPr>
        <w:widowControl/>
      </w:pPr>
      <w:r>
        <w:t>Figure 4.6 shows how the expected overlap grows with k.</w:t>
      </w:r>
    </w:p>
    <w:p>
      <w:pPr>
        <w:keepNext/>
        <w:keepLines/>
        <w:spacing w:before="120" w:after="40"/>
        <w:jc w:val="center"/>
      </w:pPr>
      <w:r>
        <w:drawing>
          <wp:inline xmlns:a="http://schemas.openxmlformats.org/drawingml/2006/main" xmlns:pic="http://schemas.openxmlformats.org/drawingml/2006/picture">
            <wp:extent cx="5623560" cy="2561961"/>
            <wp:docPr id="13" name="Picture 13"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5"/>
                    <a:stretch>
                      <a:fillRect/>
                    </a:stretch>
                  </pic:blipFill>
                  <pic:spPr>
                    <a:xfrm>
                      <a:off x="0" y="0"/>
                      <a:ext cx="5623560" cy="2561961"/>
                    </a:xfrm>
                    <a:prstGeom prst="rect"/>
                  </pic:spPr>
                </pic:pic>
              </a:graphicData>
            </a:graphic>
          </wp:inline>
        </w:drawing>
      </w:r>
    </w:p>
    <w:p>
      <w:pPr>
        <w:pStyle w:val="12"/>
        <w:keepLines/>
      </w:pPr>
      <w:bookmarkStart w:id="67" w:name="nav_figure_Figure_4_6"/>
      <w:r>
        <w:t>Figure 4.6. Large expected overlap between the explanation and its matched random set reduces the contrast available to DEF, especially at k=3.</w:t>
      </w:r>
      <w:bookmarkEnd w:id="67"/>
    </w:p>
    <w:p>
      <w:pPr>
        <w:pStyle w:val="3"/>
        <w:keepNext/>
      </w:pPr>
      <w:bookmarkStart w:id="68" w:name="nav_heading_4_5_Telemetry_manipulation_a"/>
      <w:r>
        <w:t>4.5 Telemetry manipulation and stale exposure</w:t>
      </w:r>
      <w:bookmarkEnd w:id="68"/>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selected checkpoints. Because WAMSN contains normalized AoI, this verifies increasing stale exposure; it does not show that AoI causes lower faithfulness. Figure 4.7 displays the duration sweep.</w:t>
      </w:r>
    </w:p>
    <w:p>
      <w:pPr>
        <w:keepNext/>
        <w:keepLines/>
        <w:spacing w:before="120" w:after="40"/>
        <w:jc w:val="center"/>
      </w:pPr>
      <w:r>
        <w:drawing>
          <wp:inline xmlns:a="http://schemas.openxmlformats.org/drawingml/2006/main" xmlns:pic="http://schemas.openxmlformats.org/drawingml/2006/picture">
            <wp:extent cx="5623560" cy="5471659"/>
            <wp:docPr id="14" name="Picture 14" descr="WAMSN, probability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6"/>
                    <a:stretch>
                      <a:fillRect/>
                    </a:stretch>
                  </pic:blipFill>
                  <pic:spPr>
                    <a:xfrm>
                      <a:off x="0" y="0"/>
                      <a:ext cx="5623560" cy="5471659"/>
                    </a:xfrm>
                    <a:prstGeom prst="rect"/>
                  </pic:spPr>
                </pic:pic>
              </a:graphicData>
            </a:graphic>
          </wp:inline>
        </w:drawing>
      </w:r>
    </w:p>
    <w:p>
      <w:pPr>
        <w:pStyle w:val="12"/>
        <w:keepLines/>
      </w:pPr>
      <w:bookmarkStart w:id="69" w:name="nav_figure_Figure_4_7"/>
      <w:r>
        <w:t>Figure 4.7. Longer observation outages increase WAMSN for every policy. DEF changes are much smaller; pickups are reported only as context, not as the main research outcome.</w:t>
      </w:r>
      <w:bookmarkEnd w:id="69"/>
    </w:p>
    <w:p>
      <w:pPr>
        <w:pStyle w:val="3"/>
        <w:keepNext/>
      </w:pPr>
      <w:bookmarkStart w:id="70" w:name="nav_heading_4_6_Exposure_conditioned_pai"/>
      <w:r>
        <w:t>4.6 Exposure-conditioned paired audit</w:t>
      </w:r>
      <w:bookmarkEnd w:id="70"/>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 Table 4.5 reports the paired estimates.</w:t>
      </w:r>
    </w:p>
    <w:p>
      <w:pPr>
        <w:pStyle w:val="12"/>
        <w:keepNext/>
      </w:pPr>
      <w:bookmarkStart w:id="71" w:name="nav_table_Table_4_5"/>
      <w:r>
        <w:rPr>
          <w:b/>
        </w:rPr>
        <w:t>Table 4.5: Exposure-conditioned paired attention and DEF shifts</w:t>
      </w:r>
      <w:bookmarkEnd w:id="7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49"/>
        <w:gridCol w:w="759"/>
        <w:gridCol w:w="3038"/>
        <w:gridCol w:w="4274"/>
      </w:tblGrid>
      <w:tr>
        <w:trPr>
          <w:cantSplit/>
          <w:tblHeader w:val="true"/>
        </w:trPr>
        <w:tc>
          <w:tcPr>
            <w:tcW w:type="dxa" w:w="94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75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303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x 1,000 [95% CI]</w:t>
            </w:r>
          </w:p>
        </w:tc>
        <w:tc>
          <w:tcPr>
            <w:tcW w:type="dxa" w:w="4274"/>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probability-DEF shift x 10,000 [95% CI]</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+4.074 [+3.9, +4.2]</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-0.041 [-0.060, -0.022]</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+0.208 [+0.2, +0.3]</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-0.839 [-1.892, +0.143]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-3.483 [-3.6, -3.4]</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+0.092 [+0.068, +0.116]</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+3.975 [+3.8, +4.1]</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-0.253 [-0.323, -0.193]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+0.959 [+0.9, +1.0]</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-0.114 [-0.343, +0.061]</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-3.038 [-3.1, -2.9]</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+0.172 [+0.135, +0.212]</w:t>
            </w:r>
          </w:p>
        </w:tc>
      </w:tr>
    </w:tbl>
    <w:p>
      <w:pPr>
        <w:widowControl/>
      </w:pPr>
      <w:r>
        <w:t>Figure 4.8 shows the paired attention and DEF shifts by checkpoint.</w:t>
      </w:r>
    </w:p>
    <w:p>
      <w:pPr>
        <w:keepNext/>
        <w:keepLines/>
        <w:spacing w:before="120" w:after="40"/>
        <w:jc w:val="center"/>
      </w:pPr>
      <w:r>
        <w:drawing>
          <wp:inline xmlns:a="http://schemas.openxmlformats.org/drawingml/2006/main" xmlns:pic="http://schemas.openxmlformats.org/drawingml/2006/picture">
            <wp:extent cx="5623560" cy="2680961"/>
            <wp:docPr id="15" name="Picture 15"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7"/>
                    <a:stretch>
                      <a:fillRect/>
                    </a:stretch>
                  </pic:blipFill>
                  <pic:spPr>
                    <a:xfrm>
                      <a:off x="0" y="0"/>
                      <a:ext cx="5623560" cy="2680961"/>
                    </a:xfrm>
                    <a:prstGeom prst="rect"/>
                  </pic:spPr>
                </pic:pic>
              </a:graphicData>
            </a:graphic>
          </wp:inline>
        </w:drawing>
      </w:r>
    </w:p>
    <w:p>
      <w:pPr>
        <w:pStyle w:val="12"/>
        <w:keepLines/>
      </w:pPr>
      <w:bookmarkStart w:id="72" w:name="nav_figure_Figure_4_8"/>
      <w:r>
        <w:t>Figure 4.8. Checkpoints trained with seeds 42 and 43 move attention toward stale nodes and have a negative mean DEF shift. Checkpoints trained with seed 44 show the opposite directions. Error bars are 95% episode-block bootstrap intervals.</w:t>
      </w:r>
      <w:bookmarkEnd w:id="72"/>
    </w:p>
    <w:p>
      <w:pPr>
        <w:widowControl/>
      </w:pPr>
      <w:r>
        <w:t>The same checkpoint pattern appears in both training regimes: four of six selected checkpoints have a positive attention shift and four have a negative mean DEF shift. Only the DEF decrease for checkpoints trained with seed 42 is separated from zero in both models; both seed-43 intervals include zero, while both checkpoints trained with seed 44 show a small increase. The effects are numerically small and vary in direction. This is not evidence for a universal claim that telemetry degradation moves attention toward stale nodes or always lowers faithfulness. The largest absolute paired probability-DEF shift is 0.0000839, equivalent to 0.00839 probability percentage points. Relative percentages are not reported because clean DEF is close to zero and would make such ratios unstable.</w:t>
      </w:r>
    </w:p>
    <w:p>
      <w:pPr>
        <w:pStyle w:val="3"/>
        <w:keepNext/>
      </w:pPr>
      <w:bookmarkStart w:id="73" w:name="nav_heading_4_7_Analysis_by_action_type"/>
      <w:r>
        <w:t>4.7 Analysis by action type</w:t>
      </w:r>
      <w:bookmarkEnd w:id="73"/>
    </w:p>
    <w:p>
      <w:pPr>
        <w:widowControl/>
      </w:pPr>
      <w:r>
        <w:t>The combined faithfulness audit is dominated by chosen no-op actions. Across all six checkpoints, 56,550 records contain at least one valid request. Of these, 52,585 (93.0%) select no-op and 3,965 (7.0%) dispatch a request. Decisions with no valid request are excluded from these percentages. Table 4.6 reports the action composition and dispatch-only diagnostic.</w:t>
      </w:r>
    </w:p>
    <w:p>
      <w:pPr>
        <w:pStyle w:val="12"/>
        <w:keepNext/>
      </w:pPr>
      <w:bookmarkStart w:id="74" w:name="nav_table_Table_4_6"/>
      <w:r>
        <w:rPr>
          <w:b/>
        </w:rPr>
        <w:t>Table 4.6: Action composition and dispatch-only DEF</w:t>
      </w:r>
      <w:bookmarkEnd w:id="7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950"/>
        <w:gridCol w:w="950"/>
        <w:gridCol w:w="1850"/>
        <w:gridCol w:w="357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9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No-op (%)</w:t>
            </w:r>
          </w:p>
        </w:tc>
        <w:tc>
          <w:tcPr>
            <w:tcW w:type="dxa" w:w="9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Dispatch (%)</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dispatch-action probability</w:t>
            </w:r>
          </w:p>
        </w:tc>
        <w:tc>
          <w:tcPr>
            <w:tcW w:type="dxa" w:w="35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Paired DEF shift x 10,000 [95% CI]</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96.6</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0.0085</w:t>
            </w:r>
          </w:p>
        </w:tc>
        <w:tc>
          <w:tcPr>
            <w:tcW w:type="dxa" w:w="357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 [0.000,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88.4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0.0368</w:t>
            </w:r>
          </w:p>
        </w:tc>
        <w:tc>
          <w:tcPr>
            <w:tcW w:type="dxa" w:w="357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-20.358 [-32.488, -8.371]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0.0211</w:t>
            </w:r>
          </w:p>
        </w:tc>
        <w:tc>
          <w:tcPr>
            <w:tcW w:type="dxa" w:w="357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-0.011 [-0.029,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91.4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8.6</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0.0228</w:t>
            </w:r>
          </w:p>
        </w:tc>
        <w:tc>
          <w:tcPr>
            <w:tcW w:type="dxa" w:w="357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[+0.047, +0.131]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94.6</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5.4</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0.0127</w:t>
            </w:r>
          </w:p>
        </w:tc>
        <w:tc>
          <w:tcPr>
            <w:tcW w:type="dxa" w:w="357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-4.403 [-8.368, -1.285]</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92.8</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0.0181</w:t>
            </w:r>
          </w:p>
        </w:tc>
        <w:tc>
          <w:tcPr>
            <w:tcW w:type="dxa" w:w="357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-0.044 [-0.092, +0.004]</w:t>
            </w:r>
          </w:p>
        </w:tc>
      </w:tr>
    </w:tbl>
    <w:p>
      <w:pPr>
        <w:widowControl/>
      </w:pPr>
      <w:r>
        <w:t>Figure 4.9 visualizes the imbalance and the paired dispatch estimates.</w:t>
      </w:r>
    </w:p>
    <w:p>
      <w:pPr>
        <w:keepNext/>
        <w:keepLines/>
        <w:spacing w:before="120" w:after="40"/>
        <w:jc w:val="center"/>
      </w:pPr>
      <w:r>
        <w:drawing>
          <wp:inline xmlns:a="http://schemas.openxmlformats.org/drawingml/2006/main" xmlns:pic="http://schemas.openxmlformats.org/drawingml/2006/picture">
            <wp:extent cx="5623560" cy="3985512"/>
            <wp:docPr id="16" name="Picture 16" descr="Faithfulness analysis by action type"/>
            <wp:cNvGraphicFramePr>
              <a:graphicFrameLocks noChangeAspect="1"/>
            </wp:cNvGraphicFramePr>
            <a:graphic>
              <a:graphicData uri="http://schemas.openxmlformats.org/drawingml/2006/picture">
                <pic:pic>
                  <pic:nvPicPr>
                    <pic:cNvPr id="0" name="v9_action_stratified_faithfulness.png"/>
                    <pic:cNvPicPr/>
                  </pic:nvPicPr>
                  <pic:blipFill>
                    <a:blip r:embed="rId58"/>
                    <a:stretch>
                      <a:fillRect/>
                    </a:stretch>
                  </pic:blipFill>
                  <pic:spPr>
                    <a:xfrm>
                      <a:off x="0" y="0"/>
                      <a:ext cx="5623560" cy="3985512"/>
                    </a:xfrm>
                    <a:prstGeom prst="rect"/>
                  </pic:spPr>
                </pic:pic>
              </a:graphicData>
            </a:graphic>
          </wp:inline>
        </w:drawing>
      </w:r>
    </w:p>
    <w:p>
      <w:pPr>
        <w:pStyle w:val="12"/>
        <w:keepLines/>
      </w:pPr>
      <w:bookmarkStart w:id="75" w:name="nav_figure_Figure_4_9"/>
      <w:r>
        <w:t>Figure 4.9. (a) Absolute no-op and dispatch counts; labels give the dispatch share. (b) Mean probability assigned to the sampled action on a logarithmic scale. (c) Paired degraded-minus-clean probability DEF on the full scale. (d) Enlarged view around zero; arrows mark intervals that extend beyond the panel. Error bars are 95% episode-block bootstrap intervals.</w:t>
      </w:r>
      <w:bookmarkEnd w:id="75"/>
    </w:p>
    <w:p>
      <w:pPr>
        <w:widowControl/>
      </w:pPr>
      <w:r>
        <w:t>The no-op group closely follows the combined result because it accounts for most records. The same H1 trend does not appear in the dispatch group for any checkpoint (p = 0.44-1.00), and the dispatch results show no consistent H4 evidence. The paired dispatch DEF shift is negative in four checkpoints, positive in one, and exactly zero in one. In four of six checkpoints its direction differs from the combined estimate. These effects are small except for the seed-43 checkpoints, and dispatch intervals are wider because fewer episodes contain scored dispatch actions. The diagnostic does not establish a separate pattern for dispatch decisions. It shows that the combined H1 and H4 findings should not be generalized to dispatch actions.</w:t>
      </w:r>
    </w:p>
    <w:p>
      <w:pPr>
        <w:pStyle w:val="3"/>
        <w:keepNext/>
      </w:pPr>
      <w:bookmarkStart w:id="76" w:name="nav_heading_4_8_Random_trigger_sensitivi"/>
      <w:r>
        <w:t>4.8 Random-trigger sensitivity analysis</w:t>
      </w:r>
      <w:bookmarkEnd w:id="76"/>
    </w:p>
    <w:p>
      <w:pPr>
        <w:widowControl/>
      </w:pPr>
      <w:r>
        <w:t>The random-loss control replaces the fixed tunnel-entry trigger with an independent per-taxi trigger while retaining the same 30-second observation-layer freeze. The trigger probability is fixed across checkpoints, so realized exposure remains dependent on the trajectory induced by each policy. Random-to-tunnel exposure-rate ratios range from 0.44 to 0.98, with a median of 0.78. The comparison therefore focuses on the direction of paired effects within stale-exposed decisions rather than treating the two conditions as perfectly exposure matched. Table 4.7 reports the trigger comparison.</w:t>
      </w:r>
    </w:p>
    <w:p>
      <w:pPr>
        <w:widowControl/>
      </w:pPr>
      <w:r>
        <w:t>This sensitivity analysis is a separate 24-episode evaluation. Its repeated 30-second tunnel estimates therefore differ slightly from the 48-episode main sweep in Table 4.5; no checkpoint is retrained or reselected.</w:t>
      </w:r>
    </w:p>
    <w:p>
      <w:pPr>
        <w:pStyle w:val="12"/>
        <w:keepNext/>
        <w:pageBreakBefore/>
      </w:pPr>
      <w:bookmarkStart w:id="77" w:name="nav_table_Table_4_7"/>
      <w:r>
        <w:rPr>
          <w:b/>
        </w:rPr>
        <w:t>Table 4.7: Tunnel-triggered and random-loss sensitivity results</w:t>
      </w:r>
      <w:bookmarkEnd w:id="7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69"/>
        <w:gridCol w:w="1737"/>
        <w:gridCol w:w="3006"/>
        <w:gridCol w:w="3008"/>
      </w:tblGrid>
      <w:tr>
        <w:trPr>
          <w:cantSplit/>
          <w:tblHeader w:val="true"/>
        </w:trPr>
        <w:tc>
          <w:tcPr>
            <w:tcW w:type="dxa" w:w="126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173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Exposure tunnel/random (%)</w:t>
            </w:r>
          </w:p>
        </w:tc>
        <w:tc>
          <w:tcPr>
            <w:tcW w:type="dxa" w:w="30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tunnel/random (values x 1,000)</w:t>
            </w:r>
          </w:p>
        </w:tc>
        <w:tc>
          <w:tcPr>
            <w:tcW w:type="dxa" w:w="300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Probability DEF shift tunnel/random (values x 10,000)</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 / 0.569</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+4.281 / +4.037</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 / +0.004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1.176 / 0.517</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+0.231 / -0.286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-0.479 / +7.361</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0.818 / 0.532</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-3.623 / -3.165</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+0.020 / +0.322</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0.967 / 0.713</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+4.279 / +5.453</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 / -0.093</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0.584 / 0.480</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+0.958 / +0.444</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 -0.014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0.712 / 0.648</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-3.063 / -4.296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+0.091 / +0.518</w:t>
            </w:r>
          </w:p>
        </w:tc>
      </w:tr>
    </w:tbl>
    <w:p>
      <w:pPr>
        <w:widowControl/>
      </w:pPr>
      <w:r>
        <w:t>Figure 4.10 shows the tunnel and random-trigger sensitivity results.</w:t>
      </w:r>
    </w:p>
    <w:p>
      <w:pPr>
        <w:keepNext/>
        <w:keepLines/>
        <w:spacing w:before="120" w:after="40"/>
        <w:jc w:val="center"/>
      </w:pPr>
      <w:r>
        <w:drawing>
          <wp:inline xmlns:a="http://schemas.openxmlformats.org/drawingml/2006/main" xmlns:pic="http://schemas.openxmlformats.org/drawingml/2006/picture">
            <wp:extent cx="5623560" cy="3475917"/>
            <wp:docPr id="17" name="Picture 17" descr="Random telemetry-loss robustness check"/>
            <wp:cNvGraphicFramePr>
              <a:graphicFrameLocks noChangeAspect="1"/>
            </wp:cNvGraphicFramePr>
            <a:graphic>
              <a:graphicData uri="http://schemas.openxmlformats.org/drawingml/2006/picture">
                <pic:pic>
                  <pic:nvPicPr>
                    <pic:cNvPr id="0" name="v9_random_loss_robustness.png"/>
                    <pic:cNvPicPr/>
                  </pic:nvPicPr>
                  <pic:blipFill>
                    <a:blip r:embed="rId59"/>
                    <a:stretch>
                      <a:fillRect/>
                    </a:stretch>
                  </pic:blipFill>
                  <pic:spPr>
                    <a:xfrm>
                      <a:off x="0" y="0"/>
                      <a:ext cx="5623560" cy="3475917"/>
                    </a:xfrm>
                    <a:prstGeom prst="rect"/>
                  </pic:spPr>
                </pic:pic>
              </a:graphicData>
            </a:graphic>
          </wp:inline>
        </w:drawing>
      </w:r>
    </w:p>
    <w:p>
      <w:pPr>
        <w:pStyle w:val="12"/>
        <w:keepLines/>
      </w:pPr>
      <w:bookmarkStart w:id="78" w:name="nav_figure_Figure_4_10"/>
      <w:r>
        <w:t>Figure 4.10. Sensitivity to tunnel and random triggers under a 30-second freeze: (a) exposure rate; (b) stale-attention shift; (c) probability-DEF shift at full scale; and (d) enlarged DEF near zero. Arrows mark off-panel intervals; error bars show 95% episode-block bootstrap intervals.</w:t>
      </w:r>
      <w:bookmarkEnd w:id="78"/>
    </w:p>
    <w:p>
      <w:pPr>
        <w:widowControl/>
      </w:pPr>
      <w:r>
        <w:t>Attention-shift direction agrees between tunnel and random triggers in five of six checkpoints. Probability-DEF direction agrees in four of six. One mismatch for GAT seed 42 consists of values very close to zero. GAT seed 43 is the clear exception, but its random-trigger DEF interval is wide and crosses zero. The seed-42 positive attention pattern and seed-44 negative pattern otherwise remain visible under random triggering in both training regimes. This reduces the likelihood that the overall checkpoint dependence is produced only by the chosen tunnel location. It does not establish a location-independent effect, because the realized exposure rates and stale-node populations are not identical.</w:t>
      </w:r>
    </w:p>
    <w:p>
      <w:pPr>
        <w:pStyle w:val="3"/>
        <w:keepNext/>
      </w:pPr>
      <w:bookmarkStart w:id="79" w:name="nav_heading_4_9_Faithfulness_hypotheses"/>
      <w:r>
        <w:t>4.9 Faithfulness hypotheses</w:t>
      </w:r>
      <w:bookmarkEnd w:id="79"/>
    </w:p>
    <w:p>
      <w:pPr>
        <w:widowControl/>
      </w:pPr>
      <w:r>
        <w:t>The event-aware audit uses every decision with visible stale exposure rather than a periodic sample. H1 is supported for two of three GAT checkpoints and all three GAT-Outage checkpoints. H4 is supported for all six: within-episode WAMSN-DEF correlations range from -0.199 to -0.084 for GAT and from -0.423 to -0.212 for GAT-Outage. H3 remains consistently supported. Figure 4.11 shows both the within-episode WAMSN-DEF pattern and the per-checkpoint H4 results, while Table 4.8 summarizes all hypothesis outcomes.</w:t>
      </w:r>
    </w:p>
    <w:p>
      <w:pPr>
        <w:keepNext/>
        <w:keepLines/>
        <w:spacing w:before="120" w:after="40"/>
        <w:jc w:val="center"/>
      </w:pPr>
      <w:r>
        <w:drawing>
          <wp:inline xmlns:a="http://schemas.openxmlformats.org/drawingml/2006/main" xmlns:pic="http://schemas.openxmlformats.org/drawingml/2006/picture">
            <wp:extent cx="5623560" cy="2929813"/>
            <wp:docPr id="18" name="Picture 18" descr="Within-episode WAMSN-DEF relationship and H4 results"/>
            <wp:cNvGraphicFramePr>
              <a:graphicFrameLocks noChangeAspect="1"/>
            </wp:cNvGraphicFramePr>
            <a:graphic>
              <a:graphicData uri="http://schemas.openxmlformats.org/drawingml/2006/picture">
                <pic:pic>
                  <pic:nvPicPr>
                    <pic:cNvPr id="0" name="v9_h4_correlation_by_training_seed.png"/>
                    <pic:cNvPicPr/>
                  </pic:nvPicPr>
                  <pic:blipFill>
                    <a:blip r:embed="rId60"/>
                    <a:stretch>
                      <a:fillRect/>
                    </a:stretch>
                  </pic:blipFill>
                  <pic:spPr>
                    <a:xfrm>
                      <a:off x="0" y="0"/>
                      <a:ext cx="5623560" cy="2929813"/>
                    </a:xfrm>
                    <a:prstGeom prst="rect"/>
                  </pic:spPr>
                </pic:pic>
              </a:graphicData>
            </a:graphic>
          </wp:inline>
        </w:drawing>
      </w:r>
    </w:p>
    <w:p>
      <w:pPr>
        <w:pStyle w:val="12"/>
        <w:keepLines/>
      </w:pPr>
      <w:bookmarkStart w:id="80" w:name="nav_figure_Figure_4_11"/>
      <w:r>
        <w:t>Figure 4.11. Panel (a) divides each usable episode into four equal-count WAMSN groups and plots the corresponding mean DEF rank. Q4 is lower than Q1 for both models, although the intermediate groups are not monotonic. Lines summarize episode blocks within each model, and shaded bands show their interquartile range. Panel (b) reports mean rho and a 95% episode-block bootstrap interval. Every checkpoint supports the fourth hypothesis after Holm correction.</w:t>
      </w:r>
      <w:bookmarkEnd w:id="80"/>
    </w:p>
    <w:p>
      <w:pPr>
        <w:pStyle w:val="12"/>
        <w:keepNext/>
      </w:pPr>
      <w:bookmarkStart w:id="81" w:name="nav_table_Table_4_8"/>
      <w:r>
        <w:rPr>
          <w:b/>
        </w:rPr>
        <w:t>Table 4.8: Hypothesis outcomes across training seeds</w:t>
      </w:r>
      <w:bookmarkEnd w:id="8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62"/>
        <w:gridCol w:w="1316"/>
        <w:gridCol w:w="1777"/>
        <w:gridCol w:w="2965"/>
      </w:tblGrid>
      <w:tr>
        <w:trPr>
          <w:cantSplit/>
          <w:tblHeader w:val="true"/>
        </w:trPr>
        <w:tc>
          <w:tcPr>
            <w:tcW w:type="dxa" w:w="296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1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7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96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exploratory</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as a stale-exposure manipulation check</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GAT-Outage has weaker adverse DEF relationships than GAT</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supported in the tested configurations</w:t>
            </w:r>
          </w:p>
        </w:tc>
      </w:tr>
    </w:tbl>
    <w:p>
      <w:pPr>
        <w:widowControl/>
      </w:pPr>
      <w:r>
        <w:t>For H5, every matched GAT-Outage checkpoint has more negative H1 and H4 correlations than its clean-trained GAT counterpart. The H1 comparisons for seeds 42, 43, and 44 are -0.164 versus -0.069, -0.141 versus -0.058, and -0.025 versus -0.017. The corresponding H4 comparisons are -0.423 versus -0.092, -0.411 versus -0.084, and -0.212 versus -0.199. None meets the requirement that both relationships become weaker, giving 0/3 support for H5.</w:t>
      </w:r>
    </w:p>
    <w:p>
      <w:pPr>
        <w:widowControl/>
      </w:pPr>
      <w:r>
        <w:t>This comparison does not isolate degraded training observations as the cause because GAT and GAT-Outage use different maximum training budgets and learning-rate decay horizons.</w:t>
      </w:r>
    </w:p>
    <w:p>
      <w:pPr>
        <w:widowControl/>
      </w:pPr>
      <w:r>
        <w:t>H1 and H4 are association tests within one trained policy and primarily describe no-op decisions in this action-imbalanced sample. They do not by themselves establish that AoI causes lower faithfulness or that the same relationship holds for dispatch actions. The paired clean-twin audit supplies the more direct intervention contrast, and its sign still changes with training seed. H2 is treated as exploratory because clean DEF is close to zero and the relative-rate formulation is unstable.</w:t>
      </w:r>
    </w:p>
    <w:p>
      <w:pPr>
        <w:pStyle w:val="3"/>
        <w:keepNext/>
      </w:pPr>
      <w:bookmarkStart w:id="82" w:name="nav_heading_4_10_Result_summary"/>
      <w:r>
        <w:t>4.10 Result summary</w:t>
      </w:r>
      <w:bookmarkEnd w:id="82"/>
    </w:p>
    <w:p>
      <w:pPr>
        <w:keepNext/>
        <w:widowControl/>
      </w:pPr>
      <w:r>
        <w:t>The results answer the research questions as follows:</w:t>
      </w:r>
    </w:p>
    <w:p>
      <w:pPr>
        <w:pStyle w:val="13"/>
        <w:keepLines/>
        <w:spacing w:after="40"/>
      </w:pPr>
      <w:r>
        <w:rPr>
          <w:b/>
          <w:i w:val="0"/>
        </w:rPr>
        <w:t>RQ1:</w:t>
      </w:r>
      <w:r>
        <w:t xml:space="preserve"> under clean telemetry, raw attention does not consistently identify decision-relevant nodes better than the type-matched random baseline;</w:t>
      </w:r>
    </w:p>
    <w:p>
      <w:pPr>
        <w:pStyle w:val="13"/>
        <w:keepLines/>
        <w:spacing w:after="40"/>
      </w:pPr>
      <w:r>
        <w:rPr>
          <w:b/>
          <w:i w:val="0"/>
        </w:rPr>
        <w:t>RQ2:</w:t>
      </w:r>
      <w:r>
        <w:t xml:space="preserve"> tunnel-triggered degradation changes stale-node attention, but the direction of the paired change depends on the trained checkpoint;</w:t>
      </w:r>
    </w:p>
    <w:p>
      <w:pPr>
        <w:pStyle w:val="13"/>
        <w:keepLines/>
        <w:spacing w:after="40"/>
      </w:pPr>
      <w:r>
        <w:rPr>
          <w:b/>
          <w:i w:val="0"/>
        </w:rPr>
        <w:t>RQ3:</w:t>
      </w:r>
      <w:r>
        <w:t xml:space="preserve"> longer outages consistently increase stale exposure and usually accompany lower within-policy DEF, but paired attention and DEF changes are not consistent across checkpoints, action groups, or extraction choices; and</w:t>
      </w:r>
    </w:p>
    <w:p>
      <w:pPr>
        <w:pStyle w:val="13"/>
        <w:keepLines/>
        <w:spacing w:after="120"/>
      </w:pPr>
      <w:r>
        <w:rPr>
          <w:b/>
          <w:i w:val="0"/>
        </w:rPr>
        <w:t>RQ4:</w:t>
      </w:r>
      <w:r>
        <w:t xml:space="preserve"> the tested degradation-aware configuration does not produce a more consistent explanation response than the clean-trained configuration.</w:t>
      </w:r>
    </w:p>
    <w:p>
      <w:pPr>
        <w:widowControl/>
      </w:pPr>
      <w:r>
        <w:t>Seed reversals, no-op dominance, failures in the dispatch-only results, and extraction sensitivity therefore mean that raw attention cannot provide a reliable indication of data freshness or explanation faithfulness.</w:t>
      </w:r>
    </w:p>
    <w:p>
      <w:pPr>
        <w:pStyle w:val="3"/>
        <w:keepNext/>
      </w:pPr>
      <w:bookmarkStart w:id="83" w:name="nav_heading_4_11_Demonstrative_framework"/>
      <w:r>
        <w:t>4.11 Demonstrative framework decision</w:t>
      </w:r>
      <w:bookmarkEnd w:id="83"/>
    </w:p>
    <w:p>
      <w:pPr>
        <w:widowControl/>
      </w:pPr>
      <w:r>
        <w:t>The completed evidence was passed through the operational audit described in Section 3.10. Table 4.9 separates successful evidence collection from failed explanation-release checks.</w:t>
      </w:r>
    </w:p>
    <w:p>
      <w:pPr>
        <w:pStyle w:val="12"/>
        <w:keepNext/>
      </w:pPr>
      <w:bookmarkStart w:id="84" w:name="nav_table_Table_4_9"/>
      <w:r>
        <w:rPr>
          <w:b/>
        </w:rPr>
        <w:t>Table 4.9: Freshness-aware explanation audit decisions</w:t>
      </w:r>
      <w:bookmarkEnd w:id="8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1300"/>
        <w:gridCol w:w="15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Audit check</w:t>
            </w:r>
          </w:p>
        </w:tc>
        <w:tc>
          <w:tcPr>
            <w:tcW w:type="dxa" w:w="13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w:t>
            </w:r>
          </w:p>
        </w:tc>
        <w:tc>
          <w:tcPr>
            <w:tcW w:type="dxa" w:w="15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Key evidence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Evidence integrity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3/3 checkpoint preflights passed for each model</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reported separately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10,832 and 10,885 stale-exposed records reported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Action-aware controls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 matching, chosen-action protection, and LOO present</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decision relevance</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clean/60 s CIs: GAT [-0.00367, -0.00252] / [-0.00371, -0.00252]; GAT-Outage [-0.00765, -0.00594] / [-0.00752, -0.00578]</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No-op and dispatch composition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26,278/2,020 and 26,307/1,945 no-op/dispatch records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Attention-extraction stability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an alternative reverses the default direction in every seed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Checkpoint consistency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stale-attention direction is positive, positive, then negative across seeds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Deployment-action capability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sampling from the policy distribution is the audited action rule; argmax is descriptive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Tunnel/random trigger robustness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 supported reversal, but at least one 95% interval crosses zero</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Final decision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decision relevance, extraction stability, and checkpoint consistency fail</w:t>
            </w:r>
          </w:p>
        </w:tc>
      </w:tr>
    </w:tbl>
    <w:p>
      <w:pPr>
        <w:widowControl/>
      </w:pPr>
      <w:r>
        <w:t>INDET. denotes INDETERMINATE: the available evidence neither passes nor fails the check.</w:t>
      </w:r>
    </w:p>
    <w:p>
      <w:pPr>
        <w:widowControl/>
      </w:pPr>
      <w:r>
        <w:t>Both models pass the checks that establish whether the evidence is complete and properly separated. Dispatch self-row margin-DEF is below the matched-random boundary under both clean and 60-second conditions, and the extraction and checkpoint checks also fail. Trigger robustness remains indeterminate because some confidence intervals cross zero. The argmax diagnostic remains an important policy limitation but is not a release gate for the sampled action rule audited here. The result is WITHHOLD for all six frozen checkpoints, so their attention maps remain internal diagnostics. This table is a demonstrative application of the post-study release rules, not a new hypothesis test or independent evidence for the main conclusion.</w:t>
      </w:r>
    </w:p>
    <w:p>
      <w:pPr>
        <w:pStyle w:val="2"/>
        <w:keepNext/>
      </w:pPr>
      <w:bookmarkStart w:id="85" w:name="nav_heading_Chapter_5_Discussion"/>
      <w:r>
        <w:t>Chapter 5: Discussion</w:t>
      </w:r>
      <w:bookmarkEnd w:id="85"/>
    </w:p>
    <w:p>
      <w:pPr>
        <w:pStyle w:val="3"/>
        <w:keepNext/>
      </w:pPr>
      <w:bookmarkStart w:id="86" w:name="nav_heading_5_1_Answer_to_the_central_pr"/>
      <w:r>
        <w:t>5.1 Answer to the central problem</w:t>
      </w:r>
      <w:bookmarkEnd w:id="86"/>
    </w:p>
    <w:p>
      <w:pPr>
        <w:widowControl/>
      </w:pPr>
      <w:r>
        <w:t>The central problem is whether a graph-attention map can still be trusted when some of its vehicle data are stale. The experiment gives a two-part answer. First, the map remains available after tunnel-triggered loss freezes vehicle features at the observation boundary. Second, its displayed weights do not provide consistent evidence of either data freshness or decision relevance. The explanation can therefore outlive the data that support it, but its continued availability should not be treated as proof that it is reliable.</w:t>
      </w:r>
    </w:p>
    <w:p>
      <w:pPr>
        <w:widowControl/>
      </w:pPr>
      <w:r>
        <w:t xml:space="preserve">Three levels of evidence support this conclusion. </w:t>
      </w:r>
      <w:r>
        <w:rPr>
          <w:b/>
          <w:i w:val="0"/>
        </w:rPr>
        <w:t>Exposure evidence</w:t>
      </w:r>
      <w:r>
        <w:t xml:space="preserve"> shows that longer outages increase the amount of attention attached to stale vehicle data. </w:t>
      </w:r>
      <w:r>
        <w:rPr>
          <w:b/>
          <w:i w:val="0"/>
        </w:rPr>
        <w:t>Association evidence</w:t>
      </w:r>
      <w:r>
        <w:t xml:space="preserve"> shows that greater stale exposure is linked to lower DEF within all six checkpoints. </w:t>
      </w:r>
      <w:r>
        <w:rPr>
          <w:b/>
          <w:i w:val="0"/>
        </w:rPr>
        <w:t>Direct paired evidence</w:t>
      </w:r>
      <w:r>
        <w:t>, which compares clean and degraded observations of the same decision, is less consistent. The attention and DEF changes have the expected directions for checkpoints trained with seeds 42 and 43, but both directions reverse for seed 44 under both training regimes. The direct effects are also small. The association result therefore does not establish one general effect caused by telemetry degradation.</w:t>
      </w:r>
    </w:p>
    <w:p>
      <w:pPr>
        <w:widowControl/>
      </w:pPr>
      <w:r>
        <w:t>The analysis by action type further limits the conclusion. Chosen no-op actions account for 93.0% of scorable decisions with at least one available request, and the combined H1 and H4 patterns are not reproduced among dispatch actions. Four checkpoints also change paired-DEF direction between the combined and dispatch groups. The primary statistics describe the observed mix of sampled actions, not a universal response for both dispatch and no-op decisions.</w:t>
      </w:r>
    </w:p>
    <w:p>
      <w:pPr>
        <w:widowControl/>
      </w:pPr>
      <w:r>
        <w:t>The supporting controls make the interpretation stronger and narrower. The LOO-ranked control produces a positive DEF for every checkpoint, so the evaluator has some sensitivity to a perturbation-based ranking. However, expected top-k overlap reaches about 60% at k=3, which limits resolution. Taxi-only attention-LOO correlation is positive but varies substantially in strength. These checks do not show that the evaluator is perfect and attention fails. They show that, within the evaluator's measured but limited resolution, raw attention lacks reproducible evidence of explanation faithfulness. Figure 5.1 summarizes this cross-seed evidence path.</w:t>
      </w:r>
    </w:p>
    <w:p>
      <w:pPr>
        <w:keepNext/>
        <w:keepLines/>
        <w:spacing w:before="120" w:after="40"/>
        <w:jc w:val="center"/>
      </w:pPr>
      <w:r>
        <w:drawing>
          <wp:inline xmlns:a="http://schemas.openxmlformats.org/drawingml/2006/main" xmlns:pic="http://schemas.openxmlformats.org/drawingml/2006/picture">
            <wp:extent cx="5623560" cy="3083887"/>
            <wp:docPr id="19" name="Picture 19" descr="Cross-seed evidence matrix"/>
            <wp:cNvGraphicFramePr>
              <a:graphicFrameLocks noChangeAspect="1"/>
            </wp:cNvGraphicFramePr>
            <a:graphic>
              <a:graphicData uri="http://schemas.openxmlformats.org/drawingml/2006/picture">
                <pic:pic>
                  <pic:nvPicPr>
                    <pic:cNvPr id="0" name="v9_evidence_path_summary.png"/>
                    <pic:cNvPicPr/>
                  </pic:nvPicPr>
                  <pic:blipFill>
                    <a:blip r:embed="rId61"/>
                    <a:stretch>
                      <a:fillRect/>
                    </a:stretch>
                  </pic:blipFill>
                  <pic:spPr>
                    <a:xfrm>
                      <a:off x="0" y="0"/>
                      <a:ext cx="5623560" cy="3083887"/>
                    </a:xfrm>
                    <a:prstGeom prst="rect"/>
                  </pic:spPr>
                </pic:pic>
              </a:graphicData>
            </a:graphic>
          </wp:inline>
        </w:drawing>
      </w:r>
    </w:p>
    <w:p>
      <w:pPr>
        <w:pStyle w:val="12"/>
        <w:keepLines/>
      </w:pPr>
      <w:bookmarkStart w:id="87" w:name="nav_figure_Figure_5_1"/>
      <w:r>
        <w:t>Figure 5.1. Cross-seed results for the four research questions. The matrix separates clean decision relevance, paired stale-node attention, duration and faithfulness evidence, and the training comparison.</w:t>
      </w:r>
      <w:bookmarkEnd w:id="87"/>
    </w:p>
    <w:p>
      <w:pPr>
        <w:pStyle w:val="3"/>
        <w:keepNext/>
      </w:pPr>
      <w:bookmarkStart w:id="88" w:name="nav_heading_5_2_What_the_stale_exposure_"/>
      <w:r>
        <w:t>5.2 What the stale-exposure result means</w:t>
      </w:r>
      <w:bookmarkEnd w:id="88"/>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normalized AoI, so part of the increase follows directly from the manipulation. H1 and H4 show that DEF tends to be lower at greater exposure within most frozen policies. The paired audit asks a stricter question: does replacing the current observation with its degraded twin change attention and DEF at the same decision? That result changes sign across checkpoints trained with different seeds. Exposure, within-policy association, and direct paired change answer different questions and should be reported separately.</w:t>
      </w:r>
    </w:p>
    <w:p>
      <w:pPr>
        <w:pStyle w:val="3"/>
        <w:keepNext/>
      </w:pPr>
      <w:bookmarkStart w:id="89" w:name="nav_heading_5_3_Dependence_on_checkpoint"/>
      <w:r>
        <w:t>5.3 Dependence on checkpoint and analysis choice</w:t>
      </w:r>
      <w:bookmarkEnd w:id="89"/>
    </w:p>
    <w:p>
      <w:pPr>
        <w:widowControl/>
      </w:pPr>
      <w:r>
        <w:t>The primary aggregation gives positive stale-attention shifts for checkpoints trained with seeds 42 and 43 and negative shifts for checkpoints trained with seed 44. The values are small: approximately -0.0035 to +0.0041 of total attention mass. Paired probability-DEF shifts are also small and reproduce the same direction in both training regimes. This shared pattern across the two model conditions suggests sensitivity to the trained checkpoint, not a stable response created by outage-aware training. The between-checkpoint range is larger than the observed difference between the two training-condition means. With only three training seeds, this is a descriptive comparison of selected checkpoints. It is not a formal estimate of the sources of variation, and it does not show that the seed value itself causes the response.</w:t>
      </w:r>
    </w:p>
    <w:p>
      <w:pPr>
        <w:widowControl/>
      </w:pPr>
      <w:r>
        <w:t>The random-trigger sensitivity analysis checks whether this pattern is only an artifact of the fixed tunnel location. The same attention-shift direction appears in five of six checkpoints, and the same probability-DEF direction in four of six. The seed-42 positive attention pattern and seed-44 negative pattern appear under both triggers and both training regimes. This makes a tunnel-only explanation less likely, but it is not a complete location control. A fixed trigger probability produces different realized exposure rates after each policy changes taxi trajectories, and the identity of the stale taxis also changes. The result supports checkpoint dependence but cannot establish one general effect of random or tunnel-triggered loss.</w:t>
      </w:r>
    </w:p>
    <w:p>
      <w:pPr>
        <w:widowControl/>
      </w:pPr>
      <w:r>
        <w:t>The paired probability-DEF effects are small and may have little operational importance. The concern is not a large universal decline. Instead, even these small changes reverse direction across independently trained checkpoints, while raw corrected DEF under clean telemetry is already near zero. Together, these results do not provide a consistent basis for trusting the explanations, but they also do not show large damage from telemetry degradation.</w:t>
      </w:r>
    </w:p>
    <w:p>
      <w:pPr>
        <w:widowControl/>
      </w:pPr>
      <w:r>
        <w:t>The aggregation audit identifies a second problem. Individual heads can reverse the sign within the same checkpoint. The six checkpoint ranges extend from -0.0109 to +0.0089 across the tested reductions. Selecting another head or layer after seeing the data could change the verbal conclusion.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by about 0.0064 for GAT seed 43 and 0.0073 for GAT-Outage seed 43, but changes little for the other four checkpoints. One query-row change therefore cannot be assumed to correct near-zero or negative DEF. An attention map shown to an operator needs a declared and tested rule for choosing its query, layer, and heads.</w:t>
      </w:r>
    </w:p>
    <w:p>
      <w:pPr>
        <w:widowControl/>
      </w:pPr>
      <w:r>
        <w:t>The deterministic diagnostic reveals a related policy limitation. All six graph-attention checkpoints choose no-op in all 18 argmax episode evaluations, although their sampled policies outperform the declared lower bounds. This limitation does not invalidate the faithfulness calculations for sampled actions, but it means that the experiment audits decisions sampled from the policy distribution rather than a deployable deterministic dispatcher. The audit framework should evaluate the action rule intended for deployment and report any alternative action rule as a separate diagnostic.</w:t>
      </w:r>
    </w:p>
    <w:p>
      <w:pPr>
        <w:pStyle w:val="3"/>
        <w:keepNext/>
      </w:pPr>
      <w:bookmarkStart w:id="90" w:name="nav_heading_5_4_Role_of_the_construct_va"/>
      <w:r>
        <w:t>5.4 Role of the construct-validity audit</w:t>
      </w:r>
      <w:bookmarkEnd w:id="90"/>
    </w:p>
    <w:p>
      <w:pPr>
        <w:widowControl/>
      </w:pPr>
      <w:r>
        <w:t>The construct-validity audit supports the primary experiment. Request nodes are both information and actions; peer taxis are context only. Uniform random deletion therefore creates a large action-removal artifact.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a positive control, not ground truth for the combined comprehensiveness-sufficiency score. Gradient x Input changes sign across checkpoints and is not automatically a stronger explanation in this task.</w:t>
      </w:r>
    </w:p>
    <w:p>
      <w:pPr>
        <w:widowControl/>
      </w:pPr>
      <w:r>
        <w:t>Together, these checks change the conclusion from a simple “attention is near random” statement to a more defensible one. Raw attention remains below the LOO control in all six checkpoints and has positive taxi-only agreement with LOO, but both DEF and rank agreement vary by trained policy. The aggregation and query-row audits add further sensitivity. This provides some evidence of decision relevance, but not enough to treat attention as reliable by default.</w:t>
      </w:r>
    </w:p>
    <w:p>
      <w:pPr>
        <w:widowControl/>
      </w:pPr>
      <w:r>
        <w:t>The top-k diagnostic further limits this interpretation. Attention-LOO overlap is above the expected matched-random overlap at k=1, but it offers no clear advantage over that baseline at k=3. This is consistent with reduced resolution as larger subsets overlap, not proof that the top attention node is the model's true reason or that every three-node display is random.</w:t>
      </w:r>
    </w:p>
    <w:p>
      <w:pPr>
        <w:pStyle w:val="3"/>
        <w:keepNext/>
      </w:pPr>
      <w:bookmarkStart w:id="91" w:name="nav_heading_5_5_Why_outage_training_did_"/>
      <w:r>
        <w:t>5.5 Why outage training did not solve the problem</w:t>
      </w:r>
      <w:bookmarkEnd w:id="91"/>
    </w:p>
    <w:p>
      <w:pPr>
        <w:widowControl/>
      </w:pPr>
      <w:r>
        <w:t>The tested configuration trained with 30-second outages does not solve the explanation problem. GAT-Outage shows the same seed-dependent attention and paired DEF directions as GAT. It strengthens the H1 and H4 associations, but does not make the direct degraded-minus-clean response consistent across independently trained policies. Under the matched-seed H5 rule, both adverse correlations would need to move closer to zero. Neither does so for any of the three seeds.</w:t>
      </w:r>
    </w:p>
    <w:p>
      <w:pPr>
        <w:widowControl/>
      </w:pPr>
      <w:r>
        <w:t>These findings apply only to the tested form of robustness training. The comparison cannot show that the degraded training observations caused the difference because the two configurations have different optimization horizons. The reward also contains no term for explanation stability or faithfulness, so task-reward optimization alone is not designed to align attention with a human explanation. A future intervention would need a common training budget, independently trained models, and an explicit explanation objective.</w:t>
      </w:r>
    </w:p>
    <w:p>
      <w:pPr>
        <w:pStyle w:val="3"/>
        <w:keepNext/>
      </w:pPr>
      <w:bookmarkStart w:id="92" w:name="nav_heading_5_6_Proposed_audit_framework"/>
      <w:r>
        <w:t>5.6 Proposed audit framework</w:t>
      </w:r>
      <w:bookmarkEnd w:id="92"/>
    </w:p>
    <w:p>
      <w:pPr>
        <w:pStyle w:val="4"/>
        <w:keepNext/>
      </w:pPr>
      <w:bookmarkStart w:id="93" w:name="nav_heading_5_6_1_Purpose_and_scope"/>
      <w:r>
        <w:t>5.6.1 Purpose and scope</w:t>
      </w:r>
      <w:bookmarkEnd w:id="93"/>
    </w:p>
    <w:p>
      <w:pPr>
        <w:widowControl/>
      </w:pPr>
      <w:r>
        <w:t xml:space="preserve">To address this risk, the thesis develops and applies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an audited candidate explanation within a stated scope. Table 5.1 links each observed risk to the required evidence and decision rule.</w:t>
      </w:r>
    </w:p>
    <w:p>
      <w:pPr>
        <w:pStyle w:val="12"/>
        <w:keepNext/>
      </w:pPr>
      <w:bookmarkStart w:id="94" w:name="nav_table_Table_5_1"/>
      <w:r>
        <w:rPr>
          <w:b/>
        </w:rPr>
        <w:t>Table 5.1: Freshness-aware explanation audit framework</w:t>
      </w:r>
      <w:bookmarkEnd w:id="9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groups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action-specific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0" name="Picture 20"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2"/>
                    <a:stretch>
                      <a:fillRect/>
                    </a:stretch>
                  </pic:blipFill>
                  <pic:spPr>
                    <a:xfrm>
                      <a:off x="0" y="0"/>
                      <a:ext cx="5623560" cy="2701176"/>
                    </a:xfrm>
                    <a:prstGeom prst="rect"/>
                  </pic:spPr>
                </pic:pic>
              </a:graphicData>
            </a:graphic>
          </wp:inline>
        </w:drawing>
      </w:r>
    </w:p>
    <w:p>
      <w:pPr>
        <w:pStyle w:val="12"/>
        <w:keepLines/>
      </w:pPr>
      <w:bookmarkStart w:id="95"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95"/>
    </w:p>
    <w:p>
      <w:pPr>
        <w:pStyle w:val="4"/>
        <w:keepNext/>
      </w:pPr>
      <w:bookmarkStart w:id="96" w:name="nav_heading_5_6_2_Inputs_outputs_and_use"/>
      <w:r>
        <w:t>5.6.2 Inputs, outputs and use</w:t>
      </w:r>
      <w:bookmarkEnd w:id="96"/>
    </w:p>
    <w:p>
      <w:pPr>
        <w:widowControl/>
      </w:pPr>
      <w:r>
        <w:t>The framework accepts evidence rather than raw attention alone. Table 5.2 summarizes its inputs and outputs.</w:t>
      </w:r>
    </w:p>
    <w:p>
      <w:pPr>
        <w:pStyle w:val="12"/>
        <w:keepNext/>
      </w:pPr>
      <w:bookmarkStart w:id="97" w:name="nav_table_Table_5_2"/>
      <w:r>
        <w:rPr>
          <w:b/>
        </w:rPr>
        <w:t>Table 5.2: Audit framework inputs and outputs</w:t>
      </w:r>
      <w:bookmarkEnd w:id="9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groups,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Next/>
        <w:keepLines/>
        <w:numPr>
          <w:ilvl w:val="0"/>
          <w:numId w:val="10"/>
        </w:numPr>
        <w:spacing w:after="40"/>
      </w:pPr>
      <w:r>
        <w:t>freeze the candidate checkpoint and evaluation protocol;</w:t>
      </w:r>
    </w:p>
    <w:p>
      <w:pPr>
        <w:pStyle w:val="14"/>
        <w:keepNext/>
        <w:keepLines/>
        <w:numPr>
          <w:ilvl w:val="0"/>
          <w:numId w:val="10"/>
        </w:numPr>
        <w:spacing w:after="40"/>
      </w:pPr>
      <w:r>
        <w:t>generate paired freshness, action-aware faithfulness, action-composition, and sensitivity evidence on held-out demand;</w:t>
      </w:r>
    </w:p>
    <w:p>
      <w:pPr>
        <w:pStyle w:val="14"/>
        <w:keepNext/>
        <w:keepLines/>
        <w:numPr>
          <w:ilvl w:val="0"/>
          <w:numId w:val="10"/>
        </w:numPr>
        <w:spacing w:after="40"/>
      </w:pPr>
      <w:r>
        <w:t>run preflight to establish that the evidence is complete and valid to analyze;</w:t>
      </w:r>
    </w:p>
    <w:p>
      <w:pPr>
        <w:pStyle w:val="14"/>
        <w:keepNext/>
        <w:keepLines/>
        <w:numPr>
          <w:ilvl w:val="0"/>
          <w:numId w:val="10"/>
        </w:numPr>
        <w:spacing w:after="40"/>
      </w:pPr>
      <w:r>
        <w:t>apply every release check to each checkpoint and then compare independent training runs;</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98" w:name="nav_heading_5_6_3_Application_to_this_st"/>
      <w:r>
        <w:t>5.6.3 Application to this study</w:t>
      </w:r>
      <w:bookmarkEnd w:id="98"/>
    </w:p>
    <w:p>
      <w:pPr>
        <w:widowControl/>
      </w:pPr>
      <w:r>
        <w:t>Applying the framework to the completed evidence gives WITHHOLD for GAT and GAT-Outage and for all six individual checkpoints. This is not a failed experiment. The audit has completed and has found that the evidence is insufficient for explanation release. In particular, the dispatch-action decision-relevance intervals do not exceed the matched-random boundary, attention extraction can reverse the stale-attention direction, the stale-attention response changes direction across training seeds, and the tunnel/random comparison is indeterminate because several confidence intervals cross zero. Every argmax diagnostic also produces zero pickups, but this is a descriptive limitation rather than a release gate for the sampled action rule.</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faithfulness-aware model is still needed to validate the eligibility path empirically. The current thresholds must not be weakened after seeing these results simply to obtain a passing model.</w:t>
      </w:r>
    </w:p>
    <w:p>
      <w:pPr>
        <w:pStyle w:val="3"/>
        <w:keepNext/>
      </w:pPr>
      <w:bookmarkStart w:id="99" w:name="nav_heading_5_7_Limitations"/>
      <w:r>
        <w:t>5.7 Limitations</w:t>
      </w:r>
      <w:bookmarkEnd w:id="99"/>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and their sampled-action evaluations outperform random and greedy lower bounds. However, every selected GAT checkpoint selects no-op throughout the small deterministic check. The study therefore cannot establish deterministic deployment capability or isolate the contribution of graph edges to sampled capability.</w:t>
      </w:r>
    </w:p>
    <w:p>
      <w:pPr>
        <w:widowControl/>
      </w:pPr>
      <w:r>
        <w:t>Clean GAT and GAT-Outage also use different maximum training budgets and learning-rate decay horizons, selected from validation-only stability diagnostics. Their matched-seed comparison describes the two fitted configurations but cannot isolate the effect of degraded training observations.</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100" w:name="nav_heading_5_8_Future_work"/>
      <w:r>
        <w:t>5.8 Future work</w:t>
      </w:r>
      <w:bookmarkEnd w:id="100"/>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101" w:name="nav_heading_Chapter_6_Conclusion"/>
      <w:r>
        <w:t>Chapter 6: Conclusion</w:t>
      </w:r>
      <w:bookmarkEnd w:id="101"/>
    </w:p>
    <w:p>
      <w:pPr>
        <w:widowControl/>
      </w:pPr>
      <w:r>
        <w:t xml:space="preserve">This dissertation asked whether graph-attention explanations can be trusted after their supporting vehicle telemetry becomes stale. The results give a clear answer: </w:t>
      </w:r>
      <w:r>
        <w:rPr>
          <w:b/>
          <w:i w:val="0"/>
        </w:rPr>
        <w:t>the attention map remains available, but this experiment does not validate its raw weights as reliable explanations under clean or degraded telemetry</w:t>
      </w:r>
      <w:r>
        <w:t>. Attention strength alone does not show whether its source is current or whether the highlighted node influenced the selected action.</w:t>
      </w:r>
    </w:p>
    <w:p>
      <w:pPr>
        <w:widowControl/>
      </w:pPr>
      <w:r>
        <w:t>This is the faithfulness decoupling identified in the title. Under the tested observation-layer outages, an explanation can outlive its data because the map continues to be produced after some vehicle features have been frozen. The study does not claim that degradation always lowers a single faithfulness metric. It shows that the continued presence of an explanation is not matched by consistent evidence that the explanation is current and decision-relevant.</w:t>
      </w:r>
    </w:p>
    <w:p>
      <w:pPr>
        <w:keepNext/>
        <w:widowControl/>
      </w:pPr>
      <w:r>
        <w:t>The four research questions are answered as follows:</w:t>
      </w:r>
    </w:p>
    <w:p>
      <w:pPr>
        <w:pStyle w:val="13"/>
        <w:keepLines/>
        <w:spacing w:after="40"/>
      </w:pPr>
      <w:r>
        <w:rPr>
          <w:b/>
          <w:i w:val="0"/>
        </w:rPr>
        <w:t>RQ1: Under clean telemetry, do raw graph-attention weights identify decision-relevant nodes more reliably than type-matched random controls?</w:t>
      </w:r>
      <w:r>
        <w:t xml:space="preserve"> Not consistently. Raw-attention DEF ranges from -0.0009 to +0.0031 across the six checkpoints. LOO produces a larger positive result for all six checkpoints, while taxi-only attention-LOO rank correlation ranges from +0.088 to +0.699.</w:t>
      </w:r>
    </w:p>
    <w:p>
      <w:pPr>
        <w:pStyle w:val="13"/>
        <w:keepLines/>
        <w:spacing w:after="40"/>
      </w:pPr>
      <w:r>
        <w:rPr>
          <w:b/>
          <w:i w:val="0"/>
        </w:rPr>
        <w:t>RQ2: Does tunnel-triggered telemetry degradation change the attention assigned to stale vehicle nodes relative to the paired clean observation?</w:t>
      </w:r>
      <w:r>
        <w:t xml:space="preserve"> Yes, but not in a consistent direction. Attention shifts toward stale nodes for checkpoints trained with seeds 42 and 43 and away from them for seed 44 under both training regimes. The same direction appears under random triggering in five of six checkpoints, while individual heads can still reverse it within one checkpoint.</w:t>
      </w:r>
    </w:p>
    <w:p>
      <w:pPr>
        <w:pStyle w:val="13"/>
        <w:keepLines/>
        <w:spacing w:after="40"/>
      </w:pPr>
      <w:r>
        <w:rPr>
          <w:b/>
          <w:i w:val="0"/>
        </w:rPr>
        <w:t>RQ3: As outage duration increases, are changes in stale-node attention and decision-level faithfulness consistent across independently trained checkpoints?</w:t>
      </w:r>
      <w:r>
        <w:t xml:space="preserve"> No. Paired stale-node attention changes direction with the trained checkpoint. H1 is supported in five of six selected checkpoints and H4 in all six, but the combined direct paired DEF shift is negative for four checkpoints and positive for two. The effect is small and reverses for the checkpoints trained with seed 44. Moreover, 93.0% of scorable decisions with at least one available request are no-op, and the H1/H4 patterns are not reproduced in the dispatch group.</w:t>
      </w:r>
    </w:p>
    <w:p>
      <w:pPr>
        <w:pStyle w:val="13"/>
        <w:keepLines/>
        <w:spacing w:after="120"/>
      </w:pPr>
      <w:r>
        <w:rPr>
          <w:b/>
          <w:i w:val="0"/>
        </w:rPr>
        <w:t>RQ4: In the tested configurations, does degradation-aware training produce more consistent attention and faithfulness responses under telemetry degradation than clean training?</w:t>
      </w:r>
      <w:r>
        <w:t xml:space="preserve"> No. GAT-Outage shows the same seed-dependent paired direction as GAT and provides no consistent improvement. Because the configurations use different training budgets, this comparison does not isolate degraded training observations as the cause.</w:t>
      </w:r>
    </w:p>
    <w:p>
      <w:pPr>
        <w:widowControl/>
      </w:pPr>
      <w:r>
        <w:t>This interpretation depends on the construct-validity audit. Deleting a request can also delete an action, while deleting a peer taxi only hides context. Type-matched and action-protected controls remove much of this artifact. The positive LOO result shows that DEF has some perturbation sensitivity, but the high expected top-k overlap limits its resolution. The conclusion draws on several checks rather than one near-zero number.</w:t>
      </w:r>
    </w:p>
    <w:p>
      <w:pPr>
        <w:widowControl/>
      </w:pPr>
      <w:r>
        <w:t>The 30-second random-trigger sensitivity analysis reduces concern that the checkpoint-dependent pattern is produced only by the selected tunnel. It does not remove the need for multiple tunnel placements or real telemetry traces, because realized exposure and the stale-node population still differ between trigger mechanisms.</w:t>
      </w:r>
    </w:p>
    <w:p>
      <w:pPr>
        <w:widowControl/>
      </w:pPr>
      <w:r>
        <w:t>The performance results also have an important limit. Sampled policies outperform the basic lower bounds, but all six graph-attention checkpoints choose no-op in 18 of 18 deterministic diagnostic episodes. The study audits explanations for actions drawn from the policy distribution; it does not demonstrate a deployable argmax dispatcher.</w:t>
      </w:r>
    </w:p>
    <w:p>
      <w:pPr>
        <w:widowControl/>
      </w:pPr>
      <w:r>
        <w:t>Taken together, the research questions separate three findings. Stale-data exposure rises with outage duration. Higher exposure is associated with lower DEF within the tested checkpoints. However, the direct paired effect of degradation is small and changes direction across checkpoints. These results do not contradict one another: exposure, association, and direct paired change answer different questions. They show why freshness and faithfulness must be reported separately.</w:t>
      </w:r>
    </w:p>
    <w:p>
      <w:pPr>
        <w:widowControl/>
      </w:pPr>
      <w:r>
        <w:t>The freshness-aware explanation audit framework addresses this gap. It reports freshness and action composition separately, uses action-aware and type-matched tests, checks the attention extraction rule, audits every candidate checkpoint, and requires consistency across independent training runs. Stable dispatch output is not an explanation test.</w:t>
      </w:r>
    </w:p>
    <w:p>
      <w:pPr>
        <w:widowControl/>
      </w:pPr>
      <w:r>
        <w:t>Its demonstrative application gives WITHHOLD for GAT, GAT-Outage, and all six frozen checkpoints. This means that the audit completed but the attention maps did not meet the release conditions. An ELIGIBLE model is not required to support the present finding: correctly withholding unsupported explanations is the purpose of the framework. However, the study validates only the rejection path on trained models. A future model with an explicit explanation objective is needed to test the eligibility path on held-out evidence.</w:t>
      </w:r>
    </w:p>
    <w:p>
      <w:pPr>
        <w:widowControl/>
      </w:pPr>
      <w:r>
        <w:t>An ELIGIBLE result would permit attention to be shown only as an audited candidate explanation within the stated scope, with freshness displayed separately. It would not prove a complete causal explanation.</w:t>
      </w:r>
    </w:p>
    <w:p>
      <w:pPr>
        <w:widowControl/>
      </w:pPr>
      <w:r>
        <w:t>The framework is designed to reduce operational risk, not to remove faithfulness decoupling from the model. Attention remains an internal diagnostic unless the full audit provides consistent evidence.</w:t>
      </w:r>
    </w:p>
    <w:p>
      <w:pPr>
        <w:widowControl/>
      </w:pPr>
      <w:r>
        <w:t>All six objectives were completed: the paired benchmark and audit pipeline were implemented, the four research questions were evaluated, and the collected evidence produced a WITHHOLD decision for every tested checkpoint. Completion refers to execution of the planned study, not support for every hypothesis or achievement of an ELIGIBLE result.</w:t>
      </w:r>
    </w:p>
    <w:p>
      <w:pPr>
        <w:widowControl/>
      </w:pPr>
      <w:r>
        <w:t>In summary, under telemetry degradation in graph-attention MARL fleet dispatch, an explanation can remain visible after part of its supporting observation has become stale. Because the displayed attention does not provide consistent evidence of freshness or decision relevance, it should not be released as an explanation without a separate audit. The contribution of this study is an evidence-based way to make that release decision, not a claim that raw attention is inherently trustworthy or that degradation always reduces DEF.</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pp. 4190-4197. Available at: https://doi.org/10.18653/v1/2020.acl-main.385.</w:t>
      </w:r>
    </w:p>
    <w:p>
      <w:pPr>
        <w:spacing w:line="240" w:lineRule="auto" w:after="40"/>
        <w:ind w:left="720" w:hanging="720"/>
        <w:jc w:val="left"/>
      </w:pPr>
      <w:r>
        <w:t xml:space="preserve">Adebayo, J. et al. (2018) 'Sanity checks for saliency maps', </w:t>
      </w:r>
      <w:r>
        <w:rPr>
          <w:b w:val="0"/>
          <w:i/>
        </w:rPr>
        <w:t>Advances in Neural Information Processing Systems</w:t>
      </w:r>
      <w:r>
        <w:t>, vol. 31. Available at: https://proceedings.neurips.cc/paper/2018/hash/294a8ed24b1ad22ec2e7efea049b8737-Abstract.html.</w:t>
      </w:r>
    </w:p>
    <w:p>
      <w:pPr>
        <w:spacing w:line="240" w:lineRule="auto" w:after="40"/>
        <w:ind w:left="720" w:hanging="720"/>
        <w:jc w:val="left"/>
      </w:pPr>
      <w:r>
        <w:t xml:space="preserve">Alvarez-Melis, D. and Jaakkola, T.S. (2018) 'On the robustness of interpretability methods', </w:t>
      </w:r>
      <w:r>
        <w:rPr>
          <w:b w:val="0"/>
          <w:i/>
        </w:rPr>
        <w:t>arXiv preprint arXiv:1806.08049</w:t>
      </w:r>
      <w:r>
        <w:t>. Available at: https://doi.org/10.48550/arXiv.1806.08049.</w:t>
      </w:r>
    </w:p>
    <w:p>
      <w:pPr>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vol. 198, pp. 44:1-44:23. Available at: https://proceedings.mlr.press/v198/amara22a.html.</w:t>
      </w:r>
    </w:p>
    <w:p>
      <w:pPr>
        <w:spacing w:line="240" w:lineRule="auto" w:after="40"/>
        <w:ind w:left="720" w:hanging="720"/>
        <w:jc w:val="left"/>
      </w:pPr>
      <w:r>
        <w:t xml:space="preserve">Bekkemoen, Y. (2024) 'Explainable reinforcement learning (XRL): A systematic literature review and taxonomy', </w:t>
      </w:r>
      <w:r>
        <w:rPr>
          <w:b w:val="0"/>
          <w:i/>
        </w:rPr>
        <w:t>Machine Learning</w:t>
      </w:r>
      <w:r>
        <w:t>, vol. 113, no. 1, pp. 355-441. Available at: https://doi.org/10.1007/s10994-023-06479-7.</w:t>
      </w:r>
    </w:p>
    <w:p>
      <w:pPr>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Available at: https://openreview.net/forum?id=QFYnKlBJYR.</w:t>
      </w:r>
    </w:p>
    <w:p>
      <w:pPr>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pp. 4443-4458. Available at: https://doi.org/10.18653/v1/2020.acl-main.408.</w:t>
      </w:r>
    </w:p>
    <w:p>
      <w:pPr>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vol. 80, pp. 1792-1801. Available at: https://proceedings.mlr.press/v80/greydanus18a.html.</w:t>
      </w:r>
    </w:p>
    <w:p>
      <w:pPr>
        <w:spacing w:line="240" w:lineRule="auto" w:after="40"/>
        <w:ind w:left="720" w:hanging="720"/>
        <w:jc w:val="left"/>
      </w:pPr>
      <w:r>
        <w:t xml:space="preserve">Heuillet, A., Couthouis, F. and Diaz-Rodriguez, N. (2021) 'Explainability in deep reinforcement learning', </w:t>
      </w:r>
      <w:r>
        <w:rPr>
          <w:b w:val="0"/>
          <w:i/>
        </w:rPr>
        <w:t>Knowledge-Based Systems</w:t>
      </w:r>
      <w:r>
        <w:t>, vol. 214, article 106685. Available at: https://doi.org/10.1016/j.knosys.2020.106685.</w:t>
      </w:r>
    </w:p>
    <w:p>
      <w:pPr>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vol. 32. Available at: https://proceedings.neurips.cc/paper/2019/hash/fe4b8556000d0f0cae99daa5c5c5a410-Abstract.html.</w:t>
      </w:r>
    </w:p>
    <w:p>
      <w:pPr>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vol. 26, no. 10, pp. 15407-15421. Available at: https://doi.org/10.1109/TITS.2025.3595653.</w:t>
      </w:r>
    </w:p>
    <w:p>
      <w:pPr>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vol. 97, pp. 2961-2970. Available at: https://proceedings.mlr.press/v97/iqbal19a.html.</w:t>
      </w:r>
    </w:p>
    <w:p>
      <w:pPr>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pp. 4198-4205. Available at: https://doi.org/10.18653/v1/2020.acl-main.386.</w:t>
      </w:r>
    </w:p>
    <w:p>
      <w:pPr>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vol. 1, pp. 3543-3556. Available at: https://aclanthology.org/N19-1357/.</w:t>
      </w:r>
    </w:p>
    <w:p>
      <w:pPr>
        <w:spacing w:line="240" w:lineRule="auto" w:after="40"/>
        <w:ind w:left="720" w:hanging="720"/>
        <w:jc w:val="left"/>
      </w:pPr>
      <w:r>
        <w:t xml:space="preserve">Kaul, S., Yates, R. and Gruteser, M. (2012) 'Real-time status: How often should one update?', in </w:t>
      </w:r>
      <w:r>
        <w:rPr>
          <w:b w:val="0"/>
          <w:i/>
        </w:rPr>
        <w:t>Proceedings of IEEE INFOCOM</w:t>
      </w:r>
      <w:r>
        <w:t>, pp. 2731-2735. Available at: https://doi.org/10.1109/INFCOM.2012.6195689.</w:t>
      </w:r>
    </w:p>
    <w:p>
      <w:pPr>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pp. 1774-1783. Available at: https://doi.org/10.1145/3219819.3219993.</w:t>
      </w:r>
    </w:p>
    <w:p>
      <w:pPr>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vol. 162, pp. 13528-13556. Available at: https://proceedings.mlr.press/v162/liotet22a.html.</w:t>
      </w:r>
    </w:p>
    <w:p>
      <w:pPr>
        <w:spacing w:line="240" w:lineRule="auto" w:after="40"/>
        <w:ind w:left="720" w:hanging="720"/>
        <w:jc w:val="left"/>
      </w:pPr>
      <w:r>
        <w:t xml:space="preserve">Lipton, Z.C. (2018) 'The mythos of model interpretability', </w:t>
      </w:r>
      <w:r>
        <w:rPr>
          <w:b w:val="0"/>
          <w:i/>
        </w:rPr>
        <w:t>Queue</w:t>
      </w:r>
      <w:r>
        <w:t>, vol. 16, no. 3, pp. 31-57. Available at: https://doi.org/10.1145/3236386.3241340.</w:t>
      </w:r>
    </w:p>
    <w:p>
      <w:pPr>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vol. 162, pp. 13807-13824. Available at: https://proceedings.mlr.press/v162/liu22i.html.</w:t>
      </w:r>
    </w:p>
    <w:p>
      <w:pPr>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pp. 2575-2582. Available at: https://doi.org/10.1109/ITSC.2018.8569938.</w:t>
      </w:r>
    </w:p>
    <w:p>
      <w:pPr>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vol. 30. Available at: https://proceedings.neurips.cc/paper/2017/hash/68a9750337a418a86fe06c1991a1d64c-Abstract.html.</w:t>
      </w:r>
    </w:p>
    <w:p>
      <w:pPr>
        <w:spacing w:line="240" w:lineRule="auto" w:after="40"/>
        <w:ind w:left="720" w:hanging="720"/>
        <w:jc w:val="left"/>
      </w:pPr>
      <w:r>
        <w:t xml:space="preserve">Luo, D. et al. (2020) 'Parameterized explainer for graph neural network', </w:t>
      </w:r>
      <w:r>
        <w:rPr>
          <w:b w:val="0"/>
          <w:i/>
        </w:rPr>
        <w:t>Advances in Neural Information Processing Systems</w:t>
      </w:r>
      <w:r>
        <w:t>, vol. 33, pp. 19620-19631. Available at: https://proceedings.neurips.cc/paper/2020/hash/e37b08dd3015330dcbb5d6663667b8b8-Abstract.html.</w:t>
      </w:r>
    </w:p>
    <w:p>
      <w:pPr>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vol. 34, no. 3, pp. 2493-2500. Available at: https://doi.org/10.1609/aaai.v34i03.5631.</w:t>
      </w:r>
    </w:p>
    <w:p>
      <w:pPr>
        <w:spacing w:line="240" w:lineRule="auto" w:after="40"/>
        <w:ind w:left="720" w:hanging="720"/>
        <w:jc w:val="left"/>
      </w:pPr>
      <w:r>
        <w:t xml:space="preserve">Milani, S. et al. (2024) 'Explainable reinforcement learning: A survey and comparative review', </w:t>
      </w:r>
      <w:r>
        <w:rPr>
          <w:b w:val="0"/>
          <w:i/>
        </w:rPr>
        <w:t>ACM Computing Surveys</w:t>
      </w:r>
      <w:r>
        <w:t>, vol. 56, no. 7, pp. 1-36. Available at: https://doi.org/10.1145/3616864.</w:t>
      </w:r>
    </w:p>
    <w:p>
      <w:pPr>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vol. 32. Available at: https://proceedings.neurips.cc/paper/2019/hash/e9510081ac30ffa83f10b68cde1cac07-Abstract.html.</w:t>
      </w:r>
    </w:p>
    <w:p>
      <w:pPr>
        <w:spacing w:line="240" w:lineRule="auto" w:after="40"/>
        <w:ind w:left="720" w:hanging="720"/>
        <w:jc w:val="left"/>
      </w:pPr>
      <w:r>
        <w:t xml:space="preserve">Puiutta, E. and Veith, E.M.S.P. (2020) 'Explainable reinforcement learning: A survey', in Holzinger, A. et al. (eds.) </w:t>
      </w:r>
      <w:r>
        <w:rPr>
          <w:b w:val="0"/>
          <w:i/>
        </w:rPr>
        <w:t>Machine Learning and Knowledge Extraction</w:t>
      </w:r>
      <w:r>
        <w:t>. Lecture Notes in Computer Science, vol. 12279. Cham: Springer, pp. 77-95. Available at: https://doi.org/10.1007/978-3-030-57321-8_5.</w:t>
      </w:r>
    </w:p>
    <w:p>
      <w:pPr>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vol. 144, article 103852. Available at: https://doi.org/10.1016/j.trc.2022.103852.</w:t>
      </w:r>
    </w:p>
    <w:p>
      <w:pPr>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vol. 21, no. 178, pp. 1-51. Available at: https://jmlr.org/papers/v21/20-081.html.</w:t>
      </w:r>
    </w:p>
    <w:p>
      <w:pPr>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pp. 1135-1144. Available at: https://doi.org/10.1145/2939672.2939778.</w:t>
      </w:r>
    </w:p>
    <w:p>
      <w:pPr>
        <w:spacing w:line="240" w:lineRule="auto" w:after="40"/>
        <w:ind w:left="720" w:hanging="720"/>
        <w:jc w:val="left"/>
      </w:pPr>
      <w:r>
        <w:t xml:space="preserve">Scarselli, F. et al. (2009) 'The graph neural network model', </w:t>
      </w:r>
      <w:r>
        <w:rPr>
          <w:b w:val="0"/>
          <w:i/>
        </w:rPr>
        <w:t>IEEE Transactions on Neural Networks</w:t>
      </w:r>
      <w:r>
        <w:t>, vol. 20, no. 1, pp. 61-80. Available at: https://doi.org/10.1109/TNN.2008.2005605.</w:t>
      </w:r>
    </w:p>
    <w:p>
      <w:pPr>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pp. 2931-2951. Available at: https://doi.org/10.18653/v1/P19-1282.</w:t>
      </w:r>
    </w:p>
    <w:p>
      <w:pPr>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vol. 16, article 5461. Available at: https://doi.org/10.1038/s41598-026-35004-8.</w:t>
      </w:r>
    </w:p>
    <w:p>
      <w:pPr>
        <w:spacing w:line="240" w:lineRule="auto" w:after="40"/>
        <w:ind w:left="720" w:hanging="720"/>
        <w:jc w:val="left"/>
      </w:pPr>
      <w:r>
        <w:t xml:space="preserve">Tabassi, E. (2023) </w:t>
      </w:r>
      <w:r>
        <w:rPr>
          <w:b w:val="0"/>
          <w:i/>
        </w:rPr>
        <w:t>Artificial Intelligence Risk Management Framework (AI RMF 1.0)</w:t>
      </w:r>
      <w:r>
        <w:t>. NIST AI 100-1. Gaithersburg, MD: National Institute of Standards and Technology. Available at: https://doi.org/10.6028/NIST.AI.100-1.</w:t>
      </w:r>
    </w:p>
    <w:p>
      <w:pPr>
        <w:spacing w:line="240" w:lineRule="auto" w:after="40"/>
        <w:ind w:left="720" w:hanging="720"/>
        <w:jc w:val="left"/>
      </w:pPr>
      <w:r>
        <w:t xml:space="preserve">Vaswani, A. et al. (2017) 'Attention is all you need', </w:t>
      </w:r>
      <w:r>
        <w:rPr>
          <w:b w:val="0"/>
          <w:i/>
        </w:rPr>
        <w:t>Advances in Neural Information Processing Systems</w:t>
      </w:r>
      <w:r>
        <w:t>, vol. 30, pp. 5998-6008. Available at: https://proceedings.neurips.cc/paper/2017/hash/3f5ee243547dee91fbd053c1c4a845aa-Abstract.html.</w:t>
      </w:r>
    </w:p>
    <w:p>
      <w:pPr>
        <w:spacing w:line="240" w:lineRule="auto" w:after="40"/>
        <w:ind w:left="720" w:hanging="720"/>
        <w:jc w:val="left"/>
      </w:pPr>
      <w:r>
        <w:t xml:space="preserve">Velickovic, P. et al. (2018) 'Graph attention networks', in </w:t>
      </w:r>
      <w:r>
        <w:rPr>
          <w:b w:val="0"/>
          <w:i/>
        </w:rPr>
        <w:t>Proceedings of the International Conference on Learning Representations</w:t>
      </w:r>
      <w:r>
        <w:t>. Available at: https://openreview.net/forum?id=rJXMpikCZ.</w:t>
      </w:r>
    </w:p>
    <w:p>
      <w:pPr>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vol. 1, pp. 1457-1468. Available at: https://doi.org/10.1145/3690624.3709205.</w:t>
      </w:r>
    </w:p>
    <w:p>
      <w:pPr>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pp. 11-20. Available at: https://doi.org/10.18653/v1/D19-1002.</w:t>
      </w:r>
    </w:p>
    <w:p>
      <w:pPr>
        <w:spacing w:line="240" w:lineRule="auto" w:after="40"/>
        <w:ind w:left="720" w:hanging="720"/>
        <w:jc w:val="left"/>
      </w:pPr>
      <w:r>
        <w:t xml:space="preserve">Yates, R.D. et al. (2021) 'Age of information: An introduction and survey', </w:t>
      </w:r>
      <w:r>
        <w:rPr>
          <w:b w:val="0"/>
          <w:i/>
        </w:rPr>
        <w:t>IEEE Journal on Selected Areas in Communications</w:t>
      </w:r>
      <w:r>
        <w:t>, vol. 39, no. 5, pp. 1183-1210. Available at: https://doi.org/10.1109/JSAC.2021.3065072.</w:t>
      </w:r>
    </w:p>
    <w:p>
      <w:pPr>
        <w:spacing w:line="240" w:lineRule="auto" w:after="40"/>
        <w:ind w:left="720" w:hanging="720"/>
        <w:jc w:val="left"/>
      </w:pPr>
      <w:r>
        <w:t xml:space="preserve">Ying, R. et al. (2019) 'GNNExplainer: Generating explanations for graph neural networks', </w:t>
      </w:r>
      <w:r>
        <w:rPr>
          <w:b w:val="0"/>
          <w:i/>
        </w:rPr>
        <w:t>Advances in Neural Information Processing Systems</w:t>
      </w:r>
      <w:r>
        <w:t>, vol. 32, pp. 9240-9251. Available at: https://proceedings.neurips.cc/paper/2019/hash/d80b7040b773199015de6d3b4293c8ff-Abstract.html.</w:t>
      </w:r>
    </w:p>
    <w:p>
      <w:pPr>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vol. 35, pp. 24611-24624. Available at: https://doi.org/10.52202/068431-1787.</w:t>
      </w:r>
    </w:p>
    <w:p>
      <w:pPr>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vol. 45, no. 5, pp. 5782-5799. Available at: https://doi.org/10.1109/TPAMI.2022.3204236.</w:t>
      </w:r>
    </w:p>
    <w:p>
      <w:pPr>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reproduction procedure is provided in docs/REPRODUCE_EXPERIMENTS.md. Compact citable outputs are stored in the version-controlled results directory identified in that guide.</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