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17" w:name="nav_front_list_of_figures"/>
      <w:r>
        <w:rPr>
          <w:rFonts w:ascii="Times New Roman" w:hAnsi="Times New Roman"/>
          <w:b/>
          <w:sz w:val="28"/>
        </w:rPr>
        <w:t>LIST OF FIGURES</w:t>
      </w:r>
      <w:bookmarkEnd w:id="117"/>
    </w:p>
    <w:p>
      <w:pPr>
        <w:keepLines/>
        <w:tabs>
          <w:tab w:pos="8784" w:val="right" w:leader="dot"/>
        </w:tabs>
        <w:spacing w:after="40" w:line="240" w:lineRule="auto"/>
        <w:ind w:left="0"/>
        <w:jc w:val="left"/>
      </w:pPr>
      <w:hyperlink w:anchor="nav_figure_Figure_1_1" w:history="1">
        <w:r>
          <w:rPr>
            <w:noProof/>
          </w:rPr>
          <w:t xml:space="preserve">Figure 1.1  Stale data and the explanation-release decision</w:t>
        </w:r>
      </w:hyperlink>
      <w:r>
        <w:tab/>
        <w:t>3</w:t>
      </w:r>
    </w:p>
    <w:p>
      <w:pPr>
        <w:keepLines/>
        <w:tabs>
          <w:tab w:pos="8784" w:val="right" w:leader="dot"/>
        </w:tabs>
        <w:spacing w:after="40" w:line="240" w:lineRule="auto"/>
        <w:ind w:left="0"/>
        <w:jc w:val="left"/>
      </w:pPr>
      <w:hyperlink w:anchor="nav_figure_Figure_3_1" w:history="1">
        <w:r>
          <w:rPr>
            <w:noProof/>
          </w:rPr>
          <w:t xml:space="preserve">Figure 3.1  Spatial distribution of generated demand and tunnel triggers</w:t>
        </w:r>
      </w:hyperlink>
      <w:r>
        <w:tab/>
        <w:t>15</w:t>
      </w:r>
    </w:p>
    <w:p>
      <w:pPr>
        <w:keepLines/>
        <w:tabs>
          <w:tab w:pos="8784" w:val="right" w:leader="dot"/>
        </w:tabs>
        <w:spacing w:after="40" w:line="240" w:lineRule="auto"/>
        <w:ind w:left="0"/>
        <w:jc w:val="left"/>
      </w:pPr>
      <w:hyperlink w:anchor="nav_figure_Figure_3_2" w:history="1">
        <w:r>
          <w:rPr>
            <w:noProof/>
          </w:rPr>
          <w:t xml:space="preserve">Figure 3.2  Demand arrival and origin-destination distributions by split</w:t>
        </w:r>
      </w:hyperlink>
      <w:r>
        <w:tab/>
        <w:t>15</w:t>
      </w:r>
    </w:p>
    <w:p>
      <w:pPr>
        <w:keepLines/>
        <w:tabs>
          <w:tab w:pos="8784" w:val="right" w:leader="dot"/>
        </w:tabs>
        <w:spacing w:after="40" w:line="240" w:lineRule="auto"/>
        <w:ind w:left="0"/>
        <w:jc w:val="left"/>
      </w:pPr>
      <w:hyperlink w:anchor="nav_figure_Figure_3_3" w:history="1">
        <w:r>
          <w:rPr>
            <w:noProof/>
          </w:rPr>
          <w:t xml:space="preserve">Figure 3.3  Local observation graph and request-to-action mapping</w:t>
        </w:r>
      </w:hyperlink>
      <w:r>
        <w:tab/>
        <w:t>17</w:t>
      </w:r>
    </w:p>
    <w:p>
      <w:pPr>
        <w:keepLines/>
        <w:tabs>
          <w:tab w:pos="8784" w:val="right" w:leader="dot"/>
        </w:tabs>
        <w:spacing w:after="40" w:line="240" w:lineRule="auto"/>
        <w:ind w:left="0"/>
        <w:jc w:val="left"/>
      </w:pPr>
      <w:hyperlink w:anchor="nav_figure_Figure_3_4" w:history="1">
        <w:r>
          <w:rPr>
            <w:noProof/>
          </w:rPr>
          <w:t xml:space="preserve">Figure 3.4  Graph-attention policy and audit channel</w:t>
        </w:r>
      </w:hyperlink>
      <w:r>
        <w:tab/>
        <w:t>18</w:t>
      </w:r>
    </w:p>
    <w:p>
      <w:pPr>
        <w:keepLines/>
        <w:tabs>
          <w:tab w:pos="8784" w:val="right" w:leader="dot"/>
        </w:tabs>
        <w:spacing w:after="40" w:line="240" w:lineRule="auto"/>
        <w:ind w:left="0"/>
        <w:jc w:val="left"/>
      </w:pPr>
      <w:hyperlink w:anchor="nav_figure_Figure_3_5" w:history="1">
        <w:r>
          <w:rPr>
            <w:noProof/>
          </w:rPr>
          <w:t xml:space="preserve">Figure 3.5  Training, selection and held-out evaluation</w:t>
        </w:r>
      </w:hyperlink>
      <w:r>
        <w:tab/>
        <w:t>21</w:t>
      </w:r>
    </w:p>
    <w:p>
      <w:pPr>
        <w:keepLines/>
        <w:tabs>
          <w:tab w:pos="8784" w:val="right" w:leader="dot"/>
        </w:tabs>
        <w:spacing w:after="40" w:line="240" w:lineRule="auto"/>
        <w:ind w:left="0"/>
        <w:jc w:val="left"/>
      </w:pPr>
      <w:hyperlink w:anchor="nav_figure_Figure_3_6" w:history="1">
        <w:r>
          <w:rPr>
            <w:noProof/>
          </w:rPr>
          <w:t xml:space="preserve">Figure 3.6  Tunnel-triggered observation-layer telemetry degradation</w:t>
        </w:r>
      </w:hyperlink>
      <w:r>
        <w:tab/>
        <w:t>22</w:t>
      </w:r>
    </w:p>
    <w:p>
      <w:pPr>
        <w:keepLines/>
        <w:tabs>
          <w:tab w:pos="8784" w:val="right" w:leader="dot"/>
        </w:tabs>
        <w:spacing w:after="40" w:line="240" w:lineRule="auto"/>
        <w:ind w:left="0"/>
        <w:jc w:val="left"/>
      </w:pPr>
      <w:hyperlink w:anchor="nav_figure_Figure_3_7" w:history="1">
        <w:r>
          <w:rPr>
            <w:noProof/>
          </w:rPr>
          <w:t xml:space="preserve">Figure 3.7  Construct-validity controls for action-linked request nodes</w:t>
        </w:r>
      </w:hyperlink>
      <w:r>
        <w:tab/>
        <w:t>24</w:t>
      </w:r>
    </w:p>
    <w:p>
      <w:pPr>
        <w:keepLines/>
        <w:tabs>
          <w:tab w:pos="8784" w:val="right" w:leader="dot"/>
        </w:tabs>
        <w:spacing w:after="40" w:line="240" w:lineRule="auto"/>
        <w:ind w:left="0"/>
        <w:jc w:val="left"/>
      </w:pPr>
      <w:hyperlink w:anchor="nav_figure_Figure_4_1" w:history="1">
        <w:r>
          <w:rPr>
            <w:noProof/>
          </w:rPr>
          <w:t xml:space="preserve">Figure 4.1  GAT and GAT-Outage training and checkpoint-selection diagnostics</w:t>
        </w:r>
      </w:hyperlink>
      <w:r>
        <w:tab/>
        <w:t>32</w:t>
      </w:r>
    </w:p>
    <w:p>
      <w:pPr>
        <w:keepLines/>
        <w:tabs>
          <w:tab w:pos="8784" w:val="right" w:leader="dot"/>
        </w:tabs>
        <w:spacing w:after="40" w:line="240" w:lineRule="auto"/>
        <w:ind w:left="0"/>
        <w:jc w:val="left"/>
      </w:pPr>
      <w:hyperlink w:anchor="nav_figure_Figure_4_2" w:history="1">
        <w:r>
          <w:rPr>
            <w:noProof/>
          </w:rPr>
          <w:t xml:space="preserve">Figure 4.2  Clean-telemetry completed journeys by training seed</w:t>
        </w:r>
      </w:hyperlink>
      <w:r>
        <w:tab/>
        <w:t>33</w:t>
      </w:r>
    </w:p>
    <w:p>
      <w:pPr>
        <w:keepLines/>
        <w:tabs>
          <w:tab w:pos="8784" w:val="right" w:leader="dot"/>
        </w:tabs>
        <w:spacing w:after="40" w:line="240" w:lineRule="auto"/>
        <w:ind w:left="0"/>
        <w:jc w:val="left"/>
      </w:pPr>
      <w:hyperlink w:anchor="nav_figure_Figure_4_3" w:history="1">
        <w:r>
          <w:rPr>
            <w:noProof/>
          </w:rPr>
          <w:t xml:space="preserve">Figure 4.3  Faithfulness perturbation controls by checkpoint</w:t>
        </w:r>
      </w:hyperlink>
      <w:r>
        <w:tab/>
        <w:t>35</w:t>
      </w:r>
    </w:p>
    <w:p>
      <w:pPr>
        <w:keepLines/>
        <w:tabs>
          <w:tab w:pos="8784" w:val="right" w:leader="dot"/>
        </w:tabs>
        <w:spacing w:after="40" w:line="240" w:lineRule="auto"/>
        <w:ind w:left="0"/>
        <w:jc w:val="left"/>
      </w:pPr>
      <w:hyperlink w:anchor="nav_figure_Figure_4_4" w:history="1">
        <w:r>
          <w:rPr>
            <w:noProof/>
          </w:rPr>
          <w:t xml:space="preserve">Figure 4.4  Attention aggregation sensitivity</w:t>
        </w:r>
      </w:hyperlink>
      <w:r>
        <w:tab/>
        <w:t>36</w:t>
      </w:r>
    </w:p>
    <w:p>
      <w:pPr>
        <w:keepLines/>
        <w:tabs>
          <w:tab w:pos="8784" w:val="right" w:leader="dot"/>
        </w:tabs>
        <w:spacing w:after="40" w:line="240" w:lineRule="auto"/>
        <w:ind w:left="0"/>
        <w:jc w:val="left"/>
      </w:pPr>
      <w:hyperlink w:anchor="nav_figure_Figure_4_5" w:history="1">
        <w:r>
          <w:rPr>
            <w:noProof/>
          </w:rPr>
          <w:t xml:space="preserve">Figure 4.5  Attention query-row sensitivity</w:t>
        </w:r>
      </w:hyperlink>
      <w:r>
        <w:tab/>
        <w:t>37</w:t>
      </w:r>
    </w:p>
    <w:p>
      <w:pPr>
        <w:keepLines/>
        <w:tabs>
          <w:tab w:pos="8784" w:val="right" w:leader="dot"/>
        </w:tabs>
        <w:spacing w:after="40" w:line="240" w:lineRule="auto"/>
        <w:ind w:left="0"/>
        <w:jc w:val="left"/>
      </w:pPr>
      <w:hyperlink w:anchor="nav_figure_Figure_4_6" w:history="1">
        <w:r>
          <w:rPr>
            <w:noProof/>
          </w:rPr>
          <w:t xml:space="preserve">Figure 4.6  Top-k overlap and DEF resolution</w:t>
        </w:r>
      </w:hyperlink>
      <w:r>
        <w:tab/>
        <w:t>38</w:t>
      </w:r>
    </w:p>
    <w:p>
      <w:pPr>
        <w:keepLines/>
        <w:tabs>
          <w:tab w:pos="8784" w:val="right" w:leader="dot"/>
        </w:tabs>
        <w:spacing w:after="40" w:line="240" w:lineRule="auto"/>
        <w:ind w:left="0"/>
        <w:jc w:val="left"/>
      </w:pPr>
      <w:hyperlink w:anchor="nav_figure_Figure_4_7" w:history="1">
        <w:r>
          <w:rPr>
            <w:noProof/>
          </w:rPr>
          <w:t xml:space="preserve">Figure 4.7  Outage-duration sweep by policy and training seed</w:t>
        </w:r>
      </w:hyperlink>
      <w:r>
        <w:tab/>
        <w:t>39</w:t>
      </w:r>
    </w:p>
    <w:p>
      <w:pPr>
        <w:keepLines/>
        <w:tabs>
          <w:tab w:pos="8784" w:val="right" w:leader="dot"/>
        </w:tabs>
        <w:spacing w:after="40" w:line="240" w:lineRule="auto"/>
        <w:ind w:left="0"/>
        <w:jc w:val="left"/>
      </w:pPr>
      <w:hyperlink w:anchor="nav_figure_Figure_4_8" w:history="1">
        <w:r>
          <w:rPr>
            <w:noProof/>
          </w:rPr>
          <w:t xml:space="preserve">Figure 4.8  Paired attention and faithfulness shift by training seed</w:t>
        </w:r>
      </w:hyperlink>
      <w:r>
        <w:tab/>
        <w:t>40</w:t>
      </w:r>
    </w:p>
    <w:p>
      <w:pPr>
        <w:keepLines/>
        <w:tabs>
          <w:tab w:pos="8784" w:val="right" w:leader="dot"/>
        </w:tabs>
        <w:spacing w:after="40" w:line="240" w:lineRule="auto"/>
        <w:ind w:left="0"/>
        <w:jc w:val="left"/>
      </w:pPr>
      <w:hyperlink w:anchor="nav_figure_Figure_4_9" w:history="1">
        <w:r>
          <w:rPr>
            <w:noProof/>
          </w:rPr>
          <w:t xml:space="preserve">Figure 4.9  Faithfulness analysis by action type</w:t>
        </w:r>
      </w:hyperlink>
      <w:r>
        <w:tab/>
        <w:t>41</w:t>
      </w:r>
    </w:p>
    <w:p>
      <w:pPr>
        <w:keepLines/>
        <w:tabs>
          <w:tab w:pos="8784" w:val="right" w:leader="dot"/>
        </w:tabs>
        <w:spacing w:after="40" w:line="240" w:lineRule="auto"/>
        <w:ind w:left="0"/>
        <w:jc w:val="left"/>
      </w:pPr>
      <w:hyperlink w:anchor="nav_figure_Figure_4_10" w:history="1">
        <w:r>
          <w:rPr>
            <w:noProof/>
          </w:rPr>
          <w:t xml:space="preserve">Figure 4.10  Tunnel-triggered and random telemetry-loss sensitivity</w:t>
        </w:r>
      </w:hyperlink>
      <w:r>
        <w:tab/>
        <w:t>42</w:t>
      </w:r>
    </w:p>
    <w:p>
      <w:pPr>
        <w:keepLines/>
        <w:tabs>
          <w:tab w:pos="8784" w:val="right" w:leader="dot"/>
        </w:tabs>
        <w:spacing w:after="40" w:line="240" w:lineRule="auto"/>
        <w:ind w:left="0"/>
        <w:jc w:val="left"/>
      </w:pPr>
      <w:hyperlink w:anchor="nav_figure_Figure_4_11" w:history="1">
        <w:r>
          <w:rPr>
            <w:noProof/>
          </w:rPr>
          <w:t xml:space="preserve">Figure 4.11  WAMSN-DEF relationship and H4 result</w:t>
        </w:r>
      </w:hyperlink>
      <w:r>
        <w:tab/>
        <w:t>42</w:t>
      </w:r>
    </w:p>
    <w:p>
      <w:pPr>
        <w:keepLines/>
        <w:tabs>
          <w:tab w:pos="8784" w:val="right" w:leader="dot"/>
        </w:tabs>
        <w:spacing w:after="40" w:line="240" w:lineRule="auto"/>
        <w:ind w:left="0"/>
        <w:jc w:val="left"/>
      </w:pPr>
      <w:hyperlink w:anchor="nav_figure_Figure_5_1" w:history="1">
        <w:r>
          <w:rPr>
            <w:noProof/>
          </w:rPr>
          <w:t xml:space="preserve">Figure 5.1  Evidence interpretation summary</w:t>
        </w:r>
      </w:hyperlink>
      <w:r>
        <w:tab/>
        <w:t>47</w:t>
      </w:r>
    </w:p>
    <w:p>
      <w:pPr>
        <w:keepLines/>
        <w:tabs>
          <w:tab w:pos="8784" w:val="right" w:leader="dot"/>
        </w:tabs>
        <w:spacing w:after="40" w:line="240" w:lineRule="auto"/>
        <w:ind w:left="0"/>
        <w:jc w:val="left"/>
      </w:pPr>
      <w:hyperlink w:anchor="nav_figure_Figure_5_2" w:history="1">
        <w:r>
          <w:rPr>
            <w:noProof/>
          </w:rPr>
          <w:t xml:space="preserve">Figure 5.2  Freshness-aware explanation audit workflow</w:t>
        </w:r>
      </w:hyperlink>
      <w:r>
        <w:tab/>
        <w:t>50</w:t>
      </w:r>
    </w:p>
    <w:p w14:paraId="4E24840A">
      <w:pPr>
        <w:keepNext/>
        <w:pageBreakBefore/>
        <w:spacing w:after="360"/>
        <w:jc w:val="center"/>
        <w:outlineLvl w:val="0"/>
      </w:pPr>
      <w:bookmarkStart w:id="118" w:name="nav_front_list_of_tables"/>
      <w:r>
        <w:rPr>
          <w:rFonts w:ascii="Times New Roman" w:hAnsi="Times New Roman"/>
          <w:b/>
          <w:sz w:val="28"/>
        </w:rPr>
        <w:t>LIST OF TABLES</w:t>
      </w:r>
      <w:bookmarkEnd w:id="118"/>
    </w:p>
    <w:p>
      <w:pPr>
        <w:keepLines/>
        <w:tabs>
          <w:tab w:pos="8784" w:val="right" w:leader="dot"/>
        </w:tabs>
        <w:spacing w:after="40" w:line="240" w:lineRule="auto"/>
        <w:ind w:left="0"/>
        <w:jc w:val="left"/>
      </w:pPr>
      <w:hyperlink w:anchor="nav_table_Table_2_1" w:history="1">
        <w:r>
          <w:rPr>
            <w:noProof/>
          </w:rPr>
          <w:t xml:space="preserve">Table 2.1  Critical comparison of eight closely related explanation studies</w:t>
        </w:r>
      </w:hyperlink>
      <w:r>
        <w:tab/>
        <w:t>12</w:t>
      </w:r>
    </w:p>
    <w:p>
      <w:pPr>
        <w:keepLines/>
        <w:tabs>
          <w:tab w:pos="8784" w:val="right" w:leader="dot"/>
        </w:tabs>
        <w:spacing w:after="40" w:line="240" w:lineRule="auto"/>
        <w:ind w:left="0"/>
        <w:jc w:val="left"/>
      </w:pPr>
      <w:hyperlink w:anchor="nav_table_Table_3_1" w:history="1">
        <w:r>
          <w:rPr>
            <w:noProof/>
          </w:rPr>
          <w:t xml:space="preserve">Table 3.1  Observation graph node types and roles</w:t>
        </w:r>
      </w:hyperlink>
      <w:r>
        <w:tab/>
        <w:t>16</w:t>
      </w:r>
    </w:p>
    <w:p>
      <w:pPr>
        <w:keepLines/>
        <w:tabs>
          <w:tab w:pos="8784" w:val="right" w:leader="dot"/>
        </w:tabs>
        <w:spacing w:after="40" w:line="240" w:lineRule="auto"/>
        <w:ind w:left="0"/>
        <w:jc w:val="left"/>
      </w:pPr>
      <w:hyperlink w:anchor="nav_table_Table_3_2" w:history="1">
        <w:r>
          <w:rPr>
            <w:noProof/>
          </w:rPr>
          <w:t xml:space="preserve">Table 3.2  Policy conditions used in the experiment</w:t>
        </w:r>
      </w:hyperlink>
      <w:r>
        <w:tab/>
        <w:t>18</w:t>
      </w:r>
    </w:p>
    <w:p>
      <w:pPr>
        <w:keepLines/>
        <w:tabs>
          <w:tab w:pos="8784" w:val="right" w:leader="dot"/>
        </w:tabs>
        <w:spacing w:after="40" w:line="240" w:lineRule="auto"/>
        <w:ind w:left="0"/>
        <w:jc w:val="left"/>
      </w:pPr>
      <w:hyperlink w:anchor="nav_table_Table_3_3" w:history="1">
        <w:r>
          <w:rPr>
            <w:noProof/>
          </w:rPr>
          <w:t xml:space="preserve">Table 3.3  Validation-selected checkpoint indices (zero-based)</w:t>
        </w:r>
      </w:hyperlink>
      <w:r>
        <w:tab/>
        <w:t>19</w:t>
      </w:r>
    </w:p>
    <w:p>
      <w:pPr>
        <w:keepLines/>
        <w:tabs>
          <w:tab w:pos="8784" w:val="right" w:leader="dot"/>
        </w:tabs>
        <w:spacing w:after="40" w:line="240" w:lineRule="auto"/>
        <w:ind w:left="0"/>
        <w:jc w:val="left"/>
      </w:pPr>
      <w:hyperlink w:anchor="nav_table_Table_3_4" w:history="1">
        <w:r>
          <w:rPr>
            <w:noProof/>
          </w:rPr>
          <w:t xml:space="preserve">Table 3.4  Training and optimization settings</w:t>
        </w:r>
      </w:hyperlink>
      <w:r>
        <w:tab/>
        <w:t>19</w:t>
      </w:r>
    </w:p>
    <w:p>
      <w:pPr>
        <w:keepLines/>
        <w:tabs>
          <w:tab w:pos="8784" w:val="right" w:leader="dot"/>
        </w:tabs>
        <w:spacing w:after="40" w:line="240" w:lineRule="auto"/>
        <w:ind w:left="0"/>
        <w:jc w:val="left"/>
      </w:pPr>
      <w:hyperlink w:anchor="nav_table_Table_3_5" w:history="1">
        <w:r>
          <w:rPr>
            <w:noProof/>
          </w:rPr>
          <w:t xml:space="preserve">Table 3.5  Checkpoint-acceptance criteria</w:t>
        </w:r>
      </w:hyperlink>
      <w:r>
        <w:tab/>
        <w:t>20</w:t>
      </w:r>
    </w:p>
    <w:p>
      <w:pPr>
        <w:keepLines/>
        <w:tabs>
          <w:tab w:pos="8784" w:val="right" w:leader="dot"/>
        </w:tabs>
        <w:spacing w:after="40" w:line="240" w:lineRule="auto"/>
        <w:ind w:left="0"/>
        <w:jc w:val="left"/>
      </w:pPr>
      <w:hyperlink w:anchor="nav_table_Table_3_6" w:history="1">
        <w:r>
          <w:rPr>
            <w:noProof/>
          </w:rPr>
          <w:t xml:space="preserve">Table 3.6  Explanation measures and roles</w:t>
        </w:r>
      </w:hyperlink>
      <w:r>
        <w:tab/>
        <w:t>23</w:t>
      </w:r>
    </w:p>
    <w:p>
      <w:pPr>
        <w:keepLines/>
        <w:tabs>
          <w:tab w:pos="8784" w:val="right" w:leader="dot"/>
        </w:tabs>
        <w:spacing w:after="40" w:line="240" w:lineRule="auto"/>
        <w:ind w:left="0"/>
        <w:jc w:val="left"/>
      </w:pPr>
      <w:hyperlink w:anchor="nav_table_Table_3_7" w:history="1">
        <w:r>
          <w:rPr>
            <w:noProof/>
          </w:rPr>
          <w:t xml:space="preserve">Table 3.7  Held-out evaluation structure and episode counts</w:t>
        </w:r>
      </w:hyperlink>
      <w:r>
        <w:tab/>
        <w:t>25</w:t>
      </w:r>
    </w:p>
    <w:p>
      <w:pPr>
        <w:keepLines/>
        <w:tabs>
          <w:tab w:pos="8784" w:val="right" w:leader="dot"/>
        </w:tabs>
        <w:spacing w:after="40" w:line="240" w:lineRule="auto"/>
        <w:ind w:left="0"/>
        <w:jc w:val="left"/>
      </w:pPr>
      <w:hyperlink w:anchor="nav_table_Table_3_8" w:history="1">
        <w:r>
          <w:rPr>
            <w:noProof/>
          </w:rPr>
          <w:t xml:space="preserve">Table 3.8  Telemetry conditions used in held-out evaluation</w:t>
        </w:r>
      </w:hyperlink>
      <w:r>
        <w:tab/>
        <w:t>25</w:t>
      </w:r>
    </w:p>
    <w:p>
      <w:pPr>
        <w:keepLines/>
        <w:tabs>
          <w:tab w:pos="8784" w:val="right" w:leader="dot"/>
        </w:tabs>
        <w:spacing w:after="40" w:line="240" w:lineRule="auto"/>
        <w:ind w:left="0"/>
        <w:jc w:val="left"/>
      </w:pPr>
      <w:hyperlink w:anchor="nav_table_Table_3_9" w:history="1">
        <w:r>
          <w:rPr>
            <w:noProof/>
          </w:rPr>
          <w:t xml:space="preserve">Table 3.9  Hypothesis map and analysis roles</w:t>
        </w:r>
      </w:hyperlink>
      <w:r>
        <w:tab/>
        <w:t>27</w:t>
      </w:r>
    </w:p>
    <w:p>
      <w:pPr>
        <w:keepLines/>
        <w:tabs>
          <w:tab w:pos="8784" w:val="right" w:leader="dot"/>
        </w:tabs>
        <w:spacing w:after="40" w:line="240" w:lineRule="auto"/>
        <w:ind w:left="0"/>
        <w:jc w:val="left"/>
      </w:pPr>
      <w:hyperlink w:anchor="nav_table_Table_3_10" w:history="1">
        <w:r>
          <w:rPr>
            <w:noProof/>
          </w:rPr>
          <w:t xml:space="preserve">Table 3.10  Implementation components and design rationale</w:t>
        </w:r>
      </w:hyperlink>
      <w:r>
        <w:tab/>
        <w:t>30</w:t>
      </w:r>
    </w:p>
    <w:p>
      <w:pPr>
        <w:keepLines/>
        <w:tabs>
          <w:tab w:pos="8784" w:val="right" w:leader="dot"/>
        </w:tabs>
        <w:spacing w:after="40" w:line="240" w:lineRule="auto"/>
        <w:ind w:left="0"/>
        <w:jc w:val="left"/>
      </w:pPr>
      <w:hyperlink w:anchor="nav_table_Table_4_1" w:history="1">
        <w:r>
          <w:rPr>
            <w:noProof/>
          </w:rPr>
          <w:t xml:space="preserve">Table 4.1  Policy capability on held-out demand</w:t>
        </w:r>
      </w:hyperlink>
      <w:r>
        <w:tab/>
        <w:t>33</w:t>
      </w:r>
    </w:p>
    <w:p>
      <w:pPr>
        <w:keepLines/>
        <w:tabs>
          <w:tab w:pos="8784" w:val="right" w:leader="dot"/>
        </w:tabs>
        <w:spacing w:after="40" w:line="240" w:lineRule="auto"/>
        <w:ind w:left="0"/>
        <w:jc w:val="left"/>
      </w:pPr>
      <w:hyperlink w:anchor="nav_table_Table_4_2" w:history="1">
        <w:r>
          <w:rPr>
            <w:noProof/>
          </w:rPr>
          <w:t xml:space="preserve">Table 4.2  Protocol correction and numeric-precision audit</w:t>
        </w:r>
      </w:hyperlink>
      <w:r>
        <w:tab/>
        <w:t>34</w:t>
      </w:r>
    </w:p>
    <w:p>
      <w:pPr>
        <w:keepLines/>
        <w:tabs>
          <w:tab w:pos="8784" w:val="right" w:leader="dot"/>
        </w:tabs>
        <w:spacing w:after="40" w:line="240" w:lineRule="auto"/>
        <w:ind w:left="0"/>
        <w:jc w:val="left"/>
      </w:pPr>
      <w:hyperlink w:anchor="nav_table_Table_4_3" w:history="1">
        <w:r>
          <w:rPr>
            <w:noProof/>
          </w:rPr>
          <w:t xml:space="preserve">Table 4.3  Decision-relevance controls under clean and degraded telemetry</w:t>
        </w:r>
      </w:hyperlink>
      <w:r>
        <w:tab/>
        <w:t>34</w:t>
      </w:r>
    </w:p>
    <w:p>
      <w:pPr>
        <w:keepLines/>
        <w:tabs>
          <w:tab w:pos="8784" w:val="right" w:leader="dot"/>
        </w:tabs>
        <w:spacing w:after="40" w:line="240" w:lineRule="auto"/>
        <w:ind w:left="0"/>
        <w:jc w:val="left"/>
      </w:pPr>
      <w:hyperlink w:anchor="nav_table_Table_4_4" w:history="1">
        <w:r>
          <w:rPr>
            <w:noProof/>
          </w:rPr>
          <w:t xml:space="preserve">Table 4.4  Valid node-count distribution in scored graphs</w:t>
        </w:r>
      </w:hyperlink>
      <w:r>
        <w:tab/>
        <w:t>37</w:t>
      </w:r>
    </w:p>
    <w:p>
      <w:pPr>
        <w:keepLines/>
        <w:tabs>
          <w:tab w:pos="8784" w:val="right" w:leader="dot"/>
        </w:tabs>
        <w:spacing w:after="40" w:line="240" w:lineRule="auto"/>
        <w:ind w:left="0"/>
        <w:jc w:val="left"/>
      </w:pPr>
      <w:hyperlink w:anchor="nav_table_Table_4_5" w:history="1">
        <w:r>
          <w:rPr>
            <w:noProof/>
          </w:rPr>
          <w:t xml:space="preserve">Table 4.5  Exposure-conditioned paired attention and DEF shifts</w:t>
        </w:r>
      </w:hyperlink>
      <w:r>
        <w:tab/>
        <w:t>40</w:t>
      </w:r>
    </w:p>
    <w:p>
      <w:pPr>
        <w:keepLines/>
        <w:tabs>
          <w:tab w:pos="8784" w:val="right" w:leader="dot"/>
        </w:tabs>
        <w:spacing w:after="40" w:line="240" w:lineRule="auto"/>
        <w:ind w:left="0"/>
        <w:jc w:val="left"/>
      </w:pPr>
      <w:hyperlink w:anchor="nav_table_Table_4_6" w:history="1">
        <w:r>
          <w:rPr>
            <w:noProof/>
          </w:rPr>
          <w:t xml:space="preserve">Table 4.6  Action composition and paired DEF by action type</w:t>
        </w:r>
      </w:hyperlink>
      <w:r>
        <w:tab/>
        <w:t>41</w:t>
      </w:r>
    </w:p>
    <w:p>
      <w:pPr>
        <w:keepLines/>
        <w:tabs>
          <w:tab w:pos="8784" w:val="right" w:leader="dot"/>
        </w:tabs>
        <w:spacing w:after="40" w:line="240" w:lineRule="auto"/>
        <w:ind w:left="0"/>
        <w:jc w:val="left"/>
      </w:pPr>
      <w:hyperlink w:anchor="nav_table_Table_4_7" w:history="1">
        <w:r>
          <w:rPr>
            <w:noProof/>
          </w:rPr>
          <w:t xml:space="preserve">Table 4.7  Tunnel and random-trigger sensitivity summary</w:t>
        </w:r>
      </w:hyperlink>
      <w:r>
        <w:tab/>
        <w:t>42</w:t>
      </w:r>
    </w:p>
    <w:p>
      <w:pPr>
        <w:keepLines/>
        <w:tabs>
          <w:tab w:pos="8784" w:val="right" w:leader="dot"/>
        </w:tabs>
        <w:spacing w:after="40" w:line="240" w:lineRule="auto"/>
        <w:ind w:left="0"/>
        <w:jc w:val="left"/>
      </w:pPr>
      <w:hyperlink w:anchor="nav_table_Table_4_8" w:history="1">
        <w:r>
          <w:rPr>
            <w:noProof/>
          </w:rPr>
          <w:t xml:space="preserve">Table 4.8  Hypothesis outcomes across training seeds</w:t>
        </w:r>
      </w:hyperlink>
      <w:r>
        <w:tab/>
        <w:t>43</w:t>
      </w:r>
    </w:p>
    <w:p>
      <w:pPr>
        <w:keepLines/>
        <w:tabs>
          <w:tab w:pos="8784" w:val="right" w:leader="dot"/>
        </w:tabs>
        <w:spacing w:after="40" w:line="240" w:lineRule="auto"/>
        <w:ind w:left="0"/>
        <w:jc w:val="left"/>
      </w:pPr>
      <w:hyperlink w:anchor="nav_table_Table_4_9" w:history="1">
        <w:r>
          <w:rPr>
            <w:noProof/>
          </w:rPr>
          <w:t xml:space="preserve">Table 4.9  Freshness-aware explanation audit decisions</w:t>
        </w:r>
      </w:hyperlink>
      <w:r>
        <w:tab/>
        <w:t>44</w:t>
      </w:r>
    </w:p>
    <w:p>
      <w:pPr>
        <w:keepLines/>
        <w:tabs>
          <w:tab w:pos="8784" w:val="right" w:leader="dot"/>
        </w:tabs>
        <w:spacing w:after="40" w:line="240" w:lineRule="auto"/>
        <w:ind w:left="0"/>
        <w:jc w:val="left"/>
      </w:pPr>
      <w:hyperlink w:anchor="nav_table_Table_4_10" w:history="1">
        <w:r>
          <w:rPr>
            <w:noProof/>
          </w:rPr>
          <w:t xml:space="preserve">Table 4.10  Exploratory no-op margin-DEF by checkpoint and condition</w:t>
        </w:r>
      </w:hyperlink>
      <w:r>
        <w:tab/>
        <w:t>45</w:t>
      </w:r>
    </w:p>
    <w:p>
      <w:pPr>
        <w:keepLines/>
        <w:tabs>
          <w:tab w:pos="8784" w:val="right" w:leader="dot"/>
        </w:tabs>
        <w:spacing w:after="40" w:line="240" w:lineRule="auto"/>
        <w:ind w:left="0"/>
        <w:jc w:val="left"/>
      </w:pPr>
      <w:hyperlink w:anchor="nav_table_Table_5_1" w:history="1">
        <w:r>
          <w:rPr>
            <w:noProof/>
          </w:rPr>
          <w:t xml:space="preserve">Table 5.1  Freshness-aware explanation audit framework</w:t>
        </w:r>
      </w:hyperlink>
      <w:r>
        <w:tab/>
        <w:t>49</w:t>
      </w:r>
    </w:p>
    <w:p>
      <w:pPr>
        <w:keepLines/>
        <w:tabs>
          <w:tab w:pos="8784" w:val="right" w:leader="dot"/>
        </w:tabs>
        <w:spacing w:after="40" w:line="240" w:lineRule="auto"/>
        <w:ind w:left="0"/>
        <w:jc w:val="left"/>
      </w:pPr>
      <w:hyperlink w:anchor="nav_table_Table_5_2" w:history="1">
        <w:r>
          <w:rPr>
            <w:noProof/>
          </w:rPr>
          <w:t xml:space="preserve">Table 5.2  Audit framework inputs and outputs</w:t>
        </w:r>
      </w:hyperlink>
      <w:r>
        <w:tab/>
        <w:t>50</w:t>
      </w:r>
    </w:p>
    <w:p>
      <w:pPr>
        <w:keepLines/>
        <w:tabs>
          <w:tab w:pos="8784" w:val="right" w:leader="dot"/>
        </w:tabs>
        <w:spacing w:after="40" w:line="240" w:lineRule="auto"/>
        <w:ind w:left="0"/>
        <w:jc w:val="left"/>
      </w:pPr>
      <w:hyperlink w:anchor="nav_table_Table_C_1" w:history="1">
        <w:r>
          <w:rPr>
            <w:noProof/>
          </w:rPr>
          <w:t xml:space="preserve">Table C.1  Original per-checkpoint hypothesis statistics</w:t>
        </w:r>
      </w:hyperlink>
      <w:r>
        <w:tab/>
        <w:t>64</w:t>
      </w:r>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attention-weighted vehicle-information age. Further checks cover leave-one-out rankings, attention extraction, action type, and random telemetry-loss triggers.</w:t>
      </w:r>
    </w:p>
    <w:p>
      <w:pPr>
        <w:widowControl/>
      </w:pPr>
      <w:r>
        <w:t>The results do not validate the tested layer- and head-averaged self-row attention channel as a reliable explanation. Under clean telemetry, dispatch-action margin-DEF is below its matched-random control, while a leave-one-out positive control is above zero. Longer outages consistently increase stale-data exposure, but they do not produce the proposed decline in faithfulness. Attention shows a clear shift toward stale nodes in three checkpoints, a clear shift away in two, and no clear shift in one, while paired probability DEF increases slightly in all six. No-op and dispatch decisions move in opposite DEF directions, and alternative attention heads or layers can reverse the stale-attention result. Therefore, the tested weights do not provide stable evidence of decision relevance.</w:t>
      </w:r>
    </w:p>
    <w:p>
      <w:pPr>
        <w:widowControl/>
      </w:pPr>
      <w:r>
        <w:t>The dissertation develops and applies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Applied to the collected evidence, the framework returns WITHHOLD for both model families and all six checkpoints, restricting the tested attention channel to diagnostic use.</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16" w:name="nav_front_toc"/>
      <w:r>
        <w:rPr>
          <w:rFonts w:ascii="Times New Roman" w:hAnsi="Times New Roman"/>
          <w:b/>
          <w:sz w:val="28"/>
        </w:rPr>
        <w:t>TABLE OF CONTENTS</w:t>
      </w:r>
      <w:bookmarkEnd w:id="116"/>
    </w:p>
    <w:p>
      <w:pPr>
        <w:keepLines/>
        <w:tabs>
          <w:tab w:pos="8784" w:val="right" w:leader="dot"/>
        </w:tabs>
        <w:spacing w:after="40" w:line="240" w:lineRule="auto"/>
        <w:ind w:left="0"/>
        <w:jc w:val="left"/>
      </w:pPr>
      <w:hyperlink w:anchor="nav_heading_Chapter_1_Introduction" w:history="1">
        <w:r>
          <w:rPr>
            <w:noProof/>
          </w:rPr>
          <w:t xml:space="preserve">Chapter 1: Introduction</w:t>
        </w:r>
      </w:hyperlink>
      <w:r>
        <w:tab/>
        <w:t>1</w:t>
      </w:r>
    </w:p>
    <w:p>
      <w:pPr>
        <w:keepLines/>
        <w:tabs>
          <w:tab w:pos="8784" w:val="right" w:leader="dot"/>
        </w:tabs>
        <w:spacing w:after="40" w:line="240" w:lineRule="auto"/>
        <w:ind w:left="360"/>
        <w:jc w:val="left"/>
      </w:pPr>
      <w:hyperlink w:anchor="nav_heading_1_1_Context" w:history="1">
        <w:r>
          <w:rPr>
            <w:noProof/>
          </w:rPr>
          <w:t xml:space="preserve">1.1 Context</w:t>
        </w:r>
      </w:hyperlink>
      <w:r>
        <w:tab/>
        <w:t>1</w:t>
      </w:r>
    </w:p>
    <w:p>
      <w:pPr>
        <w:keepLines/>
        <w:tabs>
          <w:tab w:pos="8784" w:val="right" w:leader="dot"/>
        </w:tabs>
        <w:spacing w:after="40" w:line="240" w:lineRule="auto"/>
        <w:ind w:left="360"/>
        <w:jc w:val="left"/>
      </w:pPr>
      <w:hyperlink w:anchor="nav_heading_1_2_Problem_statement" w:history="1">
        <w:r>
          <w:rPr>
            <w:noProof/>
          </w:rPr>
          <w:t xml:space="preserve">1.2 Problem statement</w:t>
        </w:r>
      </w:hyperlink>
      <w:r>
        <w:tab/>
        <w:t>1</w:t>
      </w:r>
    </w:p>
    <w:p>
      <w:pPr>
        <w:keepLines/>
        <w:tabs>
          <w:tab w:pos="8784" w:val="right" w:leader="dot"/>
        </w:tabs>
        <w:spacing w:after="40" w:line="240" w:lineRule="auto"/>
        <w:ind w:left="360"/>
        <w:jc w:val="left"/>
      </w:pPr>
      <w:hyperlink w:anchor="nav_heading_1_3_Research_questions" w:history="1">
        <w:r>
          <w:rPr>
            <w:noProof/>
          </w:rPr>
          <w:t xml:space="preserve">1.3 Research questions</w:t>
        </w:r>
      </w:hyperlink>
      <w:r>
        <w:tab/>
        <w:t>1</w:t>
      </w:r>
    </w:p>
    <w:p>
      <w:pPr>
        <w:keepLines/>
        <w:tabs>
          <w:tab w:pos="8784" w:val="right" w:leader="dot"/>
        </w:tabs>
        <w:spacing w:after="40" w:line="240" w:lineRule="auto"/>
        <w:ind w:left="360"/>
        <w:jc w:val="left"/>
      </w:pPr>
      <w:hyperlink w:anchor="nav_heading_1_4_Objectives" w:history="1">
        <w:r>
          <w:rPr>
            <w:noProof/>
          </w:rPr>
          <w:t xml:space="preserve">1.4 Objectives</w:t>
        </w:r>
      </w:hyperlink>
      <w:r>
        <w:tab/>
        <w:t>2</w:t>
      </w:r>
    </w:p>
    <w:p>
      <w:pPr>
        <w:keepLines/>
        <w:tabs>
          <w:tab w:pos="8784" w:val="right" w:leader="dot"/>
        </w:tabs>
        <w:spacing w:after="40" w:line="240" w:lineRule="auto"/>
        <w:ind w:left="360"/>
        <w:jc w:val="left"/>
      </w:pPr>
      <w:hyperlink w:anchor="nav_heading_1_5_Main_findings" w:history="1">
        <w:r>
          <w:rPr>
            <w:noProof/>
          </w:rPr>
          <w:t xml:space="preserve">1.5 Main findings</w:t>
        </w:r>
      </w:hyperlink>
      <w:r>
        <w:tab/>
        <w:t>2</w:t>
      </w:r>
    </w:p>
    <w:p>
      <w:pPr>
        <w:keepLines/>
        <w:tabs>
          <w:tab w:pos="8784" w:val="right" w:leader="dot"/>
        </w:tabs>
        <w:spacing w:after="40" w:line="240" w:lineRule="auto"/>
        <w:ind w:left="360"/>
        <w:jc w:val="left"/>
      </w:pPr>
      <w:hyperlink w:anchor="nav_heading_1_6_Contributions" w:history="1">
        <w:r>
          <w:rPr>
            <w:noProof/>
          </w:rPr>
          <w:t xml:space="preserve">1.6 Contributions</w:t>
        </w:r>
      </w:hyperlink>
      <w:r>
        <w:tab/>
        <w:t>3</w:t>
      </w:r>
    </w:p>
    <w:p>
      <w:pPr>
        <w:keepLines/>
        <w:tabs>
          <w:tab w:pos="8784" w:val="right" w:leader="dot"/>
        </w:tabs>
        <w:spacing w:after="40" w:line="240" w:lineRule="auto"/>
        <w:ind w:left="360"/>
        <w:jc w:val="left"/>
      </w:pPr>
      <w:hyperlink w:anchor="nav_heading_1_7_Dissertation_structure" w:history="1">
        <w:r>
          <w:rPr>
            <w:noProof/>
          </w:rPr>
          <w:t xml:space="preserve">1.7 Dissertation structure</w:t>
        </w:r>
      </w:hyperlink>
      <w:r>
        <w:tab/>
        <w:t>4</w:t>
      </w:r>
    </w:p>
    <w:p>
      <w:pPr>
        <w:keepLines/>
        <w:tabs>
          <w:tab w:pos="8784" w:val="right" w:leader="dot"/>
        </w:tabs>
        <w:spacing w:after="40" w:line="240" w:lineRule="auto"/>
        <w:ind w:left="0"/>
        <w:jc w:val="left"/>
      </w:pPr>
      <w:hyperlink w:anchor="nav_heading_Chapter_2_Literature_Review" w:history="1">
        <w:r>
          <w:rPr>
            <w:noProof/>
          </w:rPr>
          <w:t xml:space="preserve">Chapter 2: Literature Review</w:t>
        </w:r>
      </w:hyperlink>
      <w:r>
        <w:tab/>
        <w:t>5</w:t>
      </w:r>
    </w:p>
    <w:p>
      <w:pPr>
        <w:keepLines/>
        <w:tabs>
          <w:tab w:pos="8784" w:val="right" w:leader="dot"/>
        </w:tabs>
        <w:spacing w:after="40" w:line="240" w:lineRule="auto"/>
        <w:ind w:left="360"/>
        <w:jc w:val="left"/>
      </w:pPr>
      <w:hyperlink w:anchor="nav_heading_2_1_Reinforcement_learning_f" w:history="1">
        <w:r>
          <w:rPr>
            <w:noProof/>
          </w:rPr>
          <w:t xml:space="preserve">2.1 Reinforcement learning for fleet dispatch</w:t>
        </w:r>
      </w:hyperlink>
      <w:r>
        <w:tab/>
        <w:t>5</w:t>
      </w:r>
    </w:p>
    <w:p>
      <w:pPr>
        <w:keepLines/>
        <w:tabs>
          <w:tab w:pos="8784" w:val="right" w:leader="dot"/>
        </w:tabs>
        <w:spacing w:after="40" w:line="240" w:lineRule="auto"/>
        <w:ind w:left="360"/>
        <w:jc w:val="left"/>
      </w:pPr>
      <w:hyperlink w:anchor="nav_heading_2_2_Explainability_in_reinfo" w:history="1">
        <w:r>
          <w:rPr>
            <w:noProof/>
          </w:rPr>
          <w:t xml:space="preserve">2.2 Explainability in reinforcement learning</w:t>
        </w:r>
      </w:hyperlink>
      <w:r>
        <w:tab/>
        <w:t>5</w:t>
      </w:r>
    </w:p>
    <w:p>
      <w:pPr>
        <w:keepLines/>
        <w:tabs>
          <w:tab w:pos="8784" w:val="right" w:leader="dot"/>
        </w:tabs>
        <w:spacing w:after="40" w:line="240" w:lineRule="auto"/>
        <w:ind w:left="360"/>
        <w:jc w:val="left"/>
      </w:pPr>
      <w:hyperlink w:anchor="nav_heading_2_3_Is_attention_an_explanat" w:history="1">
        <w:r>
          <w:rPr>
            <w:noProof/>
          </w:rPr>
          <w:t xml:space="preserve">2.3 Is attention an explanation?</w:t>
        </w:r>
      </w:hyperlink>
      <w:r>
        <w:tab/>
        <w:t>6</w:t>
      </w:r>
    </w:p>
    <w:p>
      <w:pPr>
        <w:keepLines/>
        <w:tabs>
          <w:tab w:pos="8784" w:val="right" w:leader="dot"/>
        </w:tabs>
        <w:spacing w:after="40" w:line="240" w:lineRule="auto"/>
        <w:ind w:left="360"/>
        <w:jc w:val="left"/>
      </w:pPr>
      <w:hyperlink w:anchor="nav_heading_2_4_Explaining_graph_neural_" w:history="1">
        <w:r>
          <w:rPr>
            <w:noProof/>
          </w:rPr>
          <w:t xml:space="preserve">2.4 Explaining graph neural networks</w:t>
        </w:r>
      </w:hyperlink>
      <w:r>
        <w:tab/>
        <w:t>7</w:t>
      </w:r>
    </w:p>
    <w:p>
      <w:pPr>
        <w:keepLines/>
        <w:tabs>
          <w:tab w:pos="8784" w:val="right" w:leader="dot"/>
        </w:tabs>
        <w:spacing w:after="40" w:line="240" w:lineRule="auto"/>
        <w:ind w:left="360"/>
        <w:jc w:val="left"/>
      </w:pPr>
      <w:hyperlink w:anchor="nav_heading_2_5_Evaluating_faithfulness_" w:history="1">
        <w:r>
          <w:rPr>
            <w:noProof/>
          </w:rPr>
          <w:t xml:space="preserve">2.5 Evaluating faithfulness: methods and pitfalls</w:t>
        </w:r>
      </w:hyperlink>
      <w:r>
        <w:tab/>
        <w:t>8</w:t>
      </w:r>
    </w:p>
    <w:p>
      <w:pPr>
        <w:keepLines/>
        <w:tabs>
          <w:tab w:pos="8784" w:val="right" w:leader="dot"/>
        </w:tabs>
        <w:spacing w:after="40" w:line="240" w:lineRule="auto"/>
        <w:ind w:left="360"/>
        <w:jc w:val="left"/>
      </w:pPr>
      <w:hyperlink w:anchor="nav_heading_2_6_Age_of_Information_and_t" w:history="1">
        <w:r>
          <w:rPr>
            <w:noProof/>
          </w:rPr>
          <w:t xml:space="preserve">2.6 Age of Information and telemetry degradation</w:t>
        </w:r>
      </w:hyperlink>
      <w:r>
        <w:tab/>
        <w:t>9</w:t>
      </w:r>
    </w:p>
    <w:p>
      <w:pPr>
        <w:keepLines/>
        <w:tabs>
          <w:tab w:pos="8784" w:val="right" w:leader="dot"/>
        </w:tabs>
        <w:spacing w:after="40" w:line="240" w:lineRule="auto"/>
        <w:ind w:left="360"/>
        <w:jc w:val="left"/>
      </w:pPr>
      <w:hyperlink w:anchor="nav_heading_2_7_Deciding_when_an_explana" w:history="1">
        <w:r>
          <w:rPr>
            <w:noProof/>
          </w:rPr>
          <w:t xml:space="preserve">2.7 Deciding when an explanation can be shown</w:t>
        </w:r>
      </w:hyperlink>
      <w:r>
        <w:tab/>
        <w:t>10</w:t>
      </w:r>
    </w:p>
    <w:p>
      <w:pPr>
        <w:keepLines/>
        <w:tabs>
          <w:tab w:pos="8784" w:val="right" w:leader="dot"/>
        </w:tabs>
        <w:spacing w:after="40" w:line="240" w:lineRule="auto"/>
        <w:ind w:left="360"/>
        <w:jc w:val="left"/>
      </w:pPr>
      <w:hyperlink w:anchor="nav_heading_2_8_Research_gap" w:history="1">
        <w:r>
          <w:rPr>
            <w:noProof/>
          </w:rPr>
          <w:t xml:space="preserve">2.8 Research gap</w:t>
        </w:r>
      </w:hyperlink>
      <w:r>
        <w:tab/>
        <w:t>10</w:t>
      </w:r>
    </w:p>
    <w:p>
      <w:pPr>
        <w:keepLines/>
        <w:tabs>
          <w:tab w:pos="8784" w:val="right" w:leader="dot"/>
        </w:tabs>
        <w:spacing w:after="40" w:line="240" w:lineRule="auto"/>
        <w:ind w:left="0"/>
        <w:jc w:val="left"/>
      </w:pPr>
      <w:hyperlink w:anchor="nav_heading_Chapter_3_Methodology" w:history="1">
        <w:r>
          <w:rPr>
            <w:noProof/>
          </w:rPr>
          <w:t xml:space="preserve">Chapter 3: Methodology</w:t>
        </w:r>
      </w:hyperlink>
      <w:r>
        <w:tab/>
        <w:t>13</w:t>
      </w:r>
    </w:p>
    <w:p>
      <w:pPr>
        <w:keepLines/>
        <w:tabs>
          <w:tab w:pos="8784" w:val="right" w:leader="dot"/>
        </w:tabs>
        <w:spacing w:after="40" w:line="240" w:lineRule="auto"/>
        <w:ind w:left="360"/>
        <w:jc w:val="left"/>
      </w:pPr>
      <w:hyperlink w:anchor="nav_heading_3_1_Study_design_and_propose" w:history="1">
        <w:r>
          <w:rPr>
            <w:noProof/>
          </w:rPr>
          <w:t xml:space="preserve">3.1 Study design and proposed approach</w:t>
        </w:r>
      </w:hyperlink>
      <w:r>
        <w:tab/>
        <w:t>13</w:t>
      </w:r>
    </w:p>
    <w:p>
      <w:pPr>
        <w:keepLines/>
        <w:tabs>
          <w:tab w:pos="8784" w:val="right" w:leader="dot"/>
        </w:tabs>
        <w:spacing w:after="40" w:line="240" w:lineRule="auto"/>
        <w:ind w:left="360"/>
        <w:jc w:val="left"/>
      </w:pPr>
      <w:hyperlink w:anchor="nav_heading_3_2_Dataset_selection_and_ex" w:history="1">
        <w:r>
          <w:rPr>
            <w:noProof/>
          </w:rPr>
          <w:t xml:space="preserve">3.2 Dataset selection and exploratory data analysis</w:t>
        </w:r>
      </w:hyperlink>
      <w:r>
        <w:tab/>
        <w:t>13</w:t>
      </w:r>
    </w:p>
    <w:p>
      <w:pPr>
        <w:keepLines/>
        <w:tabs>
          <w:tab w:pos="8784" w:val="right" w:leader="dot"/>
        </w:tabs>
        <w:spacing w:after="40" w:line="240" w:lineRule="auto"/>
        <w:ind w:left="360"/>
        <w:jc w:val="left"/>
      </w:pPr>
      <w:hyperlink w:anchor="nav_heading_3_2_1_Data_generation_and_se" w:history="1">
        <w:r>
          <w:rPr>
            <w:noProof/>
          </w:rPr>
          <w:t xml:space="preserve">3.2.1 Data generation and selection rationale</w:t>
        </w:r>
      </w:hyperlink>
      <w:r>
        <w:tab/>
        <w:t>14</w:t>
      </w:r>
    </w:p>
    <w:p>
      <w:pPr>
        <w:keepLines/>
        <w:tabs>
          <w:tab w:pos="8784" w:val="right" w:leader="dot"/>
        </w:tabs>
        <w:spacing w:after="40" w:line="240" w:lineRule="auto"/>
        <w:ind w:left="360"/>
        <w:jc w:val="left"/>
      </w:pPr>
      <w:hyperlink w:anchor="nav_heading_3_2_2_Spatial_and_temporal_e" w:history="1">
        <w:r>
          <w:rPr>
            <w:noProof/>
          </w:rPr>
          <w:t xml:space="preserve">3.2.2 Spatial and temporal exploration</w:t>
        </w:r>
      </w:hyperlink>
      <w:r>
        <w:tab/>
        <w:t>14</w:t>
      </w:r>
    </w:p>
    <w:p>
      <w:pPr>
        <w:keepLines/>
        <w:tabs>
          <w:tab w:pos="8784" w:val="right" w:leader="dot"/>
        </w:tabs>
        <w:spacing w:after="40" w:line="240" w:lineRule="auto"/>
        <w:ind w:left="360"/>
        <w:jc w:val="left"/>
      </w:pPr>
      <w:hyperlink w:anchor="nav_heading_3_2_3_Policy_conditioned_obs" w:history="1">
        <w:r>
          <w:rPr>
            <w:noProof/>
          </w:rPr>
          <w:t xml:space="preserve">3.2.3 Policy-conditioned observations and exposure</w:t>
        </w:r>
      </w:hyperlink>
      <w:r>
        <w:tab/>
        <w:t>16</w:t>
      </w:r>
    </w:p>
    <w:p>
      <w:pPr>
        <w:keepLines/>
        <w:tabs>
          <w:tab w:pos="8784" w:val="right" w:leader="dot"/>
        </w:tabs>
        <w:spacing w:after="40" w:line="240" w:lineRule="auto"/>
        <w:ind w:left="360"/>
        <w:jc w:val="left"/>
      </w:pPr>
      <w:hyperlink w:anchor="nav_heading_3_3_Observation_graph_and_ac" w:history="1">
        <w:r>
          <w:rPr>
            <w:noProof/>
          </w:rPr>
          <w:t xml:space="preserve">3.3 Observation graph and action space</w:t>
        </w:r>
      </w:hyperlink>
      <w:r>
        <w:tab/>
        <w:t>16</w:t>
      </w:r>
    </w:p>
    <w:p>
      <w:pPr>
        <w:keepLines/>
        <w:tabs>
          <w:tab w:pos="8784" w:val="right" w:leader="dot"/>
        </w:tabs>
        <w:spacing w:after="40" w:line="240" w:lineRule="auto"/>
        <w:ind w:left="360"/>
        <w:jc w:val="left"/>
      </w:pPr>
      <w:hyperlink w:anchor="nav_heading_3_4_Policy_models_and_traini" w:history="1">
        <w:r>
          <w:rPr>
            <w:noProof/>
          </w:rPr>
          <w:t xml:space="preserve">3.4 Policy models and training</w:t>
        </w:r>
      </w:hyperlink>
      <w:r>
        <w:tab/>
        <w:t>17</w:t>
      </w:r>
    </w:p>
    <w:p>
      <w:pPr>
        <w:keepLines/>
        <w:tabs>
          <w:tab w:pos="8784" w:val="right" w:leader="dot"/>
        </w:tabs>
        <w:spacing w:after="40" w:line="240" w:lineRule="auto"/>
        <w:ind w:left="360"/>
        <w:jc w:val="left"/>
      </w:pPr>
      <w:hyperlink w:anchor="nav_heading_3_5_Telemetry_degradation" w:history="1">
        <w:r>
          <w:rPr>
            <w:noProof/>
          </w:rPr>
          <w:t xml:space="preserve">3.5 Telemetry degradation</w:t>
        </w:r>
      </w:hyperlink>
      <w:r>
        <w:tab/>
        <w:t>21</w:t>
      </w:r>
    </w:p>
    <w:p>
      <w:pPr>
        <w:keepLines/>
        <w:tabs>
          <w:tab w:pos="8784" w:val="right" w:leader="dot"/>
        </w:tabs>
        <w:spacing w:after="40" w:line="240" w:lineRule="auto"/>
        <w:ind w:left="360"/>
        <w:jc w:val="left"/>
      </w:pPr>
      <w:hyperlink w:anchor="nav_heading_3_6_Explanation_measures" w:history="1">
        <w:r>
          <w:rPr>
            <w:noProof/>
          </w:rPr>
          <w:t xml:space="preserve">3.6 Explanation measures</w:t>
        </w:r>
      </w:hyperlink>
      <w:r>
        <w:tab/>
        <w:t>22</w:t>
      </w:r>
    </w:p>
    <w:p>
      <w:pPr>
        <w:keepLines/>
        <w:tabs>
          <w:tab w:pos="8784" w:val="right" w:leader="dot"/>
        </w:tabs>
        <w:spacing w:after="40" w:line="240" w:lineRule="auto"/>
        <w:ind w:left="360"/>
        <w:jc w:val="left"/>
      </w:pPr>
      <w:hyperlink w:anchor="nav_heading_3_6_1_Decision_level_explana" w:history="1">
        <w:r>
          <w:rPr>
            <w:noProof/>
          </w:rPr>
          <w:t xml:space="preserve">3.6.1 Decision-level explanation faithfulness</w:t>
        </w:r>
      </w:hyperlink>
      <w:r>
        <w:tab/>
        <w:t>22</w:t>
      </w:r>
    </w:p>
    <w:p>
      <w:pPr>
        <w:keepLines/>
        <w:tabs>
          <w:tab w:pos="8784" w:val="right" w:leader="dot"/>
        </w:tabs>
        <w:spacing w:after="40" w:line="240" w:lineRule="auto"/>
        <w:ind w:left="360"/>
        <w:jc w:val="left"/>
      </w:pPr>
      <w:hyperlink w:anchor="nav_heading_3_6_2_Stale_node_attention" w:history="1">
        <w:r>
          <w:rPr>
            <w:noProof/>
          </w:rPr>
          <w:t xml:space="preserve">3.6.2 Stale-node attention</w:t>
        </w:r>
      </w:hyperlink>
      <w:r>
        <w:tab/>
        <w:t>23</w:t>
      </w:r>
    </w:p>
    <w:p>
      <w:pPr>
        <w:keepLines/>
        <w:tabs>
          <w:tab w:pos="8784" w:val="right" w:leader="dot"/>
        </w:tabs>
        <w:spacing w:after="40" w:line="240" w:lineRule="auto"/>
        <w:ind w:left="360"/>
        <w:jc w:val="left"/>
      </w:pPr>
      <w:hyperlink w:anchor="nav_heading_3_7_Construct_validity_audit" w:history="1">
        <w:r>
          <w:rPr>
            <w:noProof/>
          </w:rPr>
          <w:t xml:space="preserve">3.7 Construct-validity audit</w:t>
        </w:r>
      </w:hyperlink>
      <w:r>
        <w:tab/>
        <w:t>24</w:t>
      </w:r>
    </w:p>
    <w:p>
      <w:pPr>
        <w:keepLines/>
        <w:tabs>
          <w:tab w:pos="8784" w:val="right" w:leader="dot"/>
        </w:tabs>
        <w:spacing w:after="40" w:line="240" w:lineRule="auto"/>
        <w:ind w:left="360"/>
        <w:jc w:val="left"/>
      </w:pPr>
      <w:hyperlink w:anchor="nav_heading_3_8_Evaluation_design" w:history="1">
        <w:r>
          <w:rPr>
            <w:noProof/>
          </w:rPr>
          <w:t xml:space="preserve">3.8 Evaluation design</w:t>
        </w:r>
      </w:hyperlink>
      <w:r>
        <w:tab/>
        <w:t>25</w:t>
      </w:r>
    </w:p>
    <w:p>
      <w:pPr>
        <w:keepLines/>
        <w:tabs>
          <w:tab w:pos="8784" w:val="right" w:leader="dot"/>
        </w:tabs>
        <w:spacing w:after="40" w:line="240" w:lineRule="auto"/>
        <w:ind w:left="360"/>
        <w:jc w:val="left"/>
      </w:pPr>
      <w:hyperlink w:anchor="nav_heading_3_8_1_Primary_evaluation" w:history="1">
        <w:r>
          <w:rPr>
            <w:noProof/>
          </w:rPr>
          <w:t xml:space="preserve">3.8.1 Primary evaluation</w:t>
        </w:r>
      </w:hyperlink>
      <w:r>
        <w:tab/>
        <w:t>25</w:t>
      </w:r>
    </w:p>
    <w:p>
      <w:pPr>
        <w:keepLines/>
        <w:tabs>
          <w:tab w:pos="8784" w:val="right" w:leader="dot"/>
        </w:tabs>
        <w:spacing w:after="40" w:line="240" w:lineRule="auto"/>
        <w:ind w:left="360"/>
        <w:jc w:val="left"/>
      </w:pPr>
      <w:hyperlink w:anchor="nav_heading_3_8_2_Supporting_analyses" w:history="1">
        <w:r>
          <w:rPr>
            <w:noProof/>
          </w:rPr>
          <w:t xml:space="preserve">3.8.2 Supporting analyses</w:t>
        </w:r>
      </w:hyperlink>
      <w:r>
        <w:tab/>
        <w:t>26</w:t>
      </w:r>
    </w:p>
    <w:p>
      <w:pPr>
        <w:keepLines/>
        <w:tabs>
          <w:tab w:pos="8784" w:val="right" w:leader="dot"/>
        </w:tabs>
        <w:spacing w:after="40" w:line="240" w:lineRule="auto"/>
        <w:ind w:left="360"/>
        <w:jc w:val="left"/>
      </w:pPr>
      <w:hyperlink w:anchor="nav_heading_3_9_Hypotheses_and_statistic" w:history="1">
        <w:r>
          <w:rPr>
            <w:noProof/>
          </w:rPr>
          <w:t xml:space="preserve">3.9 Hypotheses and statistical analysis</w:t>
        </w:r>
      </w:hyperlink>
      <w:r>
        <w:tab/>
        <w:t>27</w:t>
      </w:r>
    </w:p>
    <w:p>
      <w:pPr>
        <w:keepLines/>
        <w:tabs>
          <w:tab w:pos="8784" w:val="right" w:leader="dot"/>
        </w:tabs>
        <w:spacing w:after="40" w:line="240" w:lineRule="auto"/>
        <w:ind w:left="360"/>
        <w:jc w:val="left"/>
      </w:pPr>
      <w:hyperlink w:anchor="nav_heading_3_9_1_Statistical_procedure" w:history="1">
        <w:r>
          <w:rPr>
            <w:noProof/>
          </w:rPr>
          <w:t xml:space="preserve">3.9.1 Statistical procedure</w:t>
        </w:r>
      </w:hyperlink>
      <w:r>
        <w:tab/>
        <w:t>27</w:t>
      </w:r>
    </w:p>
    <w:p>
      <w:pPr>
        <w:keepLines/>
        <w:tabs>
          <w:tab w:pos="8784" w:val="right" w:leader="dot"/>
        </w:tabs>
        <w:spacing w:after="40" w:line="240" w:lineRule="auto"/>
        <w:ind w:left="360"/>
        <w:jc w:val="left"/>
      </w:pPr>
      <w:hyperlink w:anchor="nav_heading_3_9_2_Interpretation_limits" w:history="1">
        <w:r>
          <w:rPr>
            <w:noProof/>
          </w:rPr>
          <w:t xml:space="preserve">3.9.2 Interpretation limits</w:t>
        </w:r>
      </w:hyperlink>
      <w:r>
        <w:tab/>
        <w:t>28</w:t>
      </w:r>
    </w:p>
    <w:p>
      <w:pPr>
        <w:keepLines/>
        <w:tabs>
          <w:tab w:pos="8784" w:val="right" w:leader="dot"/>
        </w:tabs>
        <w:spacing w:after="40" w:line="240" w:lineRule="auto"/>
        <w:ind w:left="360"/>
        <w:jc w:val="left"/>
      </w:pPr>
      <w:hyperlink w:anchor="nav_heading_3_10_Audit_decision_implemen" w:history="1">
        <w:r>
          <w:rPr>
            <w:noProof/>
          </w:rPr>
          <w:t xml:space="preserve">3.10 Audit decision implementation</w:t>
        </w:r>
      </w:hyperlink>
      <w:r>
        <w:tab/>
        <w:t>28</w:t>
      </w:r>
    </w:p>
    <w:p>
      <w:pPr>
        <w:keepLines/>
        <w:tabs>
          <w:tab w:pos="8784" w:val="right" w:leader="dot"/>
        </w:tabs>
        <w:spacing w:after="40" w:line="240" w:lineRule="auto"/>
        <w:ind w:left="360"/>
        <w:jc w:val="left"/>
      </w:pPr>
      <w:hyperlink w:anchor="nav_heading_3_11_Implementation_and_repr" w:history="1">
        <w:r>
          <w:rPr>
            <w:noProof/>
          </w:rPr>
          <w:t xml:space="preserve">3.11 Implementation and reproducibility</w:t>
        </w:r>
      </w:hyperlink>
      <w:r>
        <w:tab/>
        <w:t>29</w:t>
      </w:r>
    </w:p>
    <w:p>
      <w:pPr>
        <w:keepLines/>
        <w:tabs>
          <w:tab w:pos="8784" w:val="right" w:leader="dot"/>
        </w:tabs>
        <w:spacing w:after="40" w:line="240" w:lineRule="auto"/>
        <w:ind w:left="360"/>
        <w:jc w:val="left"/>
      </w:pPr>
      <w:hyperlink w:anchor="nav_heading_3_11_1_Software_environment_" w:history="1">
        <w:r>
          <w:rPr>
            <w:noProof/>
          </w:rPr>
          <w:t xml:space="preserve">3.11.1 Software environment and provenance</w:t>
        </w:r>
      </w:hyperlink>
      <w:r>
        <w:tab/>
        <w:t>29</w:t>
      </w:r>
    </w:p>
    <w:p>
      <w:pPr>
        <w:keepLines/>
        <w:tabs>
          <w:tab w:pos="8784" w:val="right" w:leader="dot"/>
        </w:tabs>
        <w:spacing w:after="40" w:line="240" w:lineRule="auto"/>
        <w:ind w:left="360"/>
        <w:jc w:val="left"/>
      </w:pPr>
      <w:hyperlink w:anchor="nav_heading_3_11_2_Component_interfaces_" w:history="1">
        <w:r>
          <w:rPr>
            <w:noProof/>
          </w:rPr>
          <w:t xml:space="preserve">3.11.2 Component interfaces and feature configuration</w:t>
        </w:r>
      </w:hyperlink>
      <w:r>
        <w:tab/>
        <w:t>30</w:t>
      </w:r>
    </w:p>
    <w:p>
      <w:pPr>
        <w:keepLines/>
        <w:tabs>
          <w:tab w:pos="8784" w:val="right" w:leader="dot"/>
        </w:tabs>
        <w:spacing w:after="40" w:line="240" w:lineRule="auto"/>
        <w:ind w:left="360"/>
        <w:jc w:val="left"/>
      </w:pPr>
      <w:hyperlink w:anchor="nav_heading_3_11_3_End_to_end_algorithm" w:history="1">
        <w:r>
          <w:rPr>
            <w:noProof/>
          </w:rPr>
          <w:t xml:space="preserve">3.11.3 End-to-end algorithm</w:t>
        </w:r>
      </w:hyperlink>
      <w:r>
        <w:tab/>
        <w:t>31</w:t>
      </w:r>
    </w:p>
    <w:p>
      <w:pPr>
        <w:keepLines/>
        <w:tabs>
          <w:tab w:pos="8784" w:val="right" w:leader="dot"/>
        </w:tabs>
        <w:spacing w:after="40" w:line="240" w:lineRule="auto"/>
        <w:ind w:left="360"/>
        <w:jc w:val="left"/>
      </w:pPr>
      <w:hyperlink w:anchor="nav_heading_3_12_Ethics_and_data_governa" w:history="1">
        <w:r>
          <w:rPr>
            <w:noProof/>
          </w:rPr>
          <w:t xml:space="preserve">3.12 Ethics and data governance</w:t>
        </w:r>
      </w:hyperlink>
      <w:r>
        <w:tab/>
        <w:t>31</w:t>
      </w:r>
    </w:p>
    <w:p>
      <w:pPr>
        <w:keepLines/>
        <w:tabs>
          <w:tab w:pos="8784" w:val="right" w:leader="dot"/>
        </w:tabs>
        <w:spacing w:after="40" w:line="240" w:lineRule="auto"/>
        <w:ind w:left="0"/>
        <w:jc w:val="left"/>
      </w:pPr>
      <w:hyperlink w:anchor="nav_heading_Chapter_4_Results" w:history="1">
        <w:r>
          <w:rPr>
            <w:noProof/>
          </w:rPr>
          <w:t xml:space="preserve">Chapter 4: Results</w:t>
        </w:r>
      </w:hyperlink>
      <w:r>
        <w:tab/>
        <w:t>32</w:t>
      </w:r>
    </w:p>
    <w:p>
      <w:pPr>
        <w:keepLines/>
        <w:tabs>
          <w:tab w:pos="8784" w:val="right" w:leader="dot"/>
        </w:tabs>
        <w:spacing w:after="40" w:line="240" w:lineRule="auto"/>
        <w:ind w:left="360"/>
        <w:jc w:val="left"/>
      </w:pPr>
      <w:hyperlink w:anchor="nav_heading_4_1_Policy_capability_and_tr" w:history="1">
        <w:r>
          <w:rPr>
            <w:noProof/>
          </w:rPr>
          <w:t xml:space="preserve">4.1 Policy capability and training stability</w:t>
        </w:r>
      </w:hyperlink>
      <w:r>
        <w:tab/>
        <w:t>32</w:t>
      </w:r>
    </w:p>
    <w:p>
      <w:pPr>
        <w:keepLines/>
        <w:tabs>
          <w:tab w:pos="8784" w:val="right" w:leader="dot"/>
        </w:tabs>
        <w:spacing w:after="40" w:line="240" w:lineRule="auto"/>
        <w:ind w:left="360"/>
        <w:jc w:val="left"/>
      </w:pPr>
      <w:hyperlink w:anchor="nav_heading_4_2_Protocol_correction_and_" w:history="1">
        <w:r>
          <w:rPr>
            <w:noProof/>
          </w:rPr>
          <w:t xml:space="preserve">4.2 Protocol correction and precision audit</w:t>
        </w:r>
      </w:hyperlink>
      <w:r>
        <w:tab/>
        <w:t>33</w:t>
      </w:r>
    </w:p>
    <w:p>
      <w:pPr>
        <w:keepLines/>
        <w:tabs>
          <w:tab w:pos="8784" w:val="right" w:leader="dot"/>
        </w:tabs>
        <w:spacing w:after="40" w:line="240" w:lineRule="auto"/>
        <w:ind w:left="360"/>
        <w:jc w:val="left"/>
      </w:pPr>
      <w:hyperlink w:anchor="nav_heading_4_3_Decision_relevance_contr" w:history="1">
        <w:r>
          <w:rPr>
            <w:noProof/>
          </w:rPr>
          <w:t xml:space="preserve">4.3 Decision-relevance controls</w:t>
        </w:r>
      </w:hyperlink>
      <w:r>
        <w:tab/>
        <w:t>34</w:t>
      </w:r>
    </w:p>
    <w:p>
      <w:pPr>
        <w:keepLines/>
        <w:tabs>
          <w:tab w:pos="8784" w:val="right" w:leader="dot"/>
        </w:tabs>
        <w:spacing w:after="40" w:line="240" w:lineRule="auto"/>
        <w:ind w:left="360"/>
        <w:jc w:val="left"/>
      </w:pPr>
      <w:hyperlink w:anchor="nav_heading_4_4_Small_graph_resolution" w:history="1">
        <w:r>
          <w:rPr>
            <w:noProof/>
          </w:rPr>
          <w:t xml:space="preserve">4.4 Small-graph resolution</w:t>
        </w:r>
      </w:hyperlink>
      <w:r>
        <w:tab/>
        <w:t>37</w:t>
      </w:r>
    </w:p>
    <w:p>
      <w:pPr>
        <w:keepLines/>
        <w:tabs>
          <w:tab w:pos="8784" w:val="right" w:leader="dot"/>
        </w:tabs>
        <w:spacing w:after="40" w:line="240" w:lineRule="auto"/>
        <w:ind w:left="360"/>
        <w:jc w:val="left"/>
      </w:pPr>
      <w:hyperlink w:anchor="nav_heading_4_5_Telemetry_manipulation_a" w:history="1">
        <w:r>
          <w:rPr>
            <w:noProof/>
          </w:rPr>
          <w:t xml:space="preserve">4.5 Telemetry manipulation and stale exposure</w:t>
        </w:r>
      </w:hyperlink>
      <w:r>
        <w:tab/>
        <w:t>38</w:t>
      </w:r>
    </w:p>
    <w:p>
      <w:pPr>
        <w:keepLines/>
        <w:tabs>
          <w:tab w:pos="8784" w:val="right" w:leader="dot"/>
        </w:tabs>
        <w:spacing w:after="40" w:line="240" w:lineRule="auto"/>
        <w:ind w:left="360"/>
        <w:jc w:val="left"/>
      </w:pPr>
      <w:hyperlink w:anchor="nav_heading_4_6_Paired_clean_and_degrade" w:history="1">
        <w:r>
          <w:rPr>
            <w:noProof/>
          </w:rPr>
          <w:t xml:space="preserve">4.6 Paired clean and degraded observations</w:t>
        </w:r>
      </w:hyperlink>
      <w:r>
        <w:tab/>
        <w:t>39</w:t>
      </w:r>
    </w:p>
    <w:p>
      <w:pPr>
        <w:keepLines/>
        <w:tabs>
          <w:tab w:pos="8784" w:val="right" w:leader="dot"/>
        </w:tabs>
        <w:spacing w:after="40" w:line="240" w:lineRule="auto"/>
        <w:ind w:left="360"/>
        <w:jc w:val="left"/>
      </w:pPr>
      <w:hyperlink w:anchor="nav_heading_4_7_Analysis_by_action_type" w:history="1">
        <w:r>
          <w:rPr>
            <w:noProof/>
          </w:rPr>
          <w:t xml:space="preserve">4.7 Analysis by action type</w:t>
        </w:r>
      </w:hyperlink>
      <w:r>
        <w:tab/>
        <w:t>40</w:t>
      </w:r>
    </w:p>
    <w:p>
      <w:pPr>
        <w:keepLines/>
        <w:tabs>
          <w:tab w:pos="8784" w:val="right" w:leader="dot"/>
        </w:tabs>
        <w:spacing w:after="40" w:line="240" w:lineRule="auto"/>
        <w:ind w:left="360"/>
        <w:jc w:val="left"/>
      </w:pPr>
      <w:hyperlink w:anchor="nav_heading_4_8_Random_trigger_sensitivi" w:history="1">
        <w:r>
          <w:rPr>
            <w:noProof/>
          </w:rPr>
          <w:t xml:space="preserve">4.8 Random-trigger sensitivity analysis</w:t>
        </w:r>
      </w:hyperlink>
      <w:r>
        <w:tab/>
        <w:t>41</w:t>
      </w:r>
    </w:p>
    <w:p>
      <w:pPr>
        <w:keepLines/>
        <w:tabs>
          <w:tab w:pos="8784" w:val="right" w:leader="dot"/>
        </w:tabs>
        <w:spacing w:after="40" w:line="240" w:lineRule="auto"/>
        <w:ind w:left="360"/>
        <w:jc w:val="left"/>
      </w:pPr>
      <w:hyperlink w:anchor="nav_heading_4_9_Hypothesis_results" w:history="1">
        <w:r>
          <w:rPr>
            <w:noProof/>
          </w:rPr>
          <w:t xml:space="preserve">4.9 Hypothesis results</w:t>
        </w:r>
      </w:hyperlink>
      <w:r>
        <w:tab/>
        <w:t>42</w:t>
      </w:r>
    </w:p>
    <w:p>
      <w:pPr>
        <w:keepLines/>
        <w:tabs>
          <w:tab w:pos="8784" w:val="right" w:leader="dot"/>
        </w:tabs>
        <w:spacing w:after="40" w:line="240" w:lineRule="auto"/>
        <w:ind w:left="360"/>
        <w:jc w:val="left"/>
      </w:pPr>
      <w:hyperlink w:anchor="nav_heading_4_10_Answers_to_the_research" w:history="1">
        <w:r>
          <w:rPr>
            <w:noProof/>
          </w:rPr>
          <w:t xml:space="preserve">4.10 Answers to the research questions</w:t>
        </w:r>
      </w:hyperlink>
      <w:r>
        <w:tab/>
        <w:t>43</w:t>
      </w:r>
    </w:p>
    <w:p>
      <w:pPr>
        <w:keepLines/>
        <w:tabs>
          <w:tab w:pos="8784" w:val="right" w:leader="dot"/>
        </w:tabs>
        <w:spacing w:after="40" w:line="240" w:lineRule="auto"/>
        <w:ind w:left="360"/>
        <w:jc w:val="left"/>
      </w:pPr>
      <w:hyperlink w:anchor="nav_heading_4_11_Explanation_release_aud" w:history="1">
        <w:r>
          <w:rPr>
            <w:noProof/>
          </w:rPr>
          <w:t xml:space="preserve">4.11 Explanation-release audit</w:t>
        </w:r>
      </w:hyperlink>
      <w:r>
        <w:tab/>
        <w:t>44</w:t>
      </w:r>
    </w:p>
    <w:p>
      <w:pPr>
        <w:keepLines/>
        <w:tabs>
          <w:tab w:pos="8784" w:val="right" w:leader="dot"/>
        </w:tabs>
        <w:spacing w:after="40" w:line="240" w:lineRule="auto"/>
        <w:ind w:left="360"/>
        <w:jc w:val="left"/>
      </w:pPr>
      <w:hyperlink w:anchor="nav_heading_4_12_Supplementary_no_op_dec" w:history="1">
        <w:r>
          <w:rPr>
            <w:noProof/>
          </w:rPr>
          <w:t xml:space="preserve">4.12 Supplementary no-op decision relevance</w:t>
        </w:r>
      </w:hyperlink>
      <w:r>
        <w:tab/>
        <w:t>44</w:t>
      </w:r>
    </w:p>
    <w:p>
      <w:pPr>
        <w:keepLines/>
        <w:tabs>
          <w:tab w:pos="8784" w:val="right" w:leader="dot"/>
        </w:tabs>
        <w:spacing w:after="40" w:line="240" w:lineRule="auto"/>
        <w:ind w:left="0"/>
        <w:jc w:val="left"/>
      </w:pPr>
      <w:hyperlink w:anchor="nav_heading_Chapter_5_Discussion" w:history="1">
        <w:r>
          <w:rPr>
            <w:noProof/>
          </w:rPr>
          <w:t xml:space="preserve">Chapter 5: Discussion</w:t>
        </w:r>
      </w:hyperlink>
      <w:r>
        <w:tab/>
        <w:t>46</w:t>
      </w:r>
    </w:p>
    <w:p>
      <w:pPr>
        <w:keepLines/>
        <w:tabs>
          <w:tab w:pos="8784" w:val="right" w:leader="dot"/>
        </w:tabs>
        <w:spacing w:after="40" w:line="240" w:lineRule="auto"/>
        <w:ind w:left="360"/>
        <w:jc w:val="left"/>
      </w:pPr>
      <w:hyperlink w:anchor="nav_heading_5_1_Answer_to_the_central_pr" w:history="1">
        <w:r>
          <w:rPr>
            <w:noProof/>
          </w:rPr>
          <w:t xml:space="preserve">5.1 Answer to the central problem</w:t>
        </w:r>
      </w:hyperlink>
      <w:r>
        <w:tab/>
        <w:t>46</w:t>
      </w:r>
    </w:p>
    <w:p>
      <w:pPr>
        <w:keepLines/>
        <w:tabs>
          <w:tab w:pos="8784" w:val="right" w:leader="dot"/>
        </w:tabs>
        <w:spacing w:after="40" w:line="240" w:lineRule="auto"/>
        <w:ind w:left="360"/>
        <w:jc w:val="left"/>
      </w:pPr>
      <w:hyperlink w:anchor="nav_heading_5_2_How_to_read_the_evidence" w:history="1">
        <w:r>
          <w:rPr>
            <w:noProof/>
          </w:rPr>
          <w:t xml:space="preserve">5.2 How to read the evidence</w:t>
        </w:r>
      </w:hyperlink>
      <w:r>
        <w:tab/>
        <w:t>46</w:t>
      </w:r>
    </w:p>
    <w:p>
      <w:pPr>
        <w:keepLines/>
        <w:tabs>
          <w:tab w:pos="8784" w:val="right" w:leader="dot"/>
        </w:tabs>
        <w:spacing w:after="40" w:line="240" w:lineRule="auto"/>
        <w:ind w:left="360"/>
        <w:jc w:val="left"/>
      </w:pPr>
      <w:hyperlink w:anchor="nav_heading_5_3_Why_the_result_is_not_co" w:history="1">
        <w:r>
          <w:rPr>
            <w:noProof/>
          </w:rPr>
          <w:t xml:space="preserve">5.3 Why the result is not consistent</w:t>
        </w:r>
      </w:hyperlink>
      <w:r>
        <w:tab/>
        <w:t>47</w:t>
      </w:r>
    </w:p>
    <w:p>
      <w:pPr>
        <w:keepLines/>
        <w:tabs>
          <w:tab w:pos="8784" w:val="right" w:leader="dot"/>
        </w:tabs>
        <w:spacing w:after="40" w:line="240" w:lineRule="auto"/>
        <w:ind w:left="360"/>
        <w:jc w:val="left"/>
      </w:pPr>
      <w:hyperlink w:anchor="nav_heading_5_4_Why_the_construct_validi" w:history="1">
        <w:r>
          <w:rPr>
            <w:noProof/>
          </w:rPr>
          <w:t xml:space="preserve">5.4 Why the construct-validity controls matter</w:t>
        </w:r>
      </w:hyperlink>
      <w:r>
        <w:tab/>
        <w:t>48</w:t>
      </w:r>
    </w:p>
    <w:p>
      <w:pPr>
        <w:keepLines/>
        <w:tabs>
          <w:tab w:pos="8784" w:val="right" w:leader="dot"/>
        </w:tabs>
        <w:spacing w:after="40" w:line="240" w:lineRule="auto"/>
        <w:ind w:left="360"/>
        <w:jc w:val="left"/>
      </w:pPr>
      <w:hyperlink w:anchor="nav_heading_5_5_Why_outage_training_did_" w:history="1">
        <w:r>
          <w:rPr>
            <w:noProof/>
          </w:rPr>
          <w:t xml:space="preserve">5.5 Why outage training did not solve the problem</w:t>
        </w:r>
      </w:hyperlink>
      <w:r>
        <w:tab/>
        <w:t>48</w:t>
      </w:r>
    </w:p>
    <w:p>
      <w:pPr>
        <w:keepLines/>
        <w:tabs>
          <w:tab w:pos="8784" w:val="right" w:leader="dot"/>
        </w:tabs>
        <w:spacing w:after="40" w:line="240" w:lineRule="auto"/>
        <w:ind w:left="360"/>
        <w:jc w:val="left"/>
      </w:pPr>
      <w:hyperlink w:anchor="nav_heading_5_6_Proposed_audit_framework" w:history="1">
        <w:r>
          <w:rPr>
            <w:noProof/>
          </w:rPr>
          <w:t xml:space="preserve">5.6 Proposed audit framework</w:t>
        </w:r>
      </w:hyperlink>
      <w:r>
        <w:tab/>
        <w:t>49</w:t>
      </w:r>
    </w:p>
    <w:p>
      <w:pPr>
        <w:keepLines/>
        <w:tabs>
          <w:tab w:pos="8784" w:val="right" w:leader="dot"/>
        </w:tabs>
        <w:spacing w:after="40" w:line="240" w:lineRule="auto"/>
        <w:ind w:left="360"/>
        <w:jc w:val="left"/>
      </w:pPr>
      <w:hyperlink w:anchor="nav_heading_5_6_1_Purpose_and_scope" w:history="1">
        <w:r>
          <w:rPr>
            <w:noProof/>
          </w:rPr>
          <w:t xml:space="preserve">5.6.1 Purpose and scope</w:t>
        </w:r>
      </w:hyperlink>
      <w:r>
        <w:tab/>
        <w:t>49</w:t>
      </w:r>
    </w:p>
    <w:p>
      <w:pPr>
        <w:keepLines/>
        <w:tabs>
          <w:tab w:pos="8784" w:val="right" w:leader="dot"/>
        </w:tabs>
        <w:spacing w:after="40" w:line="240" w:lineRule="auto"/>
        <w:ind w:left="360"/>
        <w:jc w:val="left"/>
      </w:pPr>
      <w:hyperlink w:anchor="nav_heading_5_6_2_Inputs_outputs_and_use" w:history="1">
        <w:r>
          <w:rPr>
            <w:noProof/>
          </w:rPr>
          <w:t xml:space="preserve">5.6.2 Inputs, outputs and use</w:t>
        </w:r>
      </w:hyperlink>
      <w:r>
        <w:tab/>
        <w:t>50</w:t>
      </w:r>
    </w:p>
    <w:p>
      <w:pPr>
        <w:keepLines/>
        <w:tabs>
          <w:tab w:pos="8784" w:val="right" w:leader="dot"/>
        </w:tabs>
        <w:spacing w:after="40" w:line="240" w:lineRule="auto"/>
        <w:ind w:left="360"/>
        <w:jc w:val="left"/>
      </w:pPr>
      <w:hyperlink w:anchor="nav_heading_5_6_3_Application_to_this_st" w:history="1">
        <w:r>
          <w:rPr>
            <w:noProof/>
          </w:rPr>
          <w:t xml:space="preserve">5.6.3 Application to this study</w:t>
        </w:r>
      </w:hyperlink>
      <w:r>
        <w:tab/>
        <w:t>51</w:t>
      </w:r>
    </w:p>
    <w:p>
      <w:pPr>
        <w:keepLines/>
        <w:tabs>
          <w:tab w:pos="8784" w:val="right" w:leader="dot"/>
        </w:tabs>
        <w:spacing w:after="40" w:line="240" w:lineRule="auto"/>
        <w:ind w:left="360"/>
        <w:jc w:val="left"/>
      </w:pPr>
      <w:hyperlink w:anchor="nav_heading_5_7_Limitations" w:history="1">
        <w:r>
          <w:rPr>
            <w:noProof/>
          </w:rPr>
          <w:t xml:space="preserve">5.7 Limitations</w:t>
        </w:r>
      </w:hyperlink>
      <w:r>
        <w:tab/>
        <w:t>52</w:t>
      </w:r>
    </w:p>
    <w:p>
      <w:pPr>
        <w:keepLines/>
        <w:tabs>
          <w:tab w:pos="8784" w:val="right" w:leader="dot"/>
        </w:tabs>
        <w:spacing w:after="40" w:line="240" w:lineRule="auto"/>
        <w:ind w:left="360"/>
        <w:jc w:val="left"/>
      </w:pPr>
      <w:hyperlink w:anchor="nav_heading_5_8_Future_work" w:history="1">
        <w:r>
          <w:rPr>
            <w:noProof/>
          </w:rPr>
          <w:t xml:space="preserve">5.8 Future work</w:t>
        </w:r>
      </w:hyperlink>
      <w:r>
        <w:tab/>
        <w:t>52</w:t>
      </w:r>
    </w:p>
    <w:p>
      <w:pPr>
        <w:keepLines/>
        <w:tabs>
          <w:tab w:pos="8784" w:val="right" w:leader="dot"/>
        </w:tabs>
        <w:spacing w:after="40" w:line="240" w:lineRule="auto"/>
        <w:ind w:left="0"/>
        <w:jc w:val="left"/>
      </w:pPr>
      <w:hyperlink w:anchor="nav_heading_Chapter_6_Conclusion" w:history="1">
        <w:r>
          <w:rPr>
            <w:noProof/>
          </w:rPr>
          <w:t xml:space="preserve">Chapter 6: Conclusion</w:t>
        </w:r>
      </w:hyperlink>
      <w:r>
        <w:tab/>
        <w:t>54</w:t>
      </w:r>
    </w:p>
    <w:p>
      <w:pPr>
        <w:keepLines/>
        <w:tabs>
          <w:tab w:pos="8784" w:val="right" w:leader="dot"/>
        </w:tabs>
        <w:spacing w:after="40" w:line="240" w:lineRule="auto"/>
        <w:ind w:left="0"/>
        <w:jc w:val="left"/>
      </w:pPr>
      <w:hyperlink w:anchor="nav_heading_List_of_Publications" w:history="1">
        <w:r>
          <w:rPr>
            <w:noProof/>
          </w:rPr>
          <w:t xml:space="preserve">List of Publications</w:t>
        </w:r>
      </w:hyperlink>
      <w:r>
        <w:tab/>
        <w:t>56</w:t>
      </w:r>
    </w:p>
    <w:p>
      <w:pPr>
        <w:keepLines/>
        <w:tabs>
          <w:tab w:pos="8784" w:val="right" w:leader="dot"/>
        </w:tabs>
        <w:spacing w:after="40" w:line="240" w:lineRule="auto"/>
        <w:ind w:left="0"/>
        <w:jc w:val="left"/>
      </w:pPr>
      <w:hyperlink w:anchor="nav_heading_References" w:history="1">
        <w:r>
          <w:rPr>
            <w:noProof/>
          </w:rPr>
          <w:t xml:space="preserve">References</w:t>
        </w:r>
      </w:hyperlink>
      <w:r>
        <w:tab/>
        <w:t>57</w:t>
      </w:r>
    </w:p>
    <w:p>
      <w:pPr>
        <w:keepLines/>
        <w:tabs>
          <w:tab w:pos="8784" w:val="right" w:leader="dot"/>
        </w:tabs>
        <w:spacing w:after="40" w:line="240" w:lineRule="auto"/>
        <w:ind w:left="0"/>
        <w:jc w:val="left"/>
      </w:pPr>
      <w:hyperlink w:anchor="nav_heading_Appendices" w:history="1">
        <w:r>
          <w:rPr>
            <w:noProof/>
          </w:rPr>
          <w:t xml:space="preserve">Appendices</w:t>
        </w:r>
      </w:hyperlink>
      <w:r>
        <w:tab/>
        <w:t>63</w:t>
      </w:r>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Veličković et al., 2018). Because the weights are easy to display, they are often read as an explanation of which vehicles or requests influenced a decision.</w:t>
      </w:r>
    </w:p>
    <w:p>
      <w:pPr>
        <w:widowControl/>
      </w:pPr>
      <w:r>
        <w:t>Interpreting these weights requires care. Studies in NLP and other attention-based models have found that attention weights can be weakly related to the evidence that changes a model's output (Jain and Wallace, 2019; Serrano and Smith, 2019; Liu et al., 2022). Wiegreffe and Pinter (2019) caution that such findings do not rule out all attention-based explanations.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makes the explanation difficult to trust. An operator may read a complete attention map as a trustworthy reason even when its evidence is stale, and stable dispatch performance cannot show whether the explanation is valid. This dissertation tests the reliability of raw graph-attention explanations under clean and degraded telemetry, with dispatch performance providing context for interpreting the explanation results.</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widowControl/>
      </w:pPr>
      <w:r>
        <w:t>The term identifies the risk being investigated, rather than a result assumed in advance. Showing that degradation reduces faithfulness would require a valid clean faithfulness baseline and a lower score in the paired degraded observation. As reported below, the experiment does not establish that decline. Its contribution includes identifying why raw attention fails the release audit and distinguishing that failure from the predicted decline under degradation.</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research questions guide the evaluation:</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All four questions depend on a valid faithfulness measure. The evaluation therefore distinguishes the removal of information from the removal of an available action, which can otherwise distort the measured effect.</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widowControl/>
      </w:pPr>
      <w:r>
        <w:t>Objectives 1-2 provide the benchmark and clean controls for RQ1; objective 3 addresses the paired telemetry comparison in RQ2; objective 4 tests repeatability and sensitivity for RQ3; and objective 5 addresses RQ4. Objective 6 uses these findings to reach the audit decision. The answers and release outcomes are presented in Sections 4.10-4.11.</w:t>
      </w:r>
    </w:p>
    <w:p>
      <w:pPr>
        <w:pStyle w:val="3"/>
        <w:keepNext/>
      </w:pPr>
      <w:bookmarkStart w:id="6" w:name="nav_heading_1_5_Main_findings"/>
      <w:r>
        <w:t>1.5 Main findings</w:t>
      </w:r>
      <w:bookmarkEnd w:id="6"/>
    </w:p>
    <w:p>
      <w:pPr>
        <w:widowControl/>
      </w:pPr>
      <w:r>
        <w:t>The tested self-row attention channel lacks consistent evidence of decision relevance and stability. Figure 1.1 summarizes the practical consequence: an attention map can remain visible as telemetry becomes stale, even when the evidence is insufficient to present it as an explanation.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10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decision relevance and extraction consistency are not established. Freshness visibility passes as a reporting check; it does not certify fresh data.</w:t>
      </w:r>
      <w:bookmarkEnd w:id="7"/>
    </w:p>
    <w:p>
      <w:pPr>
        <w:widowControl/>
      </w:pPr>
      <w:r>
        <w:t>Under clean telemetry, the tested averaged self-row attention has dispatch margin-DEF below its type-matched random control for both model families. A leave-one-out control produces a positive response, showing that the evaluator can detect a more decision-relevant ranking even though raw attention does not provide one.</w:t>
      </w:r>
    </w:p>
    <w:p>
      <w:pPr>
        <w:widowControl/>
      </w:pPr>
      <w:r>
        <w:t>Longer outages consistently increase the measured exposure to stale vehicle information. However, the paired attention response differs across trained policies: three checkpoints show a clear increase in attention to stale nodes, two show a clear decrease, and one is inconclusive. Probability DEF shows a small increase, rather than the expected decline, for all six checkpoints. The study therefore does not find the proposed degradation-related loss of faithfulness, or one consistent attention response.</w:t>
      </w:r>
    </w:p>
    <w:p>
      <w:pPr>
        <w:widowControl/>
      </w:pPr>
      <w:r>
        <w:t>The interpretation also depends on how attention is extracted and on whether the selected action is dispatch or no-op. Dispatch accounts for most scorable decisions in the corrected experiment, but the two action groups have opposite paired DEF directions. Degradation-aware training does not remove the checkpoint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dataset selection and EDA, the SUMO environment, policy models, observation-layer degradation, faithfulness measures, evaluation design, implementation details,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research on graph-based fleet dispatch, attention-based explanations, and explanation faithfulness under changing observations. It draws on foundational studies to establish the models and evaluation concepts, alongside recent work on graph attribution, delayed observations, and multi-agent communication. Particular attention is given to how these studies assess decision relevance and whether their assumptions remain valid when vehicle telemetry becomes stale.</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MAPPO provides a stable training basis for examining the explanation attached to each taxi's local decision.</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(Veličković et al., 2018). Actor-Attention-Critic uses attention in its centralized critic to select information from other agents (Iqbal and Sha, 2019). GAT-MARL is a suitable test case because it represents the relational, multi-agent structure of fleet dispatch and exposes attention weights for audit.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Díaz-Rodríguez (2021) and Milani et al. (2024)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does not necessarily show what the model relied on.</w:t>
      </w:r>
    </w:p>
    <w:p>
      <w:pPr>
        <w:widowControl/>
      </w:pPr>
      <w:r>
        <w:t>For an operational dashboard, readability and faithfulness must be considered separately. An explanation may be easy to read but weakly connected to the policy computation. Perturbation tests assess whether removing the identified evidence weakens the prediction and whether retaining sufficient evidence preserves it (DeYoung et al., 2020). This experiment tests that link through a controlled decision-level faithfulness test; it does not measure user preference for the attention map.</w:t>
      </w:r>
    </w:p>
    <w:p>
      <w:pPr>
        <w:widowControl/>
      </w:pPr>
      <w:r>
        <w:t>Recent XRL work also clarifies which question an explanation answers. Causal state distillation (W. Lu et al., 2024) extends reward decomposition with objectives for sparse, sufficient and distinct causal factors. This is a model-design route to explanatory structure, whereas the present study audits a frozen policy with no explanatory training objective. COViz (Amitai, Septon and Amir, 2024) displays the outcomes of chosen and alternative actions and evaluates human understanding. It addresses the consequences of a choice rather than the importance of each input node. These approaches are complementary: perturbation faithfulness cannot establish that a dispatcher understands an explanation, and a useful counterfactual visualization cannot by itself validate raw attention.</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 Shin et al. (2025) similarly show that raw self-attention coefficients can give weak graph attributions when message-passing paths are ignored.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 Azzolin et al. (2025) further show that GNN faithfulness metrics are not interchangeable, reinforcing the need to define what each measure tests.</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widowControl/>
      </w:pPr>
      <w:r>
        <w:t>Several 2024-2025 methods offer alternatives to raw attention. GOAt (S. Lu et al., 2024) analytically allocates graph outputs to input features and evaluates fidelity, discriminability and stability. Its explicit attribution path is attractive, but transferring it to a residual attention actor requires accounting for the actual computation and selected output. Bui et al. (2024) use the Myerson-Taylor interaction index to respect graph connectivity and interactions. This exposes a limitation of a single-node ranking: two jointly relevant nodes need not have large individual LOO effects. Applying either approach to dispatch would require accounting for request nodes that also define available actions.</w:t>
      </w:r>
    </w:p>
    <w:p>
      <w:pPr>
        <w:widowControl/>
      </w:pPr>
      <w:r>
        <w:t>The output type matters as well. RegExplainer (Zhang et al., 2024) adapts graph explanations to regression through information-bottleneck, mix-up and self-supervised objectives. It challenges the assumption that a classification-oriented explanation score transfers unchanged to a continuous value estimate. Here, the target is the actor's selected action, not the critic's team value; that distinction determines which output and perturbation to evaluate.</w:t>
      </w:r>
    </w:p>
    <w:p>
      <w:pPr>
        <w:widowControl/>
      </w:pPr>
      <w:r>
        <w:t>Global explanations answer a different question from the present local audit. GraphTrail (Armgaan et al., 2024) converts predictions into logical rules over mined graph concepts, while GNNBoundary (Wang and Shen, 2024) generates graphs near class boundaries. Both reveal model-level behavior that a local ranking can miss. However, global agreement or a plausible boundary graph cannot establish that one particular dispatch decision used fresh vehicle data. Yu and Gao's MAGE (Yu and Gao, 2025) generates motif-based molecular explanations, emphasizing domain-valid substructures. Its molecular validity requirements illustrate why a dispatch explainer likewise needs task-specific constraints. This MAGE is distinct from the Myerson-Taylor explainer of Bui et al. (2024).</w:t>
      </w:r>
    </w:p>
    <w:p>
      <w:pPr>
        <w:widowControl/>
      </w:pPr>
      <w:r>
        <w:t>GraphNarrator (Pan et al., 2025) generates textual explanations using saliency-derived pseudo-labels and iterative refinement. This makes explanations easier to present, but their quality still depends on the underlying attribution: a fluent explanation cannot serve as an independent check of the saliency labels that helped train it. For this dissertation, adding text to an attention map would therefore require the same freshness and decision-relevance audit.</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shows why deletion can confound attribution quality with distribution shift (Hooker et al., 2019). Zheng et al. (2024) identify this problem in GNN fidelity measures and propose more robust alternatives. Adebayo et al. (2018) test whether saliency methods depend on learned parameters and training data by randomizing model parameters and retraining on randomized labels. Li et al. (2024) show that small graph changes can preserve a prediction while substantially changing its explanation.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(Ancona et al., 2018)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widowControl/>
      </w:pPr>
      <w:r>
        <w:t>Recent evaluation research provides stronger alternatives to a single fidelity number. He et al. (2025) establish connections between edge-gradient and perturbation methods, including equivalence under restricted linear settings. This suggests that agreement between two explainers may reflect shared mechanics rather than independent validation; their conditions should not be assumed for the nonlinear actor used here. PowerGraph (Varbella et al., 2024) supplies cascading-failure explanation ground truth in a domain-specific benchmark. It demonstrates the value of external explanatory labels, which the present SUMO experiment lacks: its LOO ranking remains a positive control, not ground truth. Saha and Bandyopadhyay (2026) introduce sufficiency-risk certificates and coverage, gain and overlap measures for model-level graph explanations. Their uncertainty-aware evaluation is relevant to audit design, but those certificates do not automatically apply to a local action-level DEF score.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Recent delay-aware RL explicitly models uncertainty about the current state. Yao, Florescu and Lee (2024) use stochastic planning for delayed feedback, whereas Wu et al. (2025) directly forecast belief to reduce errors accumulated by recursive state prediction. Both provide candidate approaches to recovering useful state information; neither result establishes that an attention ranking is faithful to the resulting action. Zhou et al. (2024) instead make observation timing part of the action. This separates a deliberately scheduled observation from an externally triggered outage. The present freeze intervention models the latter and does not optimize the communication schedule.</w:t>
      </w:r>
    </w:p>
    <w:p>
      <w:pPr>
        <w:widowControl/>
      </w:pPr>
      <w:r>
        <w:t>Communication robustness also differs from explanation robustness. MAGI (Ding et al., 2024) uses a graph information bottleneck to learn compact, action-relevant messages under perturbations. Soudijani and Dimitrova (2025) jointly synthesize action and communication policies subject to communication restrictions. These methods address information exchange and task objectives; robust coordination is not itself an explanation-release criterion. In vehicle perception, MRCNet (Hong et al., 2024) addresses motion and sensing noise during communication and fusion. Its setting motivates testing richer telemetry failures, although perception noise and a last-value freeze are distinct interventions.</w:t>
      </w:r>
    </w:p>
    <w:p>
      <w:pPr>
        <w:widowControl/>
      </w:pPr>
      <w:r>
        <w:t>Dynamic graph attribution is especially close to the present problem. Liu and Xie (2025) attribute changes in predictions on evolving graphs to message flows and layer edges, with KL-divergence used to select explanatory edges. This supports explicitly comparing two observations rather than treating a static map as sufficient. Their evolving edge weights differ from the feature-level freeze with fixed paired node identities here. Liu et al. (2025) use graph curvature and resistance to improve explanation robustness without retraining the target model. That is a potential improvement to an explainer, whereas this study measures whether the declared raw-attention channel is stable. Robustness to structural perturbations does not establish robustness to stale features, so the two require separate tests.</w:t>
      </w:r>
    </w:p>
    <w:p>
      <w:pPr>
        <w:widowControl/>
      </w:pPr>
      <w:r>
        <w:t>This dissertation uses AoI only to describe the freshness of each node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Deciding_when_an_explana"/>
      <w:r>
        <w:t>2.7 Deciding when an explanation can be shown</w:t>
      </w:r>
      <w:bookmarkEnd w:id="17"/>
    </w:p>
    <w:p>
      <w:pPr>
        <w:widowControl/>
      </w:pPr>
      <w:r>
        <w:t>Explanation tests can inform the decision to show an explanation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principle to a specific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 Recent work also shows why such caution is needed: Azzolin et al. (2026) show that a self-explaining GNN can produce an explanation unrelated to its prediction process and that some metrics may miss this failure. Although their setting is graph classification, the result supports auditing an explanation before presenting it as evidence.</w:t>
      </w:r>
    </w:p>
    <w:p>
      <w:pPr>
        <w:pStyle w:val="3"/>
        <w:keepNext/>
      </w:pPr>
      <w:bookmarkStart w:id="18" w:name="nav_heading_2_8_Research_gap"/>
      <w:r>
        <w:t>2.8 Research gap</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Recent work examines GNN explanation fidelity, instability, and auditing (Zheng et al., 2024; Li et al., 2024; Azzolin et al., 2025; Shin et al., 2025; Azzolin et al., 2026), but does not combine MARL fleet dispatch, paired clean and stale observations, and action-linked request nodes. The present study brings these elements together in a controlled evaluation.</w:t>
      </w:r>
    </w:p>
    <w:p>
      <w:pPr>
        <w:widowControl/>
      </w:pPr>
      <w:r>
        <w:t>The closest task studies are BMG-Q (Hu, Feng and Li, 2025), CoopRide (Wang et al., 2025) and DualG-MARL (Sha et al., 2026). Their dispatch objectives and datasets differ from this controlled benchmark, so their performance figures are not directly comparable. The closest methodological studies instead concern attribution paths, fidelity measurement, explanation instability and changes in graph inputs. Table 2.1 compares eight closely related studies, highlighting their contributions and the adaptations needed for the dispatch setting.</w:t>
      </w:r>
    </w:p>
    <w:p>
      <w:pPr>
        <w:keepNext/>
        <w:widowControl/>
      </w:pPr>
      <w:r>
        <w:t>Across the graph- and RL-explainability and delayed-observation studies reviewed in Sections 2.2-2.7,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The proposed audit protocol uses the controlled state available in SUMO (Lopez et al., 2018) and the attention weights exposed by GAT-MAPPO to test explanation faithfulness and sensitivity to stale telemetry. It links these measurements to a decision about whether the evidence is sufficient to present the attention map to an operator.</w:t>
      </w:r>
    </w:p>
    <w:p>
      <w:pPr>
        <w:pStyle w:val="12"/>
        <w:keepNext/>
        <w:pageBreakBefore/>
      </w:pPr>
      <w:bookmarkStart w:id="19" w:name="nav_table_Table_2_1"/>
      <w:r>
        <w:rPr>
          <w:b/>
        </w:rPr>
        <w:t>Table 2.1: Critical comparison of eight closely related explanation studies</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800"/>
        <w:gridCol w:w="1700"/>
        <w:gridCol w:w="2000"/>
        <w:gridCol w:w="1400"/>
        <w:gridCol w:w="2120"/>
      </w:tblGrid>
      <w:tr>
        <w:trPr>
          <w:cantSplit/>
          <w:tblHeader w:val="true"/>
        </w:trPr>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17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Method and setting</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and finding</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Strength</w:t>
            </w:r>
          </w:p>
        </w:tc>
        <w:tc>
          <w:tcPr>
            <w:tcW w:type="dxa" w:w="21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Limit and implication for this study</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Zheng et al. (2024)</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Robust fidelity for subgraph explanations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Synthetic and real graphs; conventional deletion can distort fidelity</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Explicit treatment of distribution shift</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Does not resolve request-linked action removal; motivates separate action protection</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 et al. (2024)</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Adversarial changes to graph structure</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Explanations can change while predictions remain correct</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prediction and explanation robustness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Adversarial edges differ from stale vehicle features; requires a paired telemetry test</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Azzolin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Analysis of regular and self-explainable GNNs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metrics need not agree</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Exposes dependence on metric and architecture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Prevents interpreting DEF as a universal or complete causal score</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Shin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GAtt computation-tree edge attribution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Synthetic and real data; improves on naive attention attribution</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Accounts for message-passing paths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Edge attribution needs adaptation to residual actor outputs and action-linked nodes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Liu and Xie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Layer-edge attribution on evolving graphs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Eight datasets; evaluates fidelity of prediction changes</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Directly studies change between graphs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Evolving edge weights differ from the fixed-identity telemetry twins used here</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Liu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Curvature and resistance regularization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Nine datasets across three graph tasks; improves robustness</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Leaves the target model unchanged</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Structural robustness does not establish stale-feature or action-level faithfulness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Azzolin et al. (2026)</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of degenerate self-explanations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Accurate models can yield explanations unrelated to prediction</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Shows why accuracy is insufficient for assurance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Self-explainable classifiers differ from raw-attention MARL; motivates an explicit rejection path</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Saha and Bandyopadhyay (2026)</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Certified model-level evaluation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Sufficiency risk, coverage, gain and overlap with uncertainty</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Evaluates quality beyond target-class score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Model-level certificates are not local DEF guarantees; motivates scoped statistical claims</w:t>
            </w:r>
          </w:p>
        </w:tc>
      </w:tr>
    </w:tbl>
    <w:p>
      <w:pPr>
        <w:pStyle w:val="2"/>
        <w:keepNext/>
      </w:pPr>
      <w:bookmarkStart w:id="20" w:name="nav_heading_Chapter_3_Methodology"/>
      <w:r>
        <w:t>Chapter 3: Methodology</w:t>
      </w:r>
      <w:bookmarkEnd w:id="20"/>
    </w:p>
    <w:p>
      <w:pPr>
        <w:pStyle w:val="3"/>
        <w:keepNext/>
      </w:pPr>
      <w:bookmarkStart w:id="21" w:name="nav_heading_3_1_Study_design_and_propose"/>
      <w:r>
        <w:t>3.1 Study design and proposed approach</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proposed approach has two connected paths. SUMO ground truth passes through an observation-layer degradation mechanism into the local graph and GAT-MAPPO actor. A separate, read-only path extracts attention, constructs paired clean twins, evaluates action-aware faithfulness and aggregates the evidence into an explanation-release decision. Figure 3.4 shows the actor and attention channel; Figure 5.2 shows the offline release workflow. The methodological contribution lies in the paired evaluation and release protocol, with GAT-MAPPO serving as the policy under audit.</w:t>
      </w:r>
    </w:p>
    <w:p>
      <w:pPr>
        <w:widowControl/>
      </w:pPr>
      <w:r>
        <w:t>Each stage addresses a specific failure mode. The clean twin controls the underlying world state; per-type embeddings distinguish vehicles from requests; the graph encoder combines relational context; the actor identifies the action to explain; and the centralized critic supports learning without being needed for decentralized action selection. AoI records freshness without assuming that a large attention weight means a fresh reading. Type matching and selected-action protection remove a known perturbation confound. The final audit combines evidence that no single score supplies. Table 3.10 summarizes the implementation interfaces and their purpose.</w:t>
      </w:r>
    </w:p>
    <w:p>
      <w:pPr>
        <w:pStyle w:val="3"/>
        <w:keepNext/>
      </w:pPr>
      <w:bookmarkStart w:id="22" w:name="nav_heading_3_2_Dataset_selection_and_ex"/>
      <w:r>
        <w:t>3.2 Dataset selection and exploratory data analysis</w:t>
      </w:r>
      <w:bookmarkEnd w:id="22"/>
    </w:p>
    <w:p>
      <w:pPr>
        <w:widowControl/>
      </w:pPr>
      <w:r>
        <w:t>The road network is an OpenStreetMap extract of Central Park in Yubei, Chongqing. Map data are credited to OpenStreetMap contributors under the Open Database License (OpenStreetMap contributors, n.d.). The committed XML records extraction and network conversion on 22 June 2026 using SUMO tools 1.27.0. This network-building version is distinct from the recorded simulation runtime in Section 3.11.1.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generates microscopic traffic simulations (Lopez et al., 2018) from the chosen road network, demand, routes, vehicle behavior, tunnel locations, and random seeds. These modeling choices shape the results and are held constant in the paired comparison.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4"/>
        <w:keepNext/>
      </w:pPr>
      <w:bookmarkStart w:id="23" w:name="nav_heading_3_2_1_Data_generation_and_se"/>
      <w:r>
        <w:t>3.2.1 Data generation and selection rationale</w:t>
      </w:r>
      <w:bookmarkEnd w:id="23"/>
    </w:p>
    <w:p>
      <w:pPr>
        <w:widowControl/>
      </w:pPr>
      <w:r>
        <w:t>The committed demand generator samples distinct origin and destination edge identifiers for each request and an integer arrival time uniformly from 0 to 600 seconds. Requests therefore arrive during the first half of the episode; the remaining time permits ongoing journeys to finish. Edge sampling is not weighted by population, road length or observed passenger demand. The 20 variants contain 1,000 generated requests in total: 700 training, 150 validation and 150 test requests. These are scenario inputs, not 1,000 independently observed real-world journeys. The fixed taxi placement and shared road network make the split a demand-generalization test within one scenario.</w:t>
      </w:r>
    </w:p>
    <w:p>
      <w:pPr>
        <w:widowControl/>
      </w:pPr>
      <w:r>
        <w:t>The Central Park network is suitable for a controlled outage study because its tunnel metadata supplies localized, repeatable trigger edges while the surrounding roads permit clean and exposed decisions in the same network. The configured trigger set contains three edges; the metadata also excludes orphan tunnel edges that would not support meaningful traversals. The scenario was chosen for these features; it is not a representative sample of Chongqing. Twenty taxis, 50 requests and a 1,200-second horizon define a small, manageable benchmark for repeated paired counterfactual evaluation. These settings are experimental design choices, not estimates of real fleet size or demand. The demand-generation assumptions, random-circling idle taxis and configured vehicle dimensions must therefore be considered when transferring the results.</w:t>
      </w:r>
    </w:p>
    <w:p>
      <w:pPr>
        <w:pStyle w:val="4"/>
        <w:keepNext/>
      </w:pPr>
      <w:bookmarkStart w:id="24" w:name="nav_heading_3_2_2_Spatial_and_temporal_e"/>
      <w:r>
        <w:t>3.2.2 Spatial and temporal exploration</w:t>
      </w:r>
      <w:bookmarkEnd w:id="24"/>
    </w:p>
    <w:p>
      <w:pPr>
        <w:widowControl/>
      </w:pPr>
      <w:r>
        <w:t>The EDA describes the fixed demand splits using the committed route XML files and road geometry. It was conducted after evaluation and was not used for model selection or hyperparameter tuning. Figure 3.1 plots pickup and drop-off edge midpoints against the road network and the configured tunnel triggers. Locations are proxies obtained from the midpoint along the first lane's polyline, not observed passenger coordinates or an exact SUMO boarding point.</w:t>
      </w:r>
    </w:p>
    <w:p>
      <w:pPr>
        <w:keepNext/>
        <w:keepLines/>
        <w:spacing w:before="120" w:after="40"/>
        <w:jc w:val="center"/>
      </w:pPr>
      <w:r>
        <w:drawing>
          <wp:inline xmlns:a="http://schemas.openxmlformats.org/drawingml/2006/main" xmlns:pic="http://schemas.openxmlformats.org/drawingml/2006/picture">
            <wp:extent cx="5623560" cy="2530602"/>
            <wp:docPr id="3" name="Picture 3" descr="Road network, tunnel trigger edges and generated request locations"/>
            <wp:cNvGraphicFramePr>
              <a:graphicFrameLocks noChangeAspect="1"/>
            </wp:cNvGraphicFramePr>
            <a:graphic>
              <a:graphicData uri="http://schemas.openxmlformats.org/drawingml/2006/picture">
                <pic:pic>
                  <pic:nvPicPr>
                    <pic:cNvPr id="0" name="dataset_spatial_eda.png"/>
                    <pic:cNvPicPr/>
                  </pic:nvPicPr>
                  <pic:blipFill>
                    <a:blip r:embed="rId46"/>
                    <a:stretch>
                      <a:fillRect/>
                    </a:stretch>
                  </pic:blipFill>
                  <pic:spPr>
                    <a:xfrm>
                      <a:off x="0" y="0"/>
                      <a:ext cx="5623560" cy="2530602"/>
                    </a:xfrm>
                    <a:prstGeom prst="rect"/>
                  </pic:spPr>
                </pic:pic>
              </a:graphicData>
            </a:graphic>
          </wp:inline>
        </w:drawing>
      </w:r>
    </w:p>
    <w:p>
      <w:pPr>
        <w:pStyle w:val="12"/>
        <w:keepLines/>
      </w:pPr>
      <w:bookmarkStart w:id="25" w:name="nav_figure_Figure_3_1"/>
      <w:r>
        <w:t xml:space="preserve">Figure 3.1. Spatial EDA of all 20 demand variants. Grey lines are non-internal road edges, red lines are the three configured tunnel-trigger edges, and colored points distinguish training, validation and test demand. Map data: OpenStreetMap contributors, ODbL; </w:t>
      </w:r>
      <w:hyperlink r:id="rId47">
        <w:r>
          <w:t>https://www.openstreetmap.org/copyright</w:t>
        </w:r>
      </w:hyperlink>
      <w:r>
        <w:t>.</w:t>
      </w:r>
      <w:r>
        <w:t xml:space="preserve"> Coordinates use the local SUMO frame. Repeated edge choices can overlap on the map.</w:t>
      </w:r>
      <w:bookmarkEnd w:id="25"/>
    </w:p>
    <w:p>
      <w:pPr>
        <w:widowControl/>
      </w:pPr>
      <w:r>
        <w:t>Mean request-arrival times are 289.8, 300.8 and 294.1 seconds for training, validation and test, respectively. Their ranges are 0-600, 5-599 and 0-598 seconds. Figure 3.2 compares empirical cumulative distributions so that the unequal split sizes do not distort the comparison. Arrivals occupy broadly similar portions of the generation window, but this does not establish statistical equivalence between the small validation and test samples.</w:t>
      </w:r>
    </w:p>
    <w:p>
      <w:pPr>
        <w:widowControl/>
      </w:pPr>
      <w:r>
        <w:t>The median straight-line origin-destination separation is 1.558 km in training, 1.495 km in validation and 1.302 km in test. The corresponding 10th-90th percentile intervals are 0.502-2.909, 0.537-2.967 and 0.364-3.055 km. Test demand therefore has a lower median separation despite a comparable upper tail. This may affect journey completion and reinforces using identical held-out demand for policy comparisons. The distance is a Euclidean proxy between edge midpoints; it is not a routed distance, congestion estimate or observed travel time.</w:t>
      </w:r>
    </w:p>
    <w:p>
      <w:pPr>
        <w:keepNext/>
        <w:keepLines/>
        <w:spacing w:before="120" w:after="40"/>
        <w:jc w:val="center"/>
      </w:pPr>
      <w:r>
        <w:drawing>
          <wp:inline xmlns:a="http://schemas.openxmlformats.org/drawingml/2006/main" xmlns:pic="http://schemas.openxmlformats.org/drawingml/2006/picture">
            <wp:extent cx="5623560" cy="2136953"/>
            <wp:docPr id="4" name="Picture 4" descr="Empirical cumulative distributions of arrivals and origin-destination separation"/>
            <wp:cNvGraphicFramePr>
              <a:graphicFrameLocks noChangeAspect="1"/>
            </wp:cNvGraphicFramePr>
            <a:graphic>
              <a:graphicData uri="http://schemas.openxmlformats.org/drawingml/2006/picture">
                <pic:pic>
                  <pic:nvPicPr>
                    <pic:cNvPr id="0" name="dataset_split_eda.png"/>
                    <pic:cNvPicPr/>
                  </pic:nvPicPr>
                  <pic:blipFill>
                    <a:blip r:embed="rId48"/>
                    <a:stretch>
                      <a:fillRect/>
                    </a:stretch>
                  </pic:blipFill>
                  <pic:spPr>
                    <a:xfrm>
                      <a:off x="0" y="0"/>
                      <a:ext cx="5623560" cy="2136953"/>
                    </a:xfrm>
                    <a:prstGeom prst="rect"/>
                  </pic:spPr>
                </pic:pic>
              </a:graphicData>
            </a:graphic>
          </wp:inline>
        </w:drawing>
      </w:r>
    </w:p>
    <w:p>
      <w:pPr>
        <w:pStyle w:val="12"/>
        <w:keepLines/>
      </w:pPr>
      <w:bookmarkStart w:id="26" w:name="nav_figure_Figure_3_2"/>
      <w:r>
        <w:t>Figure 3.2. Demand-split EDA. Left: arrival times, with the second half of the simulation shaded to show the interval with no newly generated requests. Right: straight-line origin-destination separation. Each curve is normalized within its split; sample sizes are 700, 150 and 150 requests.</w:t>
      </w:r>
      <w:bookmarkEnd w:id="26"/>
    </w:p>
    <w:p>
      <w:pPr>
        <w:widowControl/>
      </w:pPr>
      <w:r>
        <w:t>The retained route files each contain 20 taxi trips and 50 requests, and every request origin and destination resolves to an edge in the committed network. The generator and manifest make the split reproducible, but sampling different requests on one map does not test unseen road layouts or real demand shifts. No rebalancing or split changes were made in response to this descriptive EDA.</w:t>
      </w:r>
    </w:p>
    <w:p>
      <w:pPr>
        <w:pStyle w:val="4"/>
        <w:keepNext/>
      </w:pPr>
      <w:bookmarkStart w:id="27" w:name="nav_heading_3_2_3_Policy_conditioned_obs"/>
      <w:r>
        <w:t>3.2.3 Policy-conditioned observations and exposure</w:t>
      </w:r>
      <w:bookmarkEnd w:id="27"/>
    </w:p>
    <w:p>
      <w:pPr>
        <w:widowControl/>
      </w:pPr>
      <w:r>
        <w:t>The graph and telemetry records depend on the policy trajectory, unlike the fixed input demand above. Table 4.4 reports their valid-node distribution: the scored observations contain about five peer taxis and 2.5 request nodes on average. Padding must therefore be masked, and a fixed top-three explanation may cover a substantial fraction of the eligible graph. Figures 4.7 and 4.9 report outage-conditioned WAMSN and action composition, respectively. These describe the observations actually scored, not the unconditional distribution of all simulation steps. Exposure-triggered sampling scores stale observations more densely than clean observations, so record proportions must not be interpreted as fleet-wide outage prevalence. The paired analysis and episode-level resampling account for the declared comparison, but they do not make the scored records independent data samples.</w:t>
      </w:r>
    </w:p>
    <w:p>
      <w:pPr>
        <w:pStyle w:val="3"/>
        <w:keepNext/>
      </w:pPr>
      <w:bookmarkStart w:id="28" w:name="nav_heading_3_3_Observation_graph_and_ac"/>
      <w:r>
        <w:t>3.3 Observation graph and action space</w:t>
      </w:r>
      <w:bookmarkEnd w:id="28"/>
    </w:p>
    <w:p>
      <w:pPr>
        <w:widowControl/>
      </w:pPr>
      <w:r>
        <w:t>Each idle taxi receives a self-centered graph. Table 3.1 summarizes its node types, features, and roles.</w:t>
      </w:r>
    </w:p>
    <w:p>
      <w:pPr>
        <w:pStyle w:val="12"/>
        <w:keepNext/>
      </w:pPr>
      <w:bookmarkStart w:id="29" w:name="nav_table_Table_3_1"/>
      <w:r>
        <w:rPr>
          <w:b/>
        </w:rPr>
        <w:t>Table 3.1: Observation graph node types and roles</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3.3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5" name="Picture 5"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9"/>
                    <a:stretch>
                      <a:fillRect/>
                    </a:stretch>
                  </pic:blipFill>
                  <pic:spPr>
                    <a:xfrm>
                      <a:off x="0" y="0"/>
                      <a:ext cx="5623560" cy="2904119"/>
                    </a:xfrm>
                    <a:prstGeom prst="rect"/>
                  </pic:spPr>
                </pic:pic>
              </a:graphicData>
            </a:graphic>
          </wp:inline>
        </w:drawing>
      </w:r>
    </w:p>
    <w:p>
      <w:pPr>
        <w:pStyle w:val="12"/>
        <w:keepLines/>
      </w:pPr>
      <w:bookmarkStart w:id="30" w:name="nav_figure_Figure_3_3"/>
      <w:r>
        <w:t>Figure 3.3.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30"/>
    </w:p>
    <w:p>
      <w:pPr>
        <w:pStyle w:val="3"/>
        <w:keepNext/>
      </w:pPr>
      <w:bookmarkStart w:id="31" w:name="nav_heading_3_4_Policy_models_and_traini"/>
      <w:r>
        <w:t>3.4 Policy models and training</w:t>
      </w:r>
      <w:bookmarkEnd w:id="31"/>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3.4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6" name="Picture 6"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50"/>
                    <a:stretch>
                      <a:fillRect/>
                    </a:stretch>
                  </pic:blipFill>
                  <pic:spPr>
                    <a:xfrm>
                      <a:off x="0" y="0"/>
                      <a:ext cx="5623560" cy="3113151"/>
                    </a:xfrm>
                    <a:prstGeom prst="rect"/>
                  </pic:spPr>
                </pic:pic>
              </a:graphicData>
            </a:graphic>
          </wp:inline>
        </w:drawing>
      </w:r>
    </w:p>
    <w:p>
      <w:pPr>
        <w:pStyle w:val="12"/>
        <w:keepLines/>
      </w:pPr>
      <w:bookmarkStart w:id="32" w:name="nav_figure_Figure_3_4"/>
      <w:r>
        <w:t>Figure 3.4.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32"/>
    </w:p>
    <w:p>
      <w:pPr>
        <w:widowControl/>
      </w:pPr>
      <w:r>
        <w:t>Table 3.2 lists the three policy conditions included in the experiment. The non-graph baseline uses a multilayer perceptron (MLP).</w:t>
      </w:r>
    </w:p>
    <w:p>
      <w:pPr>
        <w:pStyle w:val="12"/>
        <w:keepNext/>
      </w:pPr>
      <w:bookmarkStart w:id="33" w:name="nav_table_Table_3_2"/>
      <w:r>
        <w:rPr>
          <w:b/>
        </w:rPr>
        <w:t>Table 3.2: Policy conditions used in the experiment</w:t>
      </w:r>
      <w:bookmarkEnd w:id="3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to limit late policy drift. MLP and GAT-Outage use 50 epochs because their earlier development runs needed the longer budget to meet the stability checks. The same fixed budgets are used for all three seeds within each model condition.</w:t>
      </w:r>
    </w:p>
    <w:p>
      <w:pPr>
        <w:widowControl/>
      </w:pPr>
      <w:r>
        <w:t>These choices improve stability but mean that GAT and GAT-Outage do not have the same training duration: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periodic trained snapshots, the final snapshot, and a rolling-best snapshot that may come from any trained epoch. The epoch-0 snapshot is evaluated only as an initialization diagnostic and cannot be selected as the final model. Because the implementation records zero-based indices, index 39 denotes the checkpoint saved after 40 training epochs. Selection uses eight sampled-action validation episodes with seed 2026 and the mean number of completed passenger journeys as the primary criterion; mean reward and the earlier checkpoint index break ties. MLP and GAT are selected under clean validation observations. GAT-Outage is selected under its 30-second tunnel-triggered training condition. The test split is not read during selection. Table 3.3 reports the selected checkpoint index for each training run.</w:t>
      </w:r>
    </w:p>
    <w:p>
      <w:pPr>
        <w:pStyle w:val="12"/>
        <w:keepNext/>
      </w:pPr>
      <w:bookmarkStart w:id="34" w:name="nav_table_Table_3_3"/>
      <w:r>
        <w:rPr>
          <w:b/>
        </w:rPr>
        <w:t>Table 3.3: Validation-selected checkpoint indices (zero-based)</w:t>
      </w:r>
      <w:bookmarkEnd w:id="3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r>
    </w:tbl>
    <w:p>
      <w:pPr>
        <w:widowControl/>
      </w:pPr>
      <w:r>
        <w:t>Table 3.4 reports the training and optimization settings.</w:t>
      </w:r>
    </w:p>
    <w:p>
      <w:pPr>
        <w:pStyle w:val="12"/>
        <w:keepNext/>
      </w:pPr>
      <w:bookmarkStart w:id="35" w:name="nav_table_Table_3_4"/>
      <w:r>
        <w:rPr>
          <w:b/>
        </w:rPr>
        <w:t>Table 3.4: Training and optimization settings</w:t>
      </w:r>
      <w:bookmarkEnd w:id="3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completed journeys divided by the selected checkpoint's mean validation completed journeys. The stability window defines where the training measures are calculated; the remaining four gates must pass before a training run is accepted for evaluation.</w:t>
      </w:r>
    </w:p>
    <w:p>
      <w:pPr>
        <w:pStyle w:val="12"/>
        <w:keepNext/>
      </w:pPr>
      <w:bookmarkStart w:id="36" w:name="nav_table_Table_3_5"/>
      <w:r>
        <w:rPr>
          <w:b/>
        </w:rPr>
        <w:t>Table 3.5: Checkpoint-acceptance criteria</w:t>
      </w:r>
      <w:bookmarkEnd w:id="3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zero-completion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
                  <m:e>
                    <m:r>
                      <m:t>r</m:t>
                    </m:r>
                  </m:e>
                  <m:sub>
                    <m:r>
                      <m:t>t</m:t>
                    </m:r>
                  </m:sub>
                </m:sSub>
                <m:r>
                  <m:t>=10</m:t>
                </m:r>
                <m:sSub>
                  <m:e>
                    <m:r>
                      <m:t>N</m:t>
                    </m:r>
                  </m:e>
                  <m:sub>
                    <m:r>
                      <m:rPr>
                        <m:nor/>
                      </m:rPr>
                      <m:t>complete</m:t>
                    </m:r>
                    <m:r>
                      <m:t>,t</m:t>
                    </m:r>
                  </m:sub>
                </m:sSub>
                <m:r>
                  <m:t>+0.5</m:t>
                </m:r>
                <m:sSub>
                  <m:e>
                    <m:r>
                      <m:t>N</m:t>
                    </m:r>
                  </m:e>
                  <m:sub>
                    <m:r>
                      <m:rPr>
                        <m:nor/>
                      </m:rPr>
                      <m:t>dispatch</m:t>
                    </m:r>
                    <m:r>
                      <m:t>,t</m:t>
                    </m:r>
                  </m:sub>
                </m:sSub>
                <m:r>
                  <m:t>-0.001</m:t>
                </m:r>
                <m:sSub>
                  <m:e>
                    <m:r>
                      <m:rPr>
                        <m:nor/>
                      </m:rPr>
                      <m:t>mean_wait</m:t>
                    </m:r>
                  </m:e>
                  <m:sub>
                    <m:r>
                      <m:t>t</m:t>
                    </m:r>
                  </m:sub>
                </m:sSub>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Sup>
                  <m:e>
                    <m:r>
                      <m:t>r</m:t>
                    </m:r>
                  </m:e>
                  <m:sub>
                    <m:r>
                      <m:t>i,t</m:t>
                    </m:r>
                  </m:sub>
                  <m:sup>
                    <m:r>
                      <m:rPr>
                        <m:nor/>
                      </m:rPr>
                      <m:t>train</m:t>
                    </m:r>
                  </m:sup>
                </m:sSubSup>
                <m:r>
                  <m:t>=</m:t>
                </m:r>
                <m:sSub>
                  <m:e>
                    <m:r>
                      <m:t>r</m:t>
                    </m:r>
                  </m:e>
                  <m:sub>
                    <m:r>
                      <m:t>t</m:t>
                    </m:r>
                  </m:sub>
                </m:sSub>
                <m:r>
                  <m:t>+1.0</m:t>
                </m:r>
                <m:sSub>
                  <m:e>
                    <m:r>
                      <m:t>I</m:t>
                    </m:r>
                  </m:e>
                  <m:sub>
                    <m:r>
                      <m:rPr>
                        <m:nor/>
                      </m:rPr>
                      <m:t>successful dispatch by i at t</m:t>
                    </m:r>
                  </m:sub>
                </m:sSub>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N_complete,t counts target passengers who reach their destinations; it is not a boarding count. I(.) is one when the condition is true and zero otherwise. A taxi can be absent from the action set while it serves a request. The implementation therefore keeps its last decision open and accumulates the shared reward from every intervening simulation step. For a gap of Delta steps, the interval return discounts those rewards by gamma^j, bootstraps with gamma^Delta, and applies the GAE trace factor (gamma lambda)^Delta. Terminal intervals do not bootstrap into the next episode. This semi-Markov treatment prevents rewards earned while a taxi is busy from disappearing. Neither reward contains a term for a faithful, stable, or human-readable attention map.</w:t>
      </w:r>
    </w:p>
    <w:p>
      <w:pPr>
        <w:widowControl/>
      </w:pPr>
      <w:r>
        <w:t>Figure 3.5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7" name="Picture 7"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51"/>
                    <a:stretch>
                      <a:fillRect/>
                    </a:stretch>
                  </pic:blipFill>
                  <pic:spPr>
                    <a:xfrm>
                      <a:off x="0" y="0"/>
                      <a:ext cx="5623560" cy="3247093"/>
                    </a:xfrm>
                    <a:prstGeom prst="rect"/>
                  </pic:spPr>
                </pic:pic>
              </a:graphicData>
            </a:graphic>
          </wp:inline>
        </w:drawing>
      </w:r>
    </w:p>
    <w:p>
      <w:pPr>
        <w:pStyle w:val="12"/>
        <w:keepLines/>
      </w:pPr>
      <w:bookmarkStart w:id="37" w:name="nav_figure_Figure_3_5"/>
      <w:r>
        <w:t>Figure 3.5. Shared training and validation-based selection pipeline with the model-specific budgets described above. Each frozen checkpoint receives 48 clean held-out episodes. The faithfulness audit then compares the frozen GAT and GAT-Outage checkpoints across clean and four outage conditions without reselection. This produces 720 faithfulness-sweep episodes per GAT model and 1,440 in total.</w:t>
      </w:r>
      <w:bookmarkEnd w:id="37"/>
    </w:p>
    <w:p>
      <w:pPr>
        <w:pStyle w:val="3"/>
        <w:keepNext/>
      </w:pPr>
      <w:bookmarkStart w:id="38" w:name="nav_heading_3_5_Telemetry_degradation"/>
      <w:r>
        <w:t>3.5 Telemetry degradation</w:t>
      </w:r>
      <w:bookmarkEnd w:id="38"/>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A longer outage is not assumed to cause a larger loss of faithfulness.</w:t>
      </w:r>
    </w:p>
    <w:p>
      <w:pPr>
        <w:widowControl/>
      </w:pPr>
      <w:r>
        <w:t>AoI is current simulation time minus the last valid update's timestamp (Yates et al., 2021) and is included in each GAT observation. WAMSN uses normalized AoI as a staleness weight. For this reason, an increase in WAMSN with outage duration partly verifies that the manipulation created longer stale exposure; it is not by itself proof that AoI changed DEF. Figure 3.6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8" name="Picture 8"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52"/>
                    <a:stretch>
                      <a:fillRect/>
                    </a:stretch>
                  </pic:blipFill>
                  <pic:spPr>
                    <a:xfrm>
                      <a:off x="0" y="0"/>
                      <a:ext cx="5623560" cy="3113151"/>
                    </a:xfrm>
                    <a:prstGeom prst="rect"/>
                  </pic:spPr>
                </pic:pic>
              </a:graphicData>
            </a:graphic>
          </wp:inline>
        </w:drawing>
      </w:r>
    </w:p>
    <w:p>
      <w:pPr>
        <w:pStyle w:val="12"/>
        <w:keepLines/>
      </w:pPr>
      <w:bookmarkStart w:id="39" w:name="nav_figure_Figure_3_6"/>
      <w:r>
        <w:t>Figure 3.6.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9"/>
    </w:p>
    <w:p>
      <w:pPr>
        <w:pStyle w:val="3"/>
        <w:keepNext/>
      </w:pPr>
      <w:bookmarkStart w:id="40" w:name="nav_heading_3_6_Explanation_measures"/>
      <w:r>
        <w:t>3.6 Explanation measures</w:t>
      </w:r>
      <w:bookmarkEnd w:id="40"/>
    </w:p>
    <w:p>
      <w:pPr>
        <w:pStyle w:val="4"/>
        <w:keepNext/>
      </w:pPr>
      <w:bookmarkStart w:id="41" w:name="nav_heading_3_6_1_Decision_level_explana"/>
      <w:r>
        <w:t>3.6.1 Decision-level explanation faithfulness</w:t>
      </w:r>
      <w:bookmarkEnd w:id="41"/>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Following ERASER (DeYoung et al., 2020), comprehensiveness measures output loss after removing top-k nodes R_k; sufficiency measures loss when only R_k remains. This study combines matched-random gains into DEF.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score functions. For no-op decisions, the primary metric uses standard type-matched DEF because no request action is selected. For dispatch decisions, it uses the chosen-action-protected variant so that the selected request cannot be removed. This hybrid action rule applies to both probability DEF and logit-margin DEF.</w:t>
      </w:r>
    </w:p>
    <w:p>
      <w:pPr>
        <w:widowControl/>
      </w:pPr>
      <w:r>
        <w:t>The predeclared H1-H4 analysis family and the paired clean-twin comparison use hybrid action-protected probability DEF, following the declared analysis plan. Logit-margin DEF is used for the construct-validity and ranking-control diagnostics because it can show output movement that a saturated probability hides. The two score functions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42" w:name="nav_table_Table_3_6"/>
      <w:r>
        <w:rPr>
          <w:b/>
        </w:rPr>
        <w:t>Table 3.6: Explanation measures and roles</w:t>
      </w:r>
      <w:bookmarkEnd w:id="4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43" w:name="nav_heading_3_6_2_Stale_node_attention"/>
      <w:r>
        <w:t>3.6.2 Stale-node attention</w:t>
      </w:r>
      <w:bookmarkEnd w:id="43"/>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44" w:name="nav_heading_3_7_Construct_validity_audit"/>
      <w:r>
        <w:t>3.7 Construct-validity audit</w:t>
      </w:r>
      <w:bookmarkEnd w:id="44"/>
    </w:p>
    <w:p>
      <w:pPr>
        <w:widowControl/>
      </w:pPr>
      <w:r>
        <w:t>The audit supports the primary research problem by checking whether DEF is a valid comparison in this action-candidate graph.</w:t>
      </w:r>
    </w:p>
    <w:p>
      <w:pPr>
        <w:widowControl/>
      </w:pPr>
      <w:r>
        <w:t>Random masking without type matching can select passenger requests more often than the attention top-k. Removing such a request changes both the observation and the available action set. Masking a nearby taxi changes only the available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3.7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9" name="Picture 9"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5" w:name="nav_figure_Figure_3_7"/>
      <w:r>
        <w:t>Figure 3.7. Request-node occlusion can remove its action, while peer-taxi occlusion removes context only. Corrected DEF matches subset size and node types, protects the chosen request, and logs margin clamps.</w:t>
      </w:r>
      <w:bookmarkEnd w:id="45"/>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provides a ranking measure that does not delete request actions and does not depend on random subset overlap.</w:t>
      </w:r>
    </w:p>
    <w:p>
      <w:pPr>
        <w:pStyle w:val="3"/>
        <w:keepNext/>
      </w:pPr>
      <w:bookmarkStart w:id="46" w:name="nav_heading_3_8_Evaluation_design"/>
      <w:r>
        <w:t>3.8 Evaluation design</w:t>
      </w:r>
      <w:bookmarkEnd w:id="46"/>
    </w:p>
    <w:p>
      <w:pPr>
        <w:pStyle w:val="4"/>
        <w:keepNext/>
      </w:pPr>
      <w:bookmarkStart w:id="47" w:name="nav_heading_3_8_1_Primary_evaluation"/>
      <w:r>
        <w:t>3.8.1 Primary evaluation</w:t>
      </w:r>
      <w:bookmarkEnd w:id="47"/>
    </w:p>
    <w:p>
      <w:pPr>
        <w:widowControl/>
      </w:pPr>
      <w:r>
        <w:t>MLP, GAT, and GAT-Outage are evaluated under clean telemetry with eight evaluation seeds (42-49) and six episodes per seed. One checkpoint is frozen for each model and training seed, giving 48 held-out episodes per checkpoint. The clean capability evaluation contains 432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3 × 3 × 8 × 6</m:t>
                </m:r>
                <m:r>
                  <m:t>=432</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8" w:name="nav_table_Table_3_7"/>
      <w:r>
        <w:rPr>
          <w:b/>
        </w:rPr>
        <w:t>Table 3.7: Held-out evaluation structure and episode counts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Request-row sensitivity</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2 × 3 × 5 × 8 × 6</m:t>
                </m:r>
                <m:r>
                  <m:t>=</m:t>
                </m:r>
                <m:r>
                  <m:rPr>
                    <m:sty m:val="p"/>
                  </m:rPr>
                  <m:t>1,440</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9" w:name="nav_table_Table_3_8"/>
      <w:r>
        <w:rPr>
          <w:b/>
        </w:rPr>
        <w:t>Table 3.8: Telemetry conditions used in held-out evaluation</w:t>
      </w:r>
      <w:bookmarkEnd w:id="4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50" w:name="nav_heading_3_8_2_Supporting_analyses"/>
      <w:r>
        <w:t>3.8.2 Supporting analyses</w:t>
      </w:r>
      <w:bookmarkEnd w:id="50"/>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The per-taxi, per-step trigger probability is fixed at 0.0023 for every checkpoint. This value was chosen before the revised-model test, but the corrected policies follow different trajectories and produce less random-trigger exposure than tunnel-trigger exposure. The two conditions are therefore not treated as exposure matched. The analysis reports observed exposure and uses the random condition only to check whether the direction of the paired response depends entirely on the tunnel trigger. It is a post-study sensitivity analysis, not a confirmatory test.</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2 × 3 × 2 × 3 × 3</m:t>
                </m:r>
                <m:r>
                  <m:t>=108</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The control evaluation uses seeds 42, 43, and 44 and covers all three held-out demand files in each run. LOO, Gradient x Input, overlap, and aggregation diagnostics are sampled every eight decisions. Query-row sensitivity uses the same cadence and retains only sampled selected-request actions. Records are averaged within episodes before bootstrap intervals are calculated. The pooled control CIs describe episode-level evaluation variation conditional on the three fixed checkpoints; they do not estimate uncertainty over a population of training runs. Per-training-seed control means are retained in the supporting data. Attention-aggregation sensitivity is reported by training seed for decisions with at least one visible stale vehicle node. These controls support interpretation of the main 48-episode-per-checkpoint sweep; they do not replace it.</w:t>
      </w:r>
    </w:p>
    <w:p>
      <w:pPr>
        <w:pStyle w:val="3"/>
        <w:keepNext/>
      </w:pPr>
      <w:bookmarkStart w:id="51" w:name="nav_heading_3_9_Hypotheses_and_statistic"/>
      <w:r>
        <w:t>3.9 Hypotheses and statistical analysis</w:t>
      </w:r>
      <w:bookmarkEnd w:id="51"/>
    </w:p>
    <w:p>
      <w:pPr>
        <w:widowControl/>
      </w:pPr>
      <w:r>
        <w:t>Table 3.9 summarizes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52" w:name="nav_table_Table_3_9"/>
      <w:r>
        <w:rPr>
          <w:b/>
        </w:rPr>
        <w:t>Table 3.9: Hypothesis map and analysis roles</w:t>
      </w:r>
      <w:bookmarkEnd w:id="5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 to describe association strength, together with the per-checkpoint direction and decision-relevance results to assess consistency. Weaker absolute correlation is not itself evidence of lower variability or greater robustness.</w:t>
      </w:r>
    </w:p>
    <w:p>
      <w:pPr>
        <w:pStyle w:val="4"/>
        <w:keepNext/>
      </w:pPr>
      <w:bookmarkStart w:id="53" w:name="nav_heading_3_9_1_Statistical_procedure"/>
      <w:r>
        <w:t>3.9.1 Statistical procedure</w:t>
      </w:r>
      <w:bookmarkEnd w:id="53"/>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 This criterion measures weaker association, not stability across training seeds or causal improvement from outage training.</w:t>
      </w:r>
    </w:p>
    <w:p>
      <w:pPr>
        <w:pStyle w:val="4"/>
        <w:keepNext/>
      </w:pPr>
      <w:bookmarkStart w:id="54" w:name="nav_heading_3_9_2_Interpretation_limits"/>
      <w:r>
        <w:t>3.9.2 Interpretation limits</w:t>
      </w:r>
      <w:bookmarkEnd w:id="54"/>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5" w:name="nav_heading_3_10_Audit_decision_implemen"/>
      <w:r>
        <w:t>3.10 Audit decision implementation</w:t>
      </w:r>
      <w:bookmarkEnd w:id="55"/>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decision concerns the whole declared self-row explanation channel. Its dispatch criterion is a necessary gate; failure does not establish that every no-op explanation is unfaithful. Section 4.12 separately reports an exploratory absolute no-op analysis from archived records.</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Applying them to the present results demonstrates how the audit works; it does not provide an additional confirmatory test of H1-H5. For future candidate models, the rules and thresholds must be fixed before held-out evaluation.</w:t>
      </w:r>
    </w:p>
    <w:p>
      <w:pPr>
        <w:pStyle w:val="3"/>
        <w:keepNext/>
      </w:pPr>
      <w:bookmarkStart w:id="56" w:name="nav_heading_3_11_Implementation_and_repr"/>
      <w:r>
        <w:t>3.11 Implementation and reproducibility</w:t>
      </w:r>
      <w:bookmarkEnd w:id="56"/>
    </w:p>
    <w:p>
      <w:pPr>
        <w:pStyle w:val="4"/>
        <w:keepNext/>
      </w:pPr>
      <w:bookmarkStart w:id="57" w:name="nav_heading_3_11_1_Software_environment_"/>
      <w:r>
        <w:t>3.11.1 Software environment and provenance</w:t>
      </w:r>
      <w:bookmarkEnd w:id="57"/>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widowControl/>
      </w:pPr>
      <w:r>
        <w:t>The six frozen-checkpoint sweep manifests agree on Python 3.11.15, macOS 15.7.9 on x86_64, NumPy 1.26.4, PyTorch 2.2.2, Gymnasium 1.3.0 and PettingZoo 1.26.1. They record SUMO, TraCI and sumolib version 1.20.0, with the TraCI backend and no libsumo. These recorded versions define the evaluated environment. The current general requirements file specifies SUMO bindings 1.27.0, so it must not be mistaken for the historical environment. A separate manifest-derived dependency file, docs/dissertation/requirements-evaluated.txt, preserves the recorded stack.</w:t>
      </w:r>
    </w:p>
    <w:p>
      <w:pPr>
        <w:widowControl/>
      </w:pPr>
      <w:r>
        <w:t>The CPU model, installed memory and complete end-to-end timings were not recorded. Computational workload is therefore reported as evaluation counts (Table 3.7), with hardware and per-stage timing records left for future reruns.</w:t>
      </w:r>
    </w:p>
    <w:p>
      <w:pPr>
        <w:pStyle w:val="4"/>
        <w:keepNext/>
      </w:pPr>
      <w:bookmarkStart w:id="58" w:name="nav_heading_3_11_2_Component_interfaces_"/>
      <w:r>
        <w:t>3.11.2 Component interfaces and feature configuration</w:t>
      </w:r>
      <w:bookmarkEnd w:id="58"/>
    </w:p>
    <w:p>
      <w:pPr>
        <w:widowControl/>
      </w:pPr>
      <w:r>
        <w:t>Table 3.10 connects the components to their implementation and explains why each is included. Package modules below are within dispatch_marl; the standalone analysis entry point is under scripts. The simulator advances physical state independently of the observation cache, which is necessary to construct the clean twin without changing the world.</w:t>
      </w:r>
    </w:p>
    <w:p>
      <w:pPr>
        <w:pStyle w:val="12"/>
        <w:keepNext/>
      </w:pPr>
      <w:bookmarkStart w:id="59" w:name="nav_table_Table_3_10"/>
      <w:r>
        <w:rPr>
          <w:b/>
        </w:rPr>
        <w:t>Table 3.10: Implementation components and design rationale</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299"/>
        <w:gridCol w:w="2741"/>
        <w:gridCol w:w="3980"/>
      </w:tblGrid>
      <w:tr>
        <w:trPr>
          <w:cantSplit/>
          <w:tblHeader w:val="true"/>
        </w:trPr>
        <w:tc>
          <w:tcPr>
            <w:tcW w:type="dxa" w:w="229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274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Implementation interface</w:t>
            </w:r>
          </w:p>
        </w:tc>
        <w:tc>
          <w:tcPr>
            <w:tcW w:type="dxa" w:w="398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Purpose and design rationale</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Simulator and local graph</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env.py; scenario.py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Controls taxi dispatch and builds typed observations from a reproducible road and demand scenario</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Telemetry cache</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degradation.py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Freezes received readings while SUMO continues moving; separates stale evidence from ground truth</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Typed encoder and actor</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models/policy.py; models/gat.py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Projects heterogeneous features, combines local context and scores valid request actions</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Centralized critic and PPO</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models/policy.py; training.py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Estimates team value during training; preserves local actor execution and actual decision intervals</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evaluator</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faithfulness.py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Compares ranked nodes with matched random subsets while protecting the selected action</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Statistical analysis</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scripts/analyze_hypotheses.py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Aggregates by episode, estimates uncertainty and preserves per-checkpoint variation</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audit</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explanation_audit.py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Applies explicit evidence checks and produces a traceable release decision</w:t>
            </w:r>
          </w:p>
        </w:tc>
      </w:tr>
    </w:tbl>
    <w:p>
      <w:pPr>
        <w:widowControl/>
      </w:pPr>
      <w:r>
        <w:t>Each node type has five numeric features. Self features are normalized x and y position, episode time, speed and AoI. Each of the five peer slots holds relative x/y, empty status, distance and AoI; each of the five request slots holds pickup x/y and drop-off x/y relative to the acting taxi, plus waiting time. Self position uses the network bounding box; relative positions and distances use its diagonal. Time uses the 1,200-second episode horizon. Speed, AoI and waiting time use scales of 30 m/s, 60 seconds and 600 seconds, respectively, with their upper normalized values clipped to one. The observation also includes peer and request validity masks and a separate position-valid flag.</w:t>
      </w:r>
    </w:p>
    <w:p>
      <w:pPr>
        <w:widowControl/>
      </w:pPr>
      <w:r>
        <w:t>The actor has up to 11 nodes, each projected to width 64, two attention layers and four heads per layer. The attention tensor for one observation therefore has two layers of four 11-by-11 matrices before padded entries are excluded. The six action slots are no-op and five request candidates. Inference and audit use evaluation mode; a sampled selected action is held fixed when its clean twin and counterfactual observations are scored. Neither a fresh twin nor a masked input triggers a new action sample for that comparison.</w:t>
      </w:r>
    </w:p>
    <w:p>
      <w:pPr>
        <w:pStyle w:val="4"/>
        <w:keepNext/>
      </w:pPr>
      <w:bookmarkStart w:id="60" w:name="nav_heading_3_11_3_End_to_end_algorithm"/>
      <w:r>
        <w:t>3.11.3 End-to-end algorithm</w:t>
      </w:r>
      <w:bookmarkEnd w:id="60"/>
    </w:p>
    <w:p>
      <w:pPr>
        <w:widowControl/>
      </w:pPr>
      <w:r>
        <w:t>The following pseudocode summarizes the implemented dependency order. It separates training and validation from the held-out evaluation and the post-study synthesis of release rules.</w:t>
      </w:r>
    </w:p>
    <w:p>
      <w:pPr>
        <w:keepLines/>
        <w:ind w:left="504" w:right="504"/>
        <w:jc w:val="left"/>
      </w:pPr>
      <w:r>
        <w:rPr>
          <w:rFonts w:ascii="Courier New" w:hAnsi="Courier New"/>
          <w:sz w:val="18"/>
        </w:rPr>
        <w:t>1. Load the fixed road network and the train/validation/test manifest.</w:t>
        <w:br/>
        <w:t>2. For each model and training seed:</w:t>
        <w:br/>
        <w:t xml:space="preserve">   train on training demand using interval-aware PPO updates;</w:t>
        <w:br/>
        <w:t xml:space="preserve">   select a trained checkpoint using validation completed journeys;</w:t>
        <w:br/>
        <w:t xml:space="preserve">   freeze the checkpoint and save its hash and configuration.</w:t>
        <w:br/>
        <w:t>3. For each frozen checkpoint and held-out telemetry condition:</w:t>
        <w:br/>
        <w:t xml:space="preserve">   roll out the sampled-action actor in SUMO;</w:t>
        <w:br/>
        <w:t xml:space="preserve">   capture every stale-exposed decision and scheduled clean samples;</w:t>
        <w:br/>
        <w:t xml:space="preserve">   construct its clean twin with the same nodes, masks and action;</w:t>
        <w:br/>
        <w:t xml:space="preserve">   extract the declared attention ranking;</w:t>
        <w:br/>
        <w:t xml:space="preserve">   score ranked and type-matched random subsets with action protection;</w:t>
        <w:br/>
        <w:t xml:space="preserve">   reuse random subsets across each clean/degraded pair;</w:t>
        <w:br/>
        <w:t xml:space="preserve">   save scores, freshness, action type and episode identity.</w:t>
        <w:br/>
        <w:t>4. Check evidence completeness; aggregate and resample by episode.</w:t>
        <w:br/>
        <w:t>5. Run ranking, extraction, action-type and trigger diagnostics.</w:t>
        <w:br/>
        <w:t>6. Apply the stated audit rules; emit decisions and failed-check reasons.</w:t>
      </w:r>
    </w:p>
    <w:p>
      <w:pPr>
        <w:widowControl/>
      </w:pPr>
      <w:r>
        <w:t>The minimal baseline and full audit commands are documented in the reproduction guide. The added EDA is reproduced separately with python scripts/plot_dataset_eda.py; its JSON summary records source hashes and the distance definition. It does not alter checkpoints or confirmatory hypothesis outputs.</w:t>
      </w:r>
    </w:p>
    <w:p>
      <w:pPr>
        <w:pStyle w:val="3"/>
        <w:keepNext/>
      </w:pPr>
      <w:bookmarkStart w:id="61" w:name="nav_heading_3_12_Ethics_and_data_governa"/>
      <w:r>
        <w:t>3.12 Ethics and data governance</w:t>
      </w:r>
      <w:bookmarkEnd w:id="6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62" w:name="nav_heading_Chapter_4_Results"/>
      <w:r>
        <w:t>Chapter 4: Results</w:t>
      </w:r>
      <w:bookmarkEnd w:id="62"/>
    </w:p>
    <w:p>
      <w:pPr>
        <w:widowControl/>
      </w:pPr>
      <w:r>
        <w:t>All nine clean capability evaluations and all six faithfulness sweeps passed their preflight checks. Results are reported by training seed because one checkpoint, rather than each decision, is the independent trained-policy replicate. Unless stated otherwise, intervals are 95% confidence intervals (CIs) formed from episode blocks.</w:t>
      </w:r>
    </w:p>
    <w:p>
      <w:pPr>
        <w:pStyle w:val="3"/>
        <w:keepNext/>
      </w:pPr>
      <w:bookmarkStart w:id="63" w:name="nav_heading_4_1_Policy_capability_and_tr"/>
      <w:r>
        <w:t>4.1 Policy capability and training stability</w:t>
      </w:r>
      <w:bookmarkEnd w:id="63"/>
    </w:p>
    <w:p>
      <w:pPr>
        <w:widowControl/>
      </w:pPr>
      <w:r>
        <w:t>Validation selected different epochs for different training seeds, as shown in Table 3.3. Epoch 0 was retained only as an initialization diagnostic and could not be selected. Every training run passed the declared stability gates.</w:t>
      </w:r>
    </w:p>
    <w:p>
      <w:pPr>
        <w:keepNext/>
        <w:keepLines/>
        <w:spacing w:before="120" w:after="40"/>
        <w:jc w:val="center"/>
      </w:pPr>
      <w:r>
        <w:drawing>
          <wp:inline xmlns:a="http://schemas.openxmlformats.org/drawingml/2006/main" xmlns:pic="http://schemas.openxmlformats.org/drawingml/2006/picture">
            <wp:extent cx="4663440" cy="4820122"/>
            <wp:docPr id="10" name="Picture 10" descr="GAT and GAT-Outage training and checkpoint-selection diagnostics"/>
            <wp:cNvGraphicFramePr>
              <a:graphicFrameLocks noChangeAspect="1"/>
            </wp:cNvGraphicFramePr>
            <a:graphic>
              <a:graphicData uri="http://schemas.openxmlformats.org/drawingml/2006/picture">
                <pic:pic>
                  <pic:nvPicPr>
                    <pic:cNvPr id="0" name="v10_gat_training_diagnostics.png"/>
                    <pic:cNvPicPr/>
                  </pic:nvPicPr>
                  <pic:blipFill>
                    <a:blip r:embed="rId53"/>
                    <a:stretch>
                      <a:fillRect/>
                    </a:stretch>
                  </pic:blipFill>
                  <pic:spPr>
                    <a:xfrm>
                      <a:off x="0" y="0"/>
                      <a:ext cx="4663440" cy="4820122"/>
                    </a:xfrm>
                    <a:prstGeom prst="rect"/>
                  </pic:spPr>
                </pic:pic>
              </a:graphicData>
            </a:graphic>
          </wp:inline>
        </w:drawing>
      </w:r>
    </w:p>
    <w:p>
      <w:pPr>
        <w:pStyle w:val="12"/>
        <w:keepLines/>
      </w:pPr>
      <w:bookmarkStart w:id="64" w:name="nav_figure_Figure_4_1"/>
      <w:r>
        <w:t>Figure 4.1. Training diagnostics for GAT (upper panels) and GAT-Outage (lower panels). Curves use a ten-epoch moving mean; stars mark the checkpoints selected on validation data. All six runs passed the stability gates, although the curves still show variation between epochs.</w:t>
      </w:r>
      <w:bookmarkEnd w:id="64"/>
    </w:p>
    <w:p>
      <w:pPr>
        <w:widowControl/>
      </w:pPr>
      <w:r>
        <w:t>Table 4.1 reports clean held-out capability. The learned policies complete about 12.5 to 13.0 passenger journeys per episode. Their results overlap the legal-random CI and the range of the simple greedy policy. Therefore, the comparison establishes that the audited policies can dispatch and complete journeys; it does not show that GAT is better than the baselines or MLP.</w:t>
      </w:r>
    </w:p>
    <w:p>
      <w:pPr>
        <w:pStyle w:val="12"/>
        <w:keepNext/>
      </w:pPr>
      <w:bookmarkStart w:id="65" w:name="nav_table_Table_4_1"/>
      <w:r>
        <w:rPr>
          <w:b/>
        </w:rPr>
        <w:t>Table 4.1: Policy capability on held-out demand</w:t>
      </w:r>
      <w:bookmarkEnd w:id="6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088"/>
        <w:gridCol w:w="3323"/>
        <w:gridCol w:w="3609"/>
      </w:tblGrid>
      <w:tr>
        <w:trPr>
          <w:cantSplit/>
          <w:tblHeader w:val="true"/>
        </w:trPr>
        <w:tc>
          <w:tcPr>
            <w:tcW w:type="dxa" w:w="208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33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completed journeys per episode</w:t>
            </w:r>
          </w:p>
        </w:tc>
        <w:tc>
          <w:tcPr>
            <w:tcW w:type="dxa" w:w="360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training-seed range</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12.708</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 CI [11.875, 13.542]</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12.000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[10.000, 15.000]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12.472</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12.458-12.500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12.674</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12.563-12.833</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12.799</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12.667-13.000</w:t>
            </w:r>
          </w:p>
        </w:tc>
      </w:tr>
    </w:tbl>
    <w:p>
      <w:pPr>
        <w:widowControl/>
      </w:pPr>
      <w:r>
        <w:t>The legal-random estimate uses 48 episode records. The greedy policy is deterministic for a fixed demand file, so its effective replication unit is the three held-out demand variants. Each learned-policy point uses 48 held-out episodes: eight action-sampling seeds and six episodes per seed.</w:t>
      </w:r>
    </w:p>
    <w:p>
      <w:pPr>
        <w:keepNext/>
        <w:keepLines/>
        <w:spacing w:before="120" w:after="40"/>
        <w:jc w:val="center"/>
      </w:pPr>
      <w:r>
        <w:drawing>
          <wp:inline xmlns:a="http://schemas.openxmlformats.org/drawingml/2006/main" xmlns:pic="http://schemas.openxmlformats.org/drawingml/2006/picture">
            <wp:extent cx="5623560" cy="2923244"/>
            <wp:docPr id="11" name="Picture 11" descr="Clean-telemetry performance by training seed"/>
            <wp:cNvGraphicFramePr>
              <a:graphicFrameLocks noChangeAspect="1"/>
            </wp:cNvGraphicFramePr>
            <a:graphic>
              <a:graphicData uri="http://schemas.openxmlformats.org/drawingml/2006/picture">
                <pic:pic>
                  <pic:nvPicPr>
                    <pic:cNvPr id="0" name="v10_clean_performance_by_training_seed.png"/>
                    <pic:cNvPicPr/>
                  </pic:nvPicPr>
                  <pic:blipFill>
                    <a:blip r:embed="rId54"/>
                    <a:stretch>
                      <a:fillRect/>
                    </a:stretch>
                  </pic:blipFill>
                  <pic:spPr>
                    <a:xfrm>
                      <a:off x="0" y="0"/>
                      <a:ext cx="5623560" cy="2923244"/>
                    </a:xfrm>
                    <a:prstGeom prst="rect"/>
                  </pic:spPr>
                </pic:pic>
              </a:graphicData>
            </a:graphic>
          </wp:inline>
        </w:drawing>
      </w:r>
    </w:p>
    <w:p>
      <w:pPr>
        <w:pStyle w:val="12"/>
        <w:keepLines/>
      </w:pPr>
      <w:bookmarkStart w:id="66" w:name="nav_figure_Figure_4_2"/>
      <w:r>
        <w:t>Figure 4.2. Clean-test completed journeys for each selected policy. The shaded band is the legal-random 95% CI and the dashed line is the greedy mean. Performance shows whether the policies can complete journeys; explanation faithfulness is evaluated separately.</w:t>
      </w:r>
      <w:bookmarkEnd w:id="66"/>
    </w:p>
    <w:p>
      <w:pPr>
        <w:widowControl/>
      </w:pPr>
      <w:r>
        <w:t>The separate argmax diagnostic also completes journeys. Across three held-out episodes, GAT checkpoint means are 8.0, 7.3, and 9.7; GAT-Outage means are 7.0, 7.7, and 10.0. None of the 18 checkpoint-episodes has zero completed journeys.</w:t>
      </w:r>
    </w:p>
    <w:p>
      <w:pPr>
        <w:pStyle w:val="3"/>
        <w:keepNext/>
      </w:pPr>
      <w:bookmarkStart w:id="67" w:name="nav_heading_4_2_Protocol_correction_and_"/>
      <w:r>
        <w:t>4.2 Protocol correction and precision audit</w:t>
      </w:r>
      <w:bookmarkEnd w:id="67"/>
    </w:p>
    <w:p>
      <w:pPr>
        <w:widowControl/>
      </w:pPr>
      <w:r>
        <w:t>The corrected experiment addresses four implementation risks found during the code review: rewards earned while a taxi was busy are now accumulated over the whole decision interval; completed passenger journeys are counted globally; request-linked actions are protected in dispatch DEF; and unrounded numeric values are stored for analysis. Checkpoint selection was then repeated using validation data, followed by a new held-out evaluation. No corrected result is combined with an earlier run.</w:t>
      </w:r>
    </w:p>
    <w:p>
      <w:pPr>
        <w:widowControl/>
      </w:pPr>
      <w:r>
        <w:t>Table 4.2 reports the numeric-precision check. Repeating the hypothesis analysis after rounding stored values to four decimals changed some estimates slightly but changed no direction or verdict. Full precision remains the official analysis.</w:t>
      </w:r>
    </w:p>
    <w:p>
      <w:pPr>
        <w:pStyle w:val="12"/>
        <w:keepNext/>
      </w:pPr>
      <w:bookmarkStart w:id="68" w:name="nav_table_Table_4_2"/>
      <w:r>
        <w:rPr>
          <w:b/>
        </w:rPr>
        <w:t>Table 4.2: Protocol correction and numeric-precision audit</w:t>
      </w:r>
      <w:bookmarkEnd w:id="6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723"/>
        <w:gridCol w:w="1489"/>
        <w:gridCol w:w="1406"/>
        <w:gridCol w:w="1241"/>
        <w:gridCol w:w="1161"/>
      </w:tblGrid>
      <w:tr>
        <w:trPr>
          <w:cantSplit/>
          <w:tblHeader w:val="true"/>
        </w:trPr>
        <w:tc>
          <w:tcPr>
            <w:tcW w:type="dxa" w:w="372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Precision check</w:t>
            </w:r>
          </w:p>
        </w:tc>
        <w:tc>
          <w:tcPr>
            <w:tcW w:type="dxa" w:w="148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 tested</w:t>
            </w:r>
          </w:p>
        </w:tc>
        <w:tc>
          <w:tcPr>
            <w:tcW w:type="dxa" w:w="140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Direction changes</w:t>
            </w:r>
          </w:p>
        </w:tc>
        <w:tc>
          <w:tcPr>
            <w:tcW w:type="dxa" w:w="124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Verdict changes</w:t>
            </w:r>
          </w:p>
        </w:tc>
        <w:tc>
          <w:tcPr>
            <w:tcW w:type="dxa" w:w="116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Use in thesis</w:t>
            </w:r>
          </w:p>
        </w:tc>
      </w:tr>
      <w:tr>
        <w:trPr>
          <w:cantSplit/>
        </w:trPr>
        <w:tc>
          <w:tcPr>
            <w:tcW w:type="dxa" w:w="37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precision versus four-decimal sensitivity</w:t>
            </w:r>
          </w:p>
        </w:tc>
        <w:tc>
          <w:tcPr>
            <w:tcW w:type="dxa" w:w="148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4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2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1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full precision</w:t>
            </w:r>
          </w:p>
        </w:tc>
      </w:tr>
    </w:tbl>
    <w:p>
      <w:pPr>
        <w:widowControl/>
      </w:pPr>
      <w:r>
        <w:t>The agreement is useful given the small DEF values: the reported signs and hypothesis decisions are unchanged by the tested rounding precision.</w:t>
      </w:r>
    </w:p>
    <w:p>
      <w:pPr>
        <w:pStyle w:val="3"/>
        <w:keepNext/>
      </w:pPr>
      <w:bookmarkStart w:id="69" w:name="nav_heading_4_3_Decision_relevance_contr"/>
      <w:r>
        <w:t>4.3 Decision-relevance controls</w:t>
      </w:r>
      <w:bookmarkEnd w:id="69"/>
    </w:p>
    <w:p>
      <w:pPr>
        <w:widowControl/>
      </w:pPr>
      <w:r>
        <w:t>The supporting control experiment evaluates raw attention, Gradient x Input (GxI), and leave-one-out (LOO) rankings under clean and 60-second outages. Each model-condition estimate combines 27 episode blocks: three training seeds, three evaluation seeds, and three episodes.</w:t>
      </w:r>
    </w:p>
    <w:p>
      <w:pPr>
        <w:pStyle w:val="12"/>
        <w:keepNext/>
      </w:pPr>
      <w:bookmarkStart w:id="70" w:name="nav_table_Table_4_3"/>
      <w:r>
        <w:rPr>
          <w:b/>
        </w:rPr>
        <w:t>Table 4.3: Decision-relevance controls under clean and degraded telemetry</w:t>
      </w:r>
      <w:bookmarkEnd w:id="7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791"/>
        <w:gridCol w:w="712"/>
        <w:gridCol w:w="2611"/>
        <w:gridCol w:w="2531"/>
        <w:gridCol w:w="2375"/>
      </w:tblGrid>
      <w:tr>
        <w:trPr>
          <w:cantSplit/>
          <w:tblHeader w:val="true"/>
        </w:trPr>
        <w:tc>
          <w:tcPr>
            <w:tcW w:type="dxa" w:w="79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1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w:t>
            </w:r>
          </w:p>
        </w:tc>
        <w:tc>
          <w:tcPr>
            <w:tcW w:type="dxa" w:w="261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Raw-attention margin-DEF [95% CI]</w:t>
            </w:r>
          </w:p>
        </w:tc>
        <w:tc>
          <w:tcPr>
            <w:tcW w:type="dxa" w:w="253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 [95% CI]</w:t>
            </w:r>
          </w:p>
        </w:tc>
        <w:tc>
          <w:tcPr>
            <w:tcW w:type="dxa" w:w="237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 [95% CI]</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-0.001355 [-0.002316, -0.000589]</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-0.000388 [-0.001083, 0.000303]</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+0.005595 [0.004053, 0.007436]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-0.001027 [-0.001867, -0.000401]</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+0.000002 [-0.000647, 0.000672]</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+0.005735 [0.004151, 0.007636]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-0.000596 [-0.000812, -0.000404]</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-0.000584 [-0.001059, -0.000131]</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+0.004001 [0.003037, 0.005108]</w:t>
            </w:r>
          </w:p>
        </w:tc>
      </w:tr>
      <w:tr>
        <w:trPr>
          <w:cantSplit/>
        </w:trPr>
        <w:tc>
          <w:tcPr>
            <w:tcW w:type="dxa" w:w="79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-0.000454 [-0.000656, -0.000274]</w:t>
            </w:r>
          </w:p>
        </w:tc>
        <w:tc>
          <w:tcPr>
            <w:tcW w:type="dxa" w:w="253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-0.000553 [-0.001001, -0.000117]</w:t>
            </w:r>
          </w:p>
        </w:tc>
        <w:tc>
          <w:tcPr>
            <w:tcW w:type="dxa" w:w="23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+0.003949 [0.002968, 0.005064]</w:t>
            </w:r>
          </w:p>
        </w:tc>
      </w:tr>
    </w:tbl>
    <w:p>
      <w:pPr>
        <w:widowControl/>
      </w:pPr>
      <w:r>
        <w:t>Raw attention does not beat its type-matched random control: all four CIs are below zero. LOO is positive in every case. This shows that the evaluator can reward a perturbation-based ranking, but LOO is a positive control rather than a ground-truth explanation. GxI gives mixed or negative results.</w:t>
      </w:r>
    </w:p>
    <w:p>
      <w:pPr>
        <w:keepNext/>
        <w:keepLines/>
        <w:spacing w:before="120" w:after="40"/>
        <w:jc w:val="center"/>
      </w:pPr>
      <w:r>
        <w:drawing>
          <wp:inline xmlns:a="http://schemas.openxmlformats.org/drawingml/2006/main" xmlns:pic="http://schemas.openxmlformats.org/drawingml/2006/picture">
            <wp:extent cx="5623560" cy="3982418"/>
            <wp:docPr id="12" name="Picture 12" descr="Faithfulness perturbation controls by checkpoint"/>
            <wp:cNvGraphicFramePr>
              <a:graphicFrameLocks noChangeAspect="1"/>
            </wp:cNvGraphicFramePr>
            <a:graphic>
              <a:graphicData uri="http://schemas.openxmlformats.org/drawingml/2006/picture">
                <pic:pic>
                  <pic:nvPicPr>
                    <pic:cNvPr id="0" name="v10_faithfulness_positive_controls.png"/>
                    <pic:cNvPicPr/>
                  </pic:nvPicPr>
                  <pic:blipFill>
                    <a:blip r:embed="rId55"/>
                    <a:stretch>
                      <a:fillRect/>
                    </a:stretch>
                  </pic:blipFill>
                  <pic:spPr>
                    <a:xfrm>
                      <a:off x="0" y="0"/>
                      <a:ext cx="5623560" cy="3982418"/>
                    </a:xfrm>
                    <a:prstGeom prst="rect"/>
                  </pic:spPr>
                </pic:pic>
              </a:graphicData>
            </a:graphic>
          </wp:inline>
        </w:drawing>
      </w:r>
    </w:p>
    <w:p>
      <w:pPr>
        <w:pStyle w:val="12"/>
        <w:keepLines/>
      </w:pPr>
      <w:bookmarkStart w:id="71" w:name="nav_figure_Figure_4_3"/>
      <w:r>
        <w:t>Figure 4.3. Top: clean logit-margin DEF. Bottom: independently evaluated 60-second result minus clean. LOO gives the clearest positive response; raw attention does not show a matched-random advantage.</w:t>
      </w:r>
      <w:bookmarkEnd w:id="71"/>
    </w:p>
    <w:p>
      <w:pPr>
        <w:widowControl/>
      </w:pPr>
      <w:r>
        <w:t>The attention result also depends on how weights are extracted. Every checkpoint has at least one audited layer, head, maximum, or rollout choice that reverses the direction of its default stale-attention shift.</w:t>
      </w:r>
    </w:p>
    <w:p>
      <w:pPr>
        <w:keepNext/>
        <w:keepLines/>
        <w:spacing w:before="120" w:after="40"/>
        <w:jc w:val="center"/>
      </w:pPr>
      <w:r>
        <w:drawing>
          <wp:inline xmlns:a="http://schemas.openxmlformats.org/drawingml/2006/main" xmlns:pic="http://schemas.openxmlformats.org/drawingml/2006/picture">
            <wp:extent cx="5623560" cy="3859240"/>
            <wp:docPr id="13" name="Picture 13" descr="Attention aggregation sensitivity"/>
            <wp:cNvGraphicFramePr>
              <a:graphicFrameLocks noChangeAspect="1"/>
            </wp:cNvGraphicFramePr>
            <a:graphic>
              <a:graphicData uri="http://schemas.openxmlformats.org/drawingml/2006/picture">
                <pic:pic>
                  <pic:nvPicPr>
                    <pic:cNvPr id="0" name="v10_attention_aggregation_sensitivity.png"/>
                    <pic:cNvPicPr/>
                  </pic:nvPicPr>
                  <pic:blipFill>
                    <a:blip r:embed="rId56"/>
                    <a:stretch>
                      <a:fillRect/>
                    </a:stretch>
                  </pic:blipFill>
                  <pic:spPr>
                    <a:xfrm>
                      <a:off x="0" y="0"/>
                      <a:ext cx="5623560" cy="3859240"/>
                    </a:xfrm>
                    <a:prstGeom prst="rect"/>
                  </pic:spPr>
                </pic:pic>
              </a:graphicData>
            </a:graphic>
          </wp:inline>
        </w:drawing>
      </w:r>
    </w:p>
    <w:p>
      <w:pPr>
        <w:pStyle w:val="12"/>
        <w:keepLines/>
      </w:pPr>
      <w:bookmarkStart w:id="72" w:name="nav_figure_Figure_4_4"/>
      <w:r>
        <w:t>Figure 4.4. Stale-attention shift under alternative extraction rules, multiplied by 1,000. Positive and negative values within the same checkpoint show that the conclusion can depend on the chosen layer or head.</w:t>
      </w:r>
      <w:bookmarkEnd w:id="72"/>
    </w:p>
    <w:p>
      <w:pPr>
        <w:widowControl/>
      </w:pPr>
      <w:r>
        <w:t>For dispatch decisions, the declared self-row margin-DEF is negative for both models under clean and 60-second conditions. Using the selected request row moves the estimate closer to zero, but its CIs include zero and it does not provide consistent positive evidence.</w:t>
      </w:r>
    </w:p>
    <w:p>
      <w:pPr>
        <w:keepNext/>
        <w:keepLines/>
        <w:spacing w:before="120" w:after="40"/>
        <w:jc w:val="center"/>
      </w:pPr>
      <w:r>
        <w:drawing>
          <wp:inline xmlns:a="http://schemas.openxmlformats.org/drawingml/2006/main" xmlns:pic="http://schemas.openxmlformats.org/drawingml/2006/picture">
            <wp:extent cx="5623560" cy="3899355"/>
            <wp:docPr id="14" name="Picture 14" descr="Attention query-row sensitivity"/>
            <wp:cNvGraphicFramePr>
              <a:graphicFrameLocks noChangeAspect="1"/>
            </wp:cNvGraphicFramePr>
            <a:graphic>
              <a:graphicData uri="http://schemas.openxmlformats.org/drawingml/2006/picture">
                <pic:pic>
                  <pic:nvPicPr>
                    <pic:cNvPr id="0" name="v10_action_query_row_sensitivity.png"/>
                    <pic:cNvPicPr/>
                  </pic:nvPicPr>
                  <pic:blipFill>
                    <a:blip r:embed="rId57"/>
                    <a:stretch>
                      <a:fillRect/>
                    </a:stretch>
                  </pic:blipFill>
                  <pic:spPr>
                    <a:xfrm>
                      <a:off x="0" y="0"/>
                      <a:ext cx="5623560" cy="3899355"/>
                    </a:xfrm>
                    <a:prstGeom prst="rect"/>
                  </pic:spPr>
                </pic:pic>
              </a:graphicData>
            </a:graphic>
          </wp:inline>
        </w:drawing>
      </w:r>
    </w:p>
    <w:p>
      <w:pPr>
        <w:pStyle w:val="12"/>
        <w:keepLines/>
      </w:pPr>
      <w:bookmarkStart w:id="73" w:name="nav_figure_Figure_4_5"/>
      <w:r>
        <w:t>Figure 4.5. Dispatch-action margin-DEF from the fixed self row and selected request row. The lower panels show the independently evaluated 60-second minus clean change. Changing the query row does not make decision relevance reliable.</w:t>
      </w:r>
      <w:bookmarkEnd w:id="73"/>
    </w:p>
    <w:p>
      <w:pPr>
        <w:pStyle w:val="3"/>
        <w:keepNext/>
      </w:pPr>
      <w:bookmarkStart w:id="74" w:name="nav_heading_4_4_Small_graph_resolution"/>
      <w:r>
        <w:t>4.4 Small-graph resolution</w:t>
      </w:r>
      <w:bookmarkEnd w:id="74"/>
    </w:p>
    <w:p>
      <w:pPr>
        <w:widowControl/>
      </w:pPr>
      <w:r>
        <w:t>The scored graph contains five visible peer taxis in nearly every record and a smaller, variable number of request nodes. Table 4.4 describes the eligible non-self nodes.</w:t>
      </w:r>
    </w:p>
    <w:p>
      <w:pPr>
        <w:pStyle w:val="12"/>
        <w:keepNext/>
      </w:pPr>
      <w:bookmarkStart w:id="75" w:name="nav_table_Table_4_4"/>
      <w:r>
        <w:rPr>
          <w:b/>
        </w:rPr>
        <w:t>Table 4.4: Valid node-count distribution in scored graphs</w:t>
      </w:r>
      <w:bookmarkEnd w:id="7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35"/>
        <w:gridCol w:w="2224"/>
        <w:gridCol w:w="988"/>
        <w:gridCol w:w="988"/>
        <w:gridCol w:w="1729"/>
        <w:gridCol w:w="1856"/>
      </w:tblGrid>
      <w:tr>
        <w:trPr>
          <w:cantSplit/>
          <w:tblHeader w:val="true"/>
        </w:trPr>
        <w:tc>
          <w:tcPr>
            <w:tcW w:type="dxa" w:w="123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type</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8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In a small candidate set, a top-k explanation and a matched random set can overlap by chance. For GAT, attention-LOO agreement is below the expected random overlap at k=1, 2, and 3. For GAT-Outage, it is slightly above random at k=1 but below random at k=2 and 3. The overlap reduces DEF's ability to separate rankings, especially as k increases.</w:t>
      </w:r>
    </w:p>
    <w:p>
      <w:pPr>
        <w:keepNext/>
        <w:keepLines/>
        <w:spacing w:before="120" w:after="40"/>
        <w:jc w:val="center"/>
      </w:pPr>
      <w:r>
        <w:drawing>
          <wp:inline xmlns:a="http://schemas.openxmlformats.org/drawingml/2006/main" xmlns:pic="http://schemas.openxmlformats.org/drawingml/2006/picture">
            <wp:extent cx="5623560" cy="2530076"/>
            <wp:docPr id="15" name="Picture 15" descr="Top-k overlap diagnostic"/>
            <wp:cNvGraphicFramePr>
              <a:graphicFrameLocks noChangeAspect="1"/>
            </wp:cNvGraphicFramePr>
            <a:graphic>
              <a:graphicData uri="http://schemas.openxmlformats.org/drawingml/2006/picture">
                <pic:pic>
                  <pic:nvPicPr>
                    <pic:cNvPr id="0" name="v10_def_overlap_diagnostic.png"/>
                    <pic:cNvPicPr/>
                  </pic:nvPicPr>
                  <pic:blipFill>
                    <a:blip r:embed="rId58"/>
                    <a:stretch>
                      <a:fillRect/>
                    </a:stretch>
                  </pic:blipFill>
                  <pic:spPr>
                    <a:xfrm>
                      <a:off x="0" y="0"/>
                      <a:ext cx="5623560" cy="2530076"/>
                    </a:xfrm>
                    <a:prstGeom prst="rect"/>
                  </pic:spPr>
                </pic:pic>
              </a:graphicData>
            </a:graphic>
          </wp:inline>
        </w:drawing>
      </w:r>
    </w:p>
    <w:p>
      <w:pPr>
        <w:pStyle w:val="12"/>
        <w:keepLines/>
      </w:pPr>
      <w:bookmarkStart w:id="76" w:name="nav_figure_Figure_4_6"/>
      <w:r>
        <w:t>Figure 4.6. Observed attention-LOO agreement compared with expected random overlap. Large expected overlap limits the resolution of a top-k comparison; it does not by itself prove or disprove faithfulness.</w:t>
      </w:r>
      <w:bookmarkEnd w:id="76"/>
    </w:p>
    <w:p>
      <w:pPr>
        <w:pStyle w:val="3"/>
        <w:keepNext/>
      </w:pPr>
      <w:bookmarkStart w:id="77" w:name="nav_heading_4_5_Telemetry_manipulation_a"/>
      <w:r>
        <w:t>4.5 Telemetry manipulation and stale exposure</w:t>
      </w:r>
      <w:bookmarkEnd w:id="77"/>
    </w:p>
    <w:p>
      <w:pPr>
        <w:widowControl/>
      </w:pPr>
      <w:r>
        <w:t>The outage manipulation worked as intended. Conditional WAMSN rises from about 0.027-0.029 at 10 seconds to about 0.071-0.076 at 60 seconds. Across the six checkpoints, H3 correlations between duration and WAMSN are 0.458-0.477 and remain significant after Holm correction. H3 is therefore supported for all six checkpoints.</w:t>
      </w:r>
    </w:p>
    <w:p>
      <w:pPr>
        <w:keepNext/>
        <w:keepLines/>
        <w:spacing w:before="120" w:after="40"/>
        <w:jc w:val="center"/>
      </w:pPr>
      <w:r>
        <w:drawing>
          <wp:inline xmlns:a="http://schemas.openxmlformats.org/drawingml/2006/main" xmlns:pic="http://schemas.openxmlformats.org/drawingml/2006/picture">
            <wp:extent cx="5623560" cy="5471659"/>
            <wp:docPr id="16" name="Picture 16" descr="WAMSN, probability DEF and completed journeys by outage duration"/>
            <wp:cNvGraphicFramePr>
              <a:graphicFrameLocks noChangeAspect="1"/>
            </wp:cNvGraphicFramePr>
            <a:graphic>
              <a:graphicData uri="http://schemas.openxmlformats.org/drawingml/2006/picture">
                <pic:pic>
                  <pic:nvPicPr>
                    <pic:cNvPr id="0" name="v10_decoupling_by_outage_duration.png"/>
                    <pic:cNvPicPr/>
                  </pic:nvPicPr>
                  <pic:blipFill>
                    <a:blip r:embed="rId59"/>
                    <a:stretch>
                      <a:fillRect/>
                    </a:stretch>
                  </pic:blipFill>
                  <pic:spPr>
                    <a:xfrm>
                      <a:off x="0" y="0"/>
                      <a:ext cx="5623560" cy="5471659"/>
                    </a:xfrm>
                    <a:prstGeom prst="rect"/>
                  </pic:spPr>
                </pic:pic>
              </a:graphicData>
            </a:graphic>
          </wp:inline>
        </w:drawing>
      </w:r>
    </w:p>
    <w:p>
      <w:pPr>
        <w:pStyle w:val="12"/>
        <w:keepLines/>
      </w:pPr>
      <w:bookmarkStart w:id="78" w:name="nav_figure_Figure_4_7"/>
      <w:r>
        <w:t>Figure 4.7. Longer observation outages increase WAMSN for every checkpoint. Completed journeys remain broadly stable. Probability DEF does not show the proposed decline. WAMSN verifies stale exposure; it does not show that AoI causes a change in faithfulness.</w:t>
      </w:r>
      <w:bookmarkEnd w:id="78"/>
    </w:p>
    <w:p>
      <w:pPr>
        <w:pStyle w:val="3"/>
        <w:keepNext/>
      </w:pPr>
      <w:bookmarkStart w:id="79" w:name="nav_heading_4_6_Paired_clean_and_degrade"/>
      <w:r>
        <w:t>4.6 Paired clean and degraded observations</w:t>
      </w:r>
      <w:bookmarkEnd w:id="79"/>
    </w:p>
    <w:p>
      <w:pPr>
        <w:widowControl/>
      </w:pPr>
      <w:r>
        <w:t>The paired audit compares each degraded observation with its exact clean twin at the same SUMO step. Positive attention shift means that the degraded observation assigns more attention to nodes marked stale. Positive DEF shift means that measured DEF is higher, not lower, under degradation.</w:t>
      </w:r>
    </w:p>
    <w:p>
      <w:pPr>
        <w:pStyle w:val="12"/>
        <w:keepNext/>
      </w:pPr>
      <w:bookmarkStart w:id="80" w:name="nav_table_Table_4_5"/>
      <w:r>
        <w:rPr>
          <w:b/>
        </w:rPr>
        <w:t>Table 4.5: Exposure-conditioned paired attention and DEF shifts</w:t>
      </w:r>
      <w:bookmarkEnd w:id="8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608"/>
        <w:gridCol w:w="3704"/>
      </w:tblGrid>
      <w:tr>
        <w:trPr>
          <w:cantSplit/>
          <w:tblHeader w:val="true"/>
        </w:trPr>
        <w:tc>
          <w:tcPr>
            <w:tcW w:type="dxa" w:w="94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608"/>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Stale-attention shift x 1,000 [95% CI]</w:t>
            </w:r>
          </w:p>
        </w:tc>
        <w:tc>
          <w:tcPr>
            <w:tcW w:type="dxa" w:w="370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Probability-DEF shift x 10,000 [95% CI]</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+3.834 [+3.725, +3.943]</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 [+0.763, +0.940]</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+0.015 [-0.005, +0.037]</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 [+1.048, +1.418]</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-2.639 [-2.708, -2.574]</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 [+1.772, +2.008]</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+3.347 [+3.254, +3.443]</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 [+0.739, +0.979]</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+0.928 [+0.913, +0.943]</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 [+1.489, +1.699]</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-3.578 [-3.646, -3.508]</w:t>
            </w:r>
          </w:p>
        </w:tc>
        <w:tc>
          <w:tcPr>
            <w:tcW w:type="dxa" w:w="37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 [+0.455, +0.574]</w:t>
            </w:r>
          </w:p>
        </w:tc>
      </w:tr>
    </w:tbl>
    <w:p>
      <w:pPr>
        <w:widowControl/>
      </w:pPr>
      <w:r>
        <w:t>The estimates summarize stale-exposed decisions across the evaluated degraded conditions using the saved episode-block analysis. Attention uses all eligible stale-exposed records; DEF additionally requires a scorable action, so their record and episode-block counts can differ. They do not estimate variation across new, independently trained policies. The unscaled paired probability-DEF increases range from approximately 0.000051 to 0.000189. These are changes in the composite, random-adjusted DEF score, not percentage-point improvements in success probability. Their consistent positive direction contradicts the predicted decline but does not establish practically useful explanations. No deployment utility threshold for this effect size has been validated.</w:t>
      </w:r>
    </w:p>
    <w:p>
      <w:pPr>
        <w:widowControl/>
      </w:pPr>
      <w:r>
        <w:t>Three checkpoints show a clear increase in attention to stale nodes, two show a clear decrease, and GAT seed 43 is inconclusive because its 95% CI crosses zero. The direction follows the training seed more closely than the training condition: both seed-44 checkpoints are negative. All six paired DEF changes are small and positive, which is opposite to the proposed degradation-related decline.</w:t>
      </w:r>
    </w:p>
    <w:p>
      <w:pPr>
        <w:keepNext/>
        <w:keepLines/>
        <w:spacing w:before="120" w:after="40"/>
        <w:jc w:val="center"/>
      </w:pPr>
      <w:r>
        <w:drawing>
          <wp:inline xmlns:a="http://schemas.openxmlformats.org/drawingml/2006/main" xmlns:pic="http://schemas.openxmlformats.org/drawingml/2006/picture">
            <wp:extent cx="5623560" cy="2680961"/>
            <wp:docPr id="17" name="Picture 17" descr="Paired attention and faithfulness shifts"/>
            <wp:cNvGraphicFramePr>
              <a:graphicFrameLocks noChangeAspect="1"/>
            </wp:cNvGraphicFramePr>
            <a:graphic>
              <a:graphicData uri="http://schemas.openxmlformats.org/drawingml/2006/picture">
                <pic:pic>
                  <pic:nvPicPr>
                    <pic:cNvPr id="0" name="v10_paired_attention_and_faithfulness_shift.png"/>
                    <pic:cNvPicPr/>
                  </pic:nvPicPr>
                  <pic:blipFill>
                    <a:blip r:embed="rId60"/>
                    <a:stretch>
                      <a:fillRect/>
                    </a:stretch>
                  </pic:blipFill>
                  <pic:spPr>
                    <a:xfrm>
                      <a:off x="0" y="0"/>
                      <a:ext cx="5623560" cy="2680961"/>
                    </a:xfrm>
                    <a:prstGeom prst="rect"/>
                  </pic:spPr>
                </pic:pic>
              </a:graphicData>
            </a:graphic>
          </wp:inline>
        </w:drawing>
      </w:r>
    </w:p>
    <w:p>
      <w:pPr>
        <w:pStyle w:val="12"/>
        <w:keepLines/>
      </w:pPr>
      <w:bookmarkStart w:id="81" w:name="nav_figure_Figure_4_8"/>
      <w:r>
        <w:t>Figure 4.8. Exposure-conditioned degraded-minus-clean shifts by frozen checkpoint. Error bars are episode-block bootstrap CIs. Attention direction varies across checkpoints, while probability DEF increases slightly in all six.</w:t>
      </w:r>
      <w:bookmarkEnd w:id="81"/>
    </w:p>
    <w:p>
      <w:pPr>
        <w:pStyle w:val="3"/>
        <w:keepNext/>
      </w:pPr>
      <w:bookmarkStart w:id="82" w:name="nav_heading_4_7_Analysis_by_action_type"/>
      <w:r>
        <w:t>4.7 Analysis by action type</w:t>
      </w:r>
      <w:bookmarkEnd w:id="82"/>
    </w:p>
    <w:p>
      <w:pPr>
        <w:widowControl/>
      </w:pPr>
      <w:r>
        <w:t>The corrected reward handling changes the action composition compared with the earlier experiment. For GAT, dispatch accounts for 9,649 of 12,028 scorable decisions (80.2%); no-op accounts for 2,379 (19.8%). For GAT-Outage, dispatch accounts for 8,392 of 12,022 decisions (69.8%) and no-op for 3,630 (30.2%). Table 4.6 shows that this balance still differs by checkpoint.</w:t>
      </w:r>
    </w:p>
    <w:p>
      <w:pPr>
        <w:pStyle w:val="12"/>
        <w:keepNext/>
      </w:pPr>
      <w:bookmarkStart w:id="83" w:name="nav_table_Table_4_6"/>
      <w:r>
        <w:rPr>
          <w:b/>
        </w:rPr>
        <w:t>Table 4.6: Action composition and paired DEF by action type</w:t>
      </w:r>
      <w:bookmarkEnd w:id="8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00"/>
        <w:gridCol w:w="850"/>
        <w:gridCol w:w="850"/>
        <w:gridCol w:w="1900"/>
        <w:gridCol w:w="1900"/>
        <w:gridCol w:w="1920"/>
      </w:tblGrid>
      <w:tr>
        <w:trPr>
          <w:cantSplit/>
          <w:tblHeader w:val="true"/>
        </w:trPr>
        <w:tc>
          <w:tcPr>
            <w:tcW w:type="dxa" w:w="16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All-action DEF shift x 10,000</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DEF shift x 10,000</w:t>
            </w:r>
          </w:p>
        </w:tc>
        <w:tc>
          <w:tcPr>
            <w:tcW w:type="dxa" w:w="19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DEF shift x 10,000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83.7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-0.228</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+1.095</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-0.420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+2.146</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17.3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82.7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+2.660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-0.450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+1.584</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26.0</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74.0</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-1.024</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+2.760</w:t>
            </w:r>
          </w:p>
        </w:tc>
      </w:tr>
      <w:tr>
        <w:trPr>
          <w:cantSplit/>
        </w:trPr>
        <w:tc>
          <w:tcPr>
            <w:tcW w:type="dxa" w:w="16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30.8</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69.2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-0.456</w:t>
            </w:r>
          </w:p>
        </w:tc>
        <w:tc>
          <w:tcPr>
            <w:tcW w:type="dxa" w:w="1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w:t>
            </w:r>
          </w:p>
        </w:tc>
      </w:tr>
    </w:tbl>
    <w:p>
      <w:pPr>
        <w:widowControl/>
      </w:pPr>
      <w:r>
        <w:t>The two action groups move in opposite directions in every checkpoint: no-op DEF decreases, while dispatch DEF increases. The positive all-action estimate obscures this difference between the two action types, making the separate results necessary for interpretation.</w:t>
      </w:r>
    </w:p>
    <w:p>
      <w:pPr>
        <w:keepNext/>
        <w:keepLines/>
        <w:spacing w:before="120" w:after="40"/>
        <w:jc w:val="center"/>
      </w:pPr>
      <w:r>
        <w:drawing>
          <wp:inline xmlns:a="http://schemas.openxmlformats.org/drawingml/2006/main" xmlns:pic="http://schemas.openxmlformats.org/drawingml/2006/picture">
            <wp:extent cx="5623560" cy="4018144"/>
            <wp:docPr id="18" name="Picture 18" descr="Faithfulness analysis by action type"/>
            <wp:cNvGraphicFramePr>
              <a:graphicFrameLocks noChangeAspect="1"/>
            </wp:cNvGraphicFramePr>
            <a:graphic>
              <a:graphicData uri="http://schemas.openxmlformats.org/drawingml/2006/picture">
                <pic:pic>
                  <pic:nvPicPr>
                    <pic:cNvPr id="0" name="v10_action_stratified_faithfulness.png"/>
                    <pic:cNvPicPr/>
                  </pic:nvPicPr>
                  <pic:blipFill>
                    <a:blip r:embed="rId61"/>
                    <a:stretch>
                      <a:fillRect/>
                    </a:stretch>
                  </pic:blipFill>
                  <pic:spPr>
                    <a:xfrm>
                      <a:off x="0" y="0"/>
                      <a:ext cx="5623560" cy="4018144"/>
                    </a:xfrm>
                    <a:prstGeom prst="rect"/>
                  </pic:spPr>
                </pic:pic>
              </a:graphicData>
            </a:graphic>
          </wp:inline>
        </w:drawing>
      </w:r>
    </w:p>
    <w:p>
      <w:pPr>
        <w:pStyle w:val="12"/>
        <w:keepLines/>
      </w:pPr>
      <w:bookmarkStart w:id="84" w:name="nav_figure_Figure_4_9"/>
      <w:r>
        <w:t>Figure 4.9. (a) Scorable action counts and dispatch share; (b) selected action probability; (c) all, no-op, and dispatch paired DEF changes; and (d) an enlarged view of the no-op changes. Error bars are episode-block bootstrap CIs.</w:t>
      </w:r>
      <w:bookmarkEnd w:id="84"/>
    </w:p>
    <w:p>
      <w:pPr>
        <w:pStyle w:val="3"/>
        <w:keepNext/>
      </w:pPr>
      <w:bookmarkStart w:id="85" w:name="nav_heading_4_8_Random_trigger_sensitivi"/>
      <w:r>
        <w:t>4.8 Random-trigger sensitivity analysis</w:t>
      </w:r>
      <w:bookmarkEnd w:id="85"/>
    </w:p>
    <w:p>
      <w:pPr>
        <w:widowControl/>
      </w:pPr>
      <w:r>
        <w:t>The random-loss control replaces tunnel entry with an independent per-taxi, per-step trigger while retaining a 30-second observation-layer freeze. The configured trigger rate is fixed, but observed random exposure is only about 18% of tunnel exposure. This is a trigger-location sensitivity check, not an exposure-matched causal comparison.</w:t>
      </w:r>
    </w:p>
    <w:p>
      <w:pPr>
        <w:pStyle w:val="12"/>
        <w:keepNext/>
      </w:pPr>
      <w:bookmarkStart w:id="86" w:name="nav_table_Table_4_7"/>
      <w:r>
        <w:rPr>
          <w:b/>
        </w:rPr>
        <w:t>Table 4.7: Tunnel and random-trigger sensitivity summary</w:t>
      </w:r>
      <w:bookmarkEnd w:id="8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00"/>
        <w:gridCol w:w="2420"/>
        <w:gridCol w:w="3300"/>
      </w:tblGrid>
      <w:tr>
        <w:trPr>
          <w:cantSplit/>
          <w:tblHeader w:val="true"/>
        </w:trPr>
        <w:tc>
          <w:tcPr>
            <w:tcW w:type="dxa" w:w="33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Result compared between tunnel and random triggers</w:t>
            </w:r>
          </w:p>
        </w:tc>
        <w:tc>
          <w:tcPr>
            <w:tcW w:type="dxa" w:w="242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Checkpoints agreeing in direction</w:t>
            </w:r>
          </w:p>
        </w:tc>
        <w:tc>
          <w:tcPr>
            <w:tcW w:type="dxa" w:w="33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Stale-attention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broad seed pattern remains, with one near-zero mismatch</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Probability-DEF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both triggers give a small positive shift</w:t>
            </w:r>
          </w:p>
        </w:tc>
      </w:tr>
      <w:tr>
        <w:trPr>
          <w:cantSplit/>
        </w:trPr>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 rate</w:t>
            </w:r>
          </w:p>
        </w:tc>
        <w:tc>
          <w:tcPr>
            <w:tcW w:type="dxa" w:w="24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 matched</w:t>
            </w:r>
          </w:p>
        </w:tc>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 condition has much lower realized exposure</w:t>
            </w:r>
          </w:p>
        </w:tc>
      </w:tr>
    </w:tbl>
    <w:p>
      <w:pPr>
        <w:keepNext/>
        <w:keepLines/>
        <w:spacing w:before="120" w:after="40"/>
        <w:jc w:val="center"/>
      </w:pPr>
      <w:r>
        <w:drawing>
          <wp:inline xmlns:a="http://schemas.openxmlformats.org/drawingml/2006/main" xmlns:pic="http://schemas.openxmlformats.org/drawingml/2006/picture">
            <wp:extent cx="5623560" cy="1944779"/>
            <wp:docPr id="19" name="Picture 19" descr="Random telemetry-loss robustness check"/>
            <wp:cNvGraphicFramePr>
              <a:graphicFrameLocks noChangeAspect="1"/>
            </wp:cNvGraphicFramePr>
            <a:graphic>
              <a:graphicData uri="http://schemas.openxmlformats.org/drawingml/2006/picture">
                <pic:pic>
                  <pic:nvPicPr>
                    <pic:cNvPr id="0" name="v10_random_loss_robustness.png"/>
                    <pic:cNvPicPr/>
                  </pic:nvPicPr>
                  <pic:blipFill>
                    <a:blip r:embed="rId62"/>
                    <a:stretch>
                      <a:fillRect/>
                    </a:stretch>
                  </pic:blipFill>
                  <pic:spPr>
                    <a:xfrm>
                      <a:off x="0" y="0"/>
                      <a:ext cx="5623560" cy="1944779"/>
                    </a:xfrm>
                    <a:prstGeom prst="rect"/>
                  </pic:spPr>
                </pic:pic>
              </a:graphicData>
            </a:graphic>
          </wp:inline>
        </w:drawing>
      </w:r>
    </w:p>
    <w:p>
      <w:pPr>
        <w:pStyle w:val="12"/>
        <w:keepLines/>
      </w:pPr>
      <w:bookmarkStart w:id="87" w:name="nav_figure_Figure_4_10"/>
      <w:r>
        <w:t>Figure 4.10. Tunnel and random triggers under a 30-second freeze. The random condition creates less exposure. Attention direction agrees for five checkpoints and DEF direction for all six, but several random-condition CIs are wide because few stale-exposed decisions occur.</w:t>
      </w:r>
      <w:bookmarkEnd w:id="87"/>
    </w:p>
    <w:p>
      <w:pPr>
        <w:pStyle w:val="3"/>
        <w:keepNext/>
      </w:pPr>
      <w:bookmarkStart w:id="88" w:name="nav_heading_4_9_Hypothesis_results"/>
      <w:r>
        <w:t>4.9 Hypothesis results</w:t>
      </w:r>
      <w:bookmarkEnd w:id="88"/>
    </w:p>
    <w:p>
      <w:pPr>
        <w:widowControl/>
      </w:pPr>
      <w:r>
        <w:t>Figure 4.11 shows increasing DEF rank across within-episode WAMSN groups. All six checkpoint correlations are positive, providing no support for the negative association predicted by H4.</w:t>
      </w:r>
    </w:p>
    <w:p>
      <w:pPr>
        <w:keepNext/>
        <w:keepLines/>
        <w:spacing w:before="120" w:after="40"/>
        <w:jc w:val="center"/>
      </w:pPr>
      <w:r>
        <w:drawing>
          <wp:inline xmlns:a="http://schemas.openxmlformats.org/drawingml/2006/main" xmlns:pic="http://schemas.openxmlformats.org/drawingml/2006/picture">
            <wp:extent cx="5623560" cy="2928129"/>
            <wp:docPr id="20" name="Picture 20" descr="Within-episode WAMSN-DEF relationship and H4 results"/>
            <wp:cNvGraphicFramePr>
              <a:graphicFrameLocks noChangeAspect="1"/>
            </wp:cNvGraphicFramePr>
            <a:graphic>
              <a:graphicData uri="http://schemas.openxmlformats.org/drawingml/2006/picture">
                <pic:pic>
                  <pic:nvPicPr>
                    <pic:cNvPr id="0" name="v10_h4_correlation_by_training_seed.png"/>
                    <pic:cNvPicPr/>
                  </pic:nvPicPr>
                  <pic:blipFill>
                    <a:blip r:embed="rId63"/>
                    <a:stretch>
                      <a:fillRect/>
                    </a:stretch>
                  </pic:blipFill>
                  <pic:spPr>
                    <a:xfrm>
                      <a:off x="0" y="0"/>
                      <a:ext cx="5623560" cy="2928129"/>
                    </a:xfrm>
                    <a:prstGeom prst="rect"/>
                  </pic:spPr>
                </pic:pic>
              </a:graphicData>
            </a:graphic>
          </wp:inline>
        </w:drawing>
      </w:r>
    </w:p>
    <w:p>
      <w:pPr>
        <w:pStyle w:val="12"/>
        <w:keepLines/>
      </w:pPr>
      <w:bookmarkStart w:id="89" w:name="nav_figure_Figure_4_11"/>
      <w:r>
        <w:t>Figure 4.11. Panel (a) groups WAMSN within each episode and shows mean DEF rank. Panel (b) reports the per-checkpoint mean Spearman correlation and CI. H4 predicted a negative relationship; all six estimates are positive, so H4 is not supported.</w:t>
      </w:r>
      <w:bookmarkEnd w:id="89"/>
    </w:p>
    <w:p>
      <w:pPr>
        <w:pStyle w:val="12"/>
        <w:keepNext/>
      </w:pPr>
      <w:bookmarkStart w:id="90" w:name="nav_table_Table_4_8"/>
      <w:r>
        <w:rPr>
          <w:b/>
        </w:rPr>
        <w:t>Table 4.8: Hypothesis outcomes across training seeds</w:t>
      </w:r>
      <w:bookmarkEnd w:id="9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82"/>
        <w:gridCol w:w="1503"/>
        <w:gridCol w:w="2029"/>
        <w:gridCol w:w="2106"/>
      </w:tblGrid>
      <w:tr>
        <w:trPr>
          <w:cantSplit/>
          <w:tblHeader w:val="true"/>
        </w:trPr>
        <w:tc>
          <w:tcPr>
            <w:tcW w:type="dxa" w:w="338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2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10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DEF decreases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WAMSN increases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manipulation check</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gives weaker H1 and H4 relationships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 matched comparisons</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consistent across seeds</w:t>
            </w:r>
          </w:p>
        </w:tc>
      </w:tr>
    </w:tbl>
    <w:p>
      <w:pPr>
        <w:widowControl/>
      </w:pPr>
      <w:r>
        <w:t>H1 correlations are non-negative (0.015-0.226), and H4 mean within-episode correlations are also non-negative (0.097-0.518). H2 cannot be supported when the expected faithfulness decline is absent. GAT-Outage has weaker absolute H1 and H4 relationships than its matched GAT checkpoint for seeds 42 and 44, but not seed 43; H5 is therefore not consistent.</w:t>
      </w:r>
    </w:p>
    <w:p>
      <w:pPr>
        <w:pStyle w:val="3"/>
        <w:keepNext/>
      </w:pPr>
      <w:bookmarkStart w:id="91" w:name="nav_heading_4_10_Answers_to_the_research"/>
      <w:r>
        <w:t>4.10 Answers to the research questions</w:t>
      </w:r>
      <w:bookmarkEnd w:id="91"/>
    </w:p>
    <w:p>
      <w:pPr>
        <w:widowControl/>
      </w:pPr>
      <w:r>
        <w:rPr>
          <w:b/>
          <w:i w:val="0"/>
        </w:rPr>
        <w:t>RQ1:</w:t>
      </w:r>
      <w:r>
        <w:t xml:space="preserve"> The tested averaged self-row attention does not establish reliable dispatch decision relevance under clean telemetry. Its dispatch margin-DEF is below the matched-random control, while LOO gives a positive control response. Selected-request-row sensitivity does not establish a consistent advantage over random controls; this does not reject all attention-based explanation methods. No-op evidence is reported separately in Section 4.12.</w:t>
      </w:r>
    </w:p>
    <w:p>
      <w:pPr>
        <w:widowControl/>
      </w:pPr>
      <w:r>
        <w:rPr>
          <w:b/>
          <w:i w:val="0"/>
        </w:rPr>
        <w:t>RQ2:</w:t>
      </w:r>
      <w:r>
        <w:t xml:space="preserve"> Degradation changes stale-node attention, but not in one consistent direction. Three checkpoints show a clear shift toward stale nodes, two show a clear shift away, and one is inconclusive.</w:t>
      </w:r>
    </w:p>
    <w:p>
      <w:pPr>
        <w:widowControl/>
      </w:pPr>
      <w:r>
        <w:rPr>
          <w:b/>
          <w:i w:val="0"/>
        </w:rPr>
        <w:t>RQ3:</w:t>
      </w:r>
      <w:r>
        <w:t xml:space="preserve"> Longer outages consistently increase stale exposure, but the proposed decline in DEF is not observed. The result also differs by action type and by attention-extraction choice.</w:t>
      </w:r>
    </w:p>
    <w:p>
      <w:pPr>
        <w:widowControl/>
      </w:pPr>
      <w:r>
        <w:rPr>
          <w:b/>
          <w:i w:val="0"/>
        </w:rPr>
        <w:t>RQ4:</w:t>
      </w:r>
      <w:r>
        <w:t xml:space="preserve"> The tested outage-trained configuration does not remove checkpoint variation or make raw attention pass the decision-relevance check.</w:t>
      </w:r>
    </w:p>
    <w:p>
      <w:pPr>
        <w:pStyle w:val="3"/>
        <w:keepNext/>
        <w:pageBreakBefore/>
      </w:pPr>
      <w:bookmarkStart w:id="92" w:name="nav_heading_4_11_Explanation_release_aud"/>
      <w:r>
        <w:t>4.11 Explanation-release audit</w:t>
      </w:r>
      <w:bookmarkEnd w:id="92"/>
    </w:p>
    <w:p>
      <w:pPr>
        <w:widowControl/>
      </w:pPr>
      <w:r>
        <w:t>The final framework decision is WITHHOLD for GAT, GAT-Outage, and all six checkpoints. This means that the evidence is complete enough to audit, but raw attention should not be presented as the reason for a dispatch or no-op decision. This is a conservative decision for the whole declared explanation channel, based in part on failed dispatch decision relevance. It does not mean that no-op faithfulness fails individually in every checkpoint. The exploratory no-op analysis in Section 4.12 does not alter the original release criteria.</w:t>
      </w:r>
    </w:p>
    <w:p>
      <w:pPr>
        <w:pStyle w:val="12"/>
        <w:keepNext/>
      </w:pPr>
      <w:bookmarkStart w:id="93" w:name="nav_table_Table_4_9"/>
      <w:r>
        <w:rPr>
          <w:b/>
        </w:rPr>
        <w:t>Table 4.9: Freshness-aware explanation audit decisions</w:t>
      </w:r>
      <w:bookmarkEnd w:id="9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1850"/>
        <w:gridCol w:w="1850"/>
        <w:gridCol w:w="36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Audit check</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GAT-Outage</w:t>
            </w:r>
          </w:p>
        </w:tc>
        <w:tc>
          <w:tcPr>
            <w:tcW w:type="dxa" w:w="36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Main reason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Evidence integrity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all sweep preflights passed</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Freshness visibility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AoI-derived exposure is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Action-aware controls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type matching, action protection, and LOO are present</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Decision relevance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dispatch self-row margin-DEF CIs are below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 composition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no-op and dispatch are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Extraction stability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alternative heads or layers reverse direction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Checkpoint consistency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stale-attention direction differs across seeds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Deployment-action capability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audit scope uses sampled actions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Trigger robustness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6"/>
              </w:rPr>
              <w:t>INDETERMINATE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GAT seed 43 random-trigger interval crosses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Model decision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required release checks do not pass</w:t>
            </w:r>
          </w:p>
        </w:tc>
      </w:tr>
    </w:tbl>
    <w:p>
      <w:pPr>
        <w:widowControl/>
      </w:pPr>
      <w:r>
        <w:t>Under this decision, attention remains available for internal model diagnosis, with freshness displayed separately. It is not released as an audited explanation of the selected action.</w:t>
      </w:r>
    </w:p>
    <w:p>
      <w:pPr>
        <w:pStyle w:val="3"/>
        <w:keepNext/>
      </w:pPr>
      <w:bookmarkStart w:id="94" w:name="nav_heading_4_12_Supplementary_no_op_dec"/>
      <w:r>
        <w:t>4.12 Supplementary no-op decision relevance</w:t>
      </w:r>
      <w:bookmarkEnd w:id="94"/>
    </w:p>
    <w:p>
      <w:pPr>
        <w:widowControl/>
      </w:pPr>
      <w:r>
        <w:t>A supplementary analysis of the archived main-sweep records examines whether no-op attention exceeds its type-matched random control in absolute DEF. This addresses a different question from the paired change under degradation. The analysis is exploratory and leaves the original H1-H5 tests and release criteria unchanged. Only scored no-op decisions with at least one available request are eligible. The existing cadence and stale-exposure sampling schedule is retained, so these estimates describe the scored records rather than all no-op actions or a matched clean/degraded sample.</w:t>
      </w:r>
    </w:p>
    <w:p>
      <w:pPr>
        <w:widowControl/>
      </w:pPr>
      <w:r>
        <w:t>Each cell first averages scores within evaluation-seed/episode blocks for one fixed checkpoint. Table 4.10 reports equal-weight block means and pointwise 95% percentile intervals from 10,000 bootstrap draws (seed 20260912). These intervals are exploratory, are not multiplicity-adjusted, and do not estimate between-training-seed uncertainty. E/D denotes eligible episode blocks/scored decisions; episodes without eligible no-op records do not contribute.</w:t>
      </w:r>
    </w:p>
    <w:p>
      <w:pPr>
        <w:pStyle w:val="12"/>
        <w:keepNext/>
        <w:pageBreakBefore/>
      </w:pPr>
      <w:bookmarkStart w:id="95" w:name="nav_table_Table_4_10"/>
      <w:r>
        <w:rPr>
          <w:b/>
        </w:rPr>
        <w:t>Table 4.10: Exploratory no-op margin-DEF by checkpoint and condition</w:t>
      </w:r>
      <w:bookmarkEnd w:id="9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80"/>
        <w:gridCol w:w="2729"/>
        <w:gridCol w:w="2729"/>
        <w:gridCol w:w="1782"/>
      </w:tblGrid>
      <w:tr>
        <w:trPr>
          <w:cantSplit/>
          <w:tblHeader w:val="true"/>
        </w:trPr>
        <w:tc>
          <w:tcPr>
            <w:tcW w:type="dxa" w:w="178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 / seed</w:t>
            </w:r>
          </w:p>
        </w:tc>
        <w:tc>
          <w:tcPr>
            <w:tcW w:type="dxa" w:w="2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Clean mean [95% CI]</w:t>
            </w:r>
          </w:p>
        </w:tc>
        <w:tc>
          <w:tcPr>
            <w:tcW w:type="dxa" w:w="2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60 s mean [95% CI]</w:t>
            </w:r>
          </w:p>
        </w:tc>
        <w:tc>
          <w:tcPr>
            <w:tcW w:type="dxa" w:w="178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E/D clean; 60 s</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42</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+0.448 [+0.274, +0.628]</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+0.150 [+0.082, +0.221]</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26/41; 47/194</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43</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-3.475 [-6.850, -0.758]</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-4.939 [-6.841, -3.226]</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37/64; 48/322</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44</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+0.031 [-0.060, +0.145]</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-0.852 [-0.964, -0.742]</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25/40; 46/209</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42</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+0.660 [+0.539, +0.783]</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+0.173 [+0.111, +0.241]</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41/92; 48/417</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43</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+0.266 [+0.078, +0.459]</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-0.102 [-0.216, +0.021]</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37/65; 48/324</w:t>
            </w:r>
          </w:p>
        </w:tc>
      </w:tr>
      <w:tr>
        <w:trPr>
          <w:cantSplit/>
        </w:trPr>
        <w:tc>
          <w:tcPr>
            <w:tcW w:type="dxa" w:w="17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44</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+0.460 [+0.175, +0.782]</w:t>
            </w:r>
          </w:p>
        </w:tc>
        <w:tc>
          <w:tcPr>
            <w:tcW w:type="dxa" w:w="2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+0.238 [+0.052, +0.447]</w:t>
            </w:r>
          </w:p>
        </w:tc>
        <w:tc>
          <w:tcPr>
            <w:tcW w:type="dxa" w:w="178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40/82; 48/383</w:t>
            </w:r>
          </w:p>
        </w:tc>
      </w:tr>
    </w:tbl>
    <w:p>
      <w:pPr>
        <w:widowControl/>
      </w:pPr>
      <w:r>
        <w:t>All margin-DEF values in Table 4.10 are multiplied by 1,000 for readability. GAT seed 42 and GAT-Outage seeds 42 and 44 have positive margin-DEF intervals in both conditions. GAT seed 43 is below zero in both; GAT seed 44 is inconclusive when clean and below zero at 60 seconds; GAT-Outage seed 43 is positive when clean and inconclusive at 60 seconds. Probability DEF is less consistent: only GAT seed 42 and GAT-Outage seed 42 have positive intervals in both conditions. Thus a decline under degradation need not imply an absolute failure against the random comparator, and the dispatch result must not be generalized to every no-op explanation. Small effects, score choice, sampling differences and checkpoint variation limit interpretation.</w:t>
      </w:r>
    </w:p>
    <w:p>
      <w:pPr>
        <w:widowControl/>
      </w:pPr>
      <w:r>
        <w:t>The original whole-channel decision remains WITHHOLD because its dispatch and stability requirements are not met. This supplementary analysis does not certify any checkpoint for explanation release. Appendix C summarizes the original hypothesis tests and identifies the supporting files containing full-precision estimates, sample counts and archive hashes.</w:t>
      </w:r>
    </w:p>
    <w:p>
      <w:pPr>
        <w:pStyle w:val="2"/>
        <w:keepNext/>
      </w:pPr>
      <w:bookmarkStart w:id="96" w:name="nav_heading_Chapter_5_Discussion"/>
      <w:r>
        <w:t>Chapter 5: Discussion</w:t>
      </w:r>
      <w:bookmarkEnd w:id="96"/>
    </w:p>
    <w:p>
      <w:pPr>
        <w:pStyle w:val="3"/>
        <w:keepNext/>
      </w:pPr>
      <w:bookmarkStart w:id="97" w:name="nav_heading_5_1_Answer_to_the_central_pr"/>
      <w:r>
        <w:t>5.1 Answer to the central problem</w:t>
      </w:r>
      <w:bookmarkEnd w:id="97"/>
    </w:p>
    <w:p>
      <w:pPr>
        <w:widowControl/>
      </w:pPr>
      <w:r>
        <w:t>The central problem is whether a graph-attention map can still be trusted when some vehicle readings are stale. In the tested setting, the averaged self-row attention channel does not meet the specified explanation-release requirements. The attention map remains available during an outage, but the results do not show that degradation reduces faithfulness: the clean dispatch control already fails, and paired probability DEF rises slightly. The evidence is insufficient to show the tested attention map as an explanation. It does not establish that stale data always cause attention explanations to fail.</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freshness visibility and decision relevance. In this study, those tests do not provide sufficiently consistent evidence, so every tested checkpoint receives WITHHOLD.</w:t>
      </w:r>
    </w:p>
    <w:p>
      <w:pPr>
        <w:pStyle w:val="3"/>
        <w:keepNext/>
      </w:pPr>
      <w:bookmarkStart w:id="98" w:name="nav_heading_5_2_How_to_read_the_evidence"/>
      <w:r>
        <w:t>5.2 How to read the evidence</w:t>
      </w:r>
      <w:bookmarkEnd w:id="98"/>
    </w:p>
    <w:p>
      <w:pPr>
        <w:widowControl/>
      </w:pPr>
      <w:r>
        <w:t>The experiment provides four related but different forms of evidence.</w:t>
      </w:r>
    </w:p>
    <w:p>
      <w:pPr>
        <w:widowControl/>
      </w:pPr>
      <w:r>
        <w:rPr>
          <w:b/>
          <w:i w:val="0"/>
        </w:rPr>
        <w:t>Clean baseline.</w:t>
      </w:r>
      <w:r>
        <w:t xml:space="preserve"> Under clean telemetry, raw-attention margin-DEF is below its type-matched random control for both models, while the LOO positive control is clearly above zero. The evaluator can therefore reward a ranking built from output changes, but raw attention does not provide the required evidence of decision relevance.</w:t>
      </w:r>
    </w:p>
    <w:p>
      <w:pPr>
        <w:widowControl/>
      </w:pPr>
      <w:r>
        <w:rPr>
          <w:b/>
          <w:i w:val="0"/>
        </w:rPr>
        <w:t>Stale-data exposure.</w:t>
      </w:r>
      <w:r>
        <w:t xml:space="preserve"> WAMSN rises as the outage becomes longer. This shows that attention-weighted vehicle-information age increases. WAMSN can rise without any attention reallocation when the same information becomes older; reallocation is assessed separately using stale-attention share and mass. It does not show that data age causes faithfulness to decline because AoI is part of the WAMSN definition.</w:t>
      </w:r>
    </w:p>
    <w:p>
      <w:pPr>
        <w:widowControl/>
      </w:pPr>
      <w:r>
        <w:rPr>
          <w:b/>
          <w:i w:val="0"/>
        </w:rPr>
        <w:t>Duration and within-policy association.</w:t>
      </w:r>
      <w:r>
        <w:t xml:space="preserve"> The proposed negative relationships are not supported. DEF does not decline as outage duration or WAMSN increases. The observed directions differ from those predicted, while the failed clean dispatch control limits any interpretation as improved explanation quality.</w:t>
      </w:r>
    </w:p>
    <w:p>
      <w:pPr>
        <w:widowControl/>
      </w:pPr>
      <w:r>
        <w:rPr>
          <w:b/>
          <w:i w:val="0"/>
        </w:rPr>
        <w:t>Direct paired change.</w:t>
      </w:r>
      <w:r>
        <w:t xml:space="preserve"> The clean/degraded pairs compare the same decision before and after the observation-layer change. Three checkpoints show a clear shift toward stale nodes, two show a clear shift away, and one is inconclusive. DEF increases slightly in all six, which is opposite to the expected decline. This does not validate attention: the clean decision-relevance control has already failed.</w:t>
      </w:r>
    </w:p>
    <w:p>
      <w:pPr>
        <w:keepNext/>
        <w:keepLines/>
        <w:spacing w:before="120" w:after="40"/>
        <w:jc w:val="center"/>
      </w:pPr>
      <w:r>
        <w:drawing>
          <wp:inline xmlns:a="http://schemas.openxmlformats.org/drawingml/2006/main" xmlns:pic="http://schemas.openxmlformats.org/drawingml/2006/picture">
            <wp:extent cx="5623560" cy="3313031"/>
            <wp:docPr id="21" name="Picture 21" descr="Evidence interpretation summary"/>
            <wp:cNvGraphicFramePr>
              <a:graphicFrameLocks noChangeAspect="1"/>
            </wp:cNvGraphicFramePr>
            <a:graphic>
              <a:graphicData uri="http://schemas.openxmlformats.org/drawingml/2006/picture">
                <pic:pic>
                  <pic:nvPicPr>
                    <pic:cNvPr id="0" name="v10_evidence_path_summary.png"/>
                    <pic:cNvPicPr/>
                  </pic:nvPicPr>
                  <pic:blipFill>
                    <a:blip r:embed="rId64"/>
                    <a:stretch>
                      <a:fillRect/>
                    </a:stretch>
                  </pic:blipFill>
                  <pic:spPr>
                    <a:xfrm>
                      <a:off x="0" y="0"/>
                      <a:ext cx="5623560" cy="3313031"/>
                    </a:xfrm>
                    <a:prstGeom prst="rect"/>
                  </pic:spPr>
                </pic:pic>
              </a:graphicData>
            </a:graphic>
          </wp:inline>
        </w:drawing>
      </w:r>
    </w:p>
    <w:p>
      <w:pPr>
        <w:pStyle w:val="12"/>
        <w:keepLines/>
      </w:pPr>
      <w:bookmarkStart w:id="99" w:name="nav_figure_Figure_5_1"/>
      <w:r>
        <w:t>Figure 5.1. How the four forms of evidence should be interpreted. Each form answers a different question and leads to a separate audit requirement.</w:t>
      </w:r>
      <w:bookmarkEnd w:id="99"/>
    </w:p>
    <w:p>
      <w:pPr>
        <w:widowControl/>
      </w:pPr>
      <w:r>
        <w:t>These measures answer different questions. WAMSN checks whether stale evidence is present, the duration tests compare progressively longer outages, and paired shifts measure the direct response of the same decision to a changed observation. Keeping them separate prevents a freshness measure from being presented as a faithfulness effect.</w:t>
      </w:r>
    </w:p>
    <w:p>
      <w:pPr>
        <w:widowControl/>
      </w:pPr>
      <w:r>
        <w:t>The negative clean result is consistent with the need to test attention rather than equate it with explanation (Jain and Wallace, 2019; Wiegreffe and Pinter, 2019). It also fits the argument of Shin et al. (2025) that naive attention aggregation can miss computation paths. It does not independently validate their GAtt method, which was not implemented here. The distinction matters: a failed raw self-row channel leaves room for better attribution methods but choosing whichever row gives a favorable result after testing would not validate it.</w:t>
      </w:r>
    </w:p>
    <w:p>
      <w:pPr>
        <w:widowControl/>
      </w:pPr>
      <w:r>
        <w:t>The separation between stable capability and weak explanation evidence is also relevant to Li et al. (2024) and Azzolin et al. (2026). Their settings show that correct predictions alone do not guarantee reliable explanations. The present study finds a similar problem in sequential decision-making. The mechanisms differ, however: this experiment freezes telemetry features and audits raw attention, rather than attacking graph edges or constructing self-explaining classifiers. Its evidence should not be reported as a replication of their mechanisms or as a comparable numerical effect size.</w:t>
      </w:r>
    </w:p>
    <w:p>
      <w:pPr>
        <w:pStyle w:val="3"/>
        <w:keepNext/>
      </w:pPr>
      <w:bookmarkStart w:id="100" w:name="nav_heading_5_3_Why_the_result_is_not_co"/>
      <w:r>
        <w:t>5.3 Why the result is not consistent</w:t>
      </w:r>
      <w:bookmarkEnd w:id="100"/>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Dispatch accounts for 80.2% of GAT and 69.8% of GAT-Outage scorable decisions in the corrected experiment. Dispatch DEF increases slightly under degradation, whereas no-op DEF decreases in every checkpoint. The combined positive shift conceals the decline for no-op decisions, which require separate interpretation.</w:t>
      </w:r>
    </w:p>
    <w:p>
      <w:pPr>
        <w:widowControl/>
      </w:pPr>
      <w:r>
        <w:rPr>
          <w:b/>
          <w:i w:val="0"/>
        </w:rPr>
        <w:t>Attention extraction.</w:t>
      </w:r>
      <w:r>
        <w:t xml:space="preserve"> Different heads, layers, aggregations, or query rows can change the direction or strength of the result. The network does not supply a single, uniquely defined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declared scope. The smaller deterministic diagnostic also completes journeys, but it is not part of the confirmatory audit. A deployment audit must use the same action rule that the deployed system will use.</w:t>
      </w:r>
    </w:p>
    <w:p>
      <w:pPr>
        <w:pStyle w:val="3"/>
        <w:keepNext/>
      </w:pPr>
      <w:bookmarkStart w:id="101" w:name="nav_heading_5_4_Why_the_construct_validi"/>
      <w:r>
        <w:t>5.4 Why the construct-validity controls matter</w:t>
      </w:r>
      <w:bookmarkEnd w:id="101"/>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Within this limited resolution, the tested attention channel lacks reproducible evidence of faithfulness. Other extraction or attribution methods would require their own evaluation.</w:t>
      </w:r>
    </w:p>
    <w:p>
      <w:pPr>
        <w:widowControl/>
      </w:pPr>
      <w:r>
        <w:t>The controls address a specific instance of the broader evaluator problem identified by Zheng et al. (2024): perturbations can change what the score measures. Type matching controls node composition and selected-action protection prevents deletion of the explained action. Neither guarantees that every masked graph lies on the training distribution. Similarly, Azzolin et al. (2025) show why different definitions of faithfulness should not be treated as equivalent. Here probability DEF, margin-DEF and WAMSN have explicitly different roles. He et al. (2025) further caution, through their theoretical connections, that gradient and perturbation evidence may share mechanisms. LOO therefore shows that the evaluator responds to the ranking; it does not independently establish a causal explanation.</w:t>
      </w:r>
    </w:p>
    <w:p>
      <w:pPr>
        <w:pStyle w:val="3"/>
        <w:keepNext/>
      </w:pPr>
      <w:bookmarkStart w:id="102" w:name="nav_heading_5_5_Why_outage_training_did_"/>
      <w:r>
        <w:t>5.5 Why outage training did not solve the problem</w:t>
      </w:r>
      <w:bookmarkEnd w:id="102"/>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The different training budgets also prevent us from isolating the effect of training with degraded observations. In addition, the reward contains no term for explanation stability or faithfulness. A future test of model improvement would require a common training budget, independent training runs, and an explicit explanation objective.</w:t>
      </w:r>
    </w:p>
    <w:p>
      <w:pPr>
        <w:widowControl/>
      </w:pPr>
      <w:r>
        <w:t>Recent delay-aware methods such as DFBT (Wu et al., 2025) and robust communication methods such as MAGI (Ding et al., 2024) optimize state estimation or useful information exchange. They suggest candidate model improvements, but their objectives differ from the present release criteria. A future comparison would have to evaluate dispatch capability and apply the same action-aware explanation protocol without changing its rules. Cross-paper rewards or prediction accuracies cannot substitute for this matched comparison because tasks, action spaces and degradation mechanisms differ.</w:t>
      </w:r>
    </w:p>
    <w:p>
      <w:pPr>
        <w:pStyle w:val="3"/>
        <w:keepNext/>
      </w:pPr>
      <w:bookmarkStart w:id="103" w:name="nav_heading_5_6_Proposed_audit_framework"/>
      <w:r>
        <w:t>5.6 Proposed audit framework</w:t>
      </w:r>
      <w:bookmarkEnd w:id="103"/>
    </w:p>
    <w:p>
      <w:pPr>
        <w:pStyle w:val="4"/>
        <w:keepNext/>
      </w:pPr>
      <w:bookmarkStart w:id="104" w:name="nav_heading_5_6_1_Purpose_and_scope"/>
      <w:r>
        <w:t>5.6.1 Purpose and scope</w:t>
      </w:r>
      <w:bookmarkEnd w:id="104"/>
    </w:p>
    <w:p>
      <w:pPr>
        <w:widowControl/>
      </w:pPr>
      <w:r>
        <w:t xml:space="preserve">The </w:t>
      </w:r>
      <w:r>
        <w:rPr>
          <w:b/>
          <w:i w:val="0"/>
        </w:rPr>
        <w:t>freshness-aware explanation audit framework</w:t>
      </w:r>
      <w:r>
        <w:t xml:space="preserve"> combines these checks to decide whether there is enough evidence to show an attention map as an explanation to an operator. It evaluates the evidence for a frozen policy within specified operating conditions. Table 5.1 links each observed risk to the required evidence and decision rule.</w:t>
      </w:r>
    </w:p>
    <w:p>
      <w:pPr>
        <w:pStyle w:val="12"/>
        <w:keepNext/>
      </w:pPr>
      <w:bookmarkStart w:id="105" w:name="nav_table_Table_5_1"/>
      <w:r>
        <w:rPr>
          <w:b/>
        </w:rPr>
        <w:t>Table 5.1: Freshness-aware explanation audit framework</w:t>
      </w:r>
      <w:bookmarkEnd w:id="10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the majority action group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2" name="Picture 22"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5"/>
                    <a:stretch>
                      <a:fillRect/>
                    </a:stretch>
                  </pic:blipFill>
                  <pic:spPr>
                    <a:xfrm>
                      <a:off x="0" y="0"/>
                      <a:ext cx="5623560" cy="2701176"/>
                    </a:xfrm>
                    <a:prstGeom prst="rect"/>
                  </pic:spPr>
                </pic:pic>
              </a:graphicData>
            </a:graphic>
          </wp:inline>
        </w:drawing>
      </w:r>
    </w:p>
    <w:p>
      <w:pPr>
        <w:pStyle w:val="12"/>
        <w:keepLines/>
      </w:pPr>
      <w:bookmarkStart w:id="106"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106"/>
    </w:p>
    <w:p>
      <w:pPr>
        <w:pStyle w:val="4"/>
        <w:keepNext/>
      </w:pPr>
      <w:bookmarkStart w:id="107" w:name="nav_heading_5_6_2_Inputs_outputs_and_use"/>
      <w:r>
        <w:t>5.6.2 Inputs, outputs and use</w:t>
      </w:r>
      <w:bookmarkEnd w:id="107"/>
    </w:p>
    <w:p>
      <w:pPr>
        <w:widowControl/>
      </w:pPr>
      <w:r>
        <w:t>The framework accepts evidence rather than raw attention alone. Table 5.2 summarizes its inputs and outputs.</w:t>
      </w:r>
    </w:p>
    <w:p>
      <w:pPr>
        <w:pStyle w:val="12"/>
        <w:keepNext/>
      </w:pPr>
      <w:bookmarkStart w:id="108" w:name="nav_table_Table_5_2"/>
      <w:r>
        <w:rPr>
          <w:b/>
        </w:rPr>
        <w:t>Table 5.2: Audit framework inputs and outputs</w:t>
      </w:r>
      <w:bookmarkEnd w:id="10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109" w:name="nav_heading_5_6_3_Application_to_this_st"/>
      <w:r>
        <w:t>5.6.3 Application to this study</w:t>
      </w:r>
      <w:bookmarkEnd w:id="109"/>
    </w:p>
    <w:p>
      <w:pPr>
        <w:widowControl/>
      </w:pPr>
      <w:r>
        <w:t>Applying the framework to the completed evidence gives WITHHOLD for GAT and GAT-Outage and for all six individual checkpoints. The decision follows from insufficient support for explanation release: the dispatch-action decision-relevance intervals do not exceed the matched-random boundary, attention extraction can reverse the stale-attention direction, and the stale-attention response changes direction across training seeds. The random trigger check passes for GAT-Outage but is indeterminate for GAT because one checkpoint interval crosses zero. The argmax diagnostic completes journeys, but it remains descriptive because the audit scope uses sampled actions.</w:t>
      </w:r>
    </w:p>
    <w:p>
      <w:pPr>
        <w:widowControl/>
      </w:pPr>
      <w:r>
        <w:t>The supplementary no-op results (Section 4.12) include positive absolute margin-DEF for some checkpoints in both clean and degraded conditions. The whole-channel WITHHOLD decision should therefore not be read as a universal no-op failure. H5 also describes weaker associations rather than reduced variation; consistency is assessed from per-checkpoint results.</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model trained for faithfulness is still needed to demonstrate that a trained policy can meet all the release requirements. Future evaluations should retain criteria fixed before testing. The audit's confidence intervals also differ from the formal model-level sufficiency certificates of Saha and Bandyopadhyay (2026). The present framework provides release checks for the stated operating conditions, but it offers no equivalent distribution-free guarantee.</w:t>
      </w:r>
    </w:p>
    <w:p>
      <w:pPr>
        <w:pStyle w:val="3"/>
        <w:keepNext/>
      </w:pPr>
      <w:bookmarkStart w:id="110" w:name="nav_heading_5_7_Limitations"/>
      <w:r>
        <w:t>5.7 Limitations</w:t>
      </w:r>
      <w:bookmarkEnd w:id="110"/>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but their held-out completed-journey results overlap the legal-random CI and the simple greedy range. These baselines show that the policies can complete journeys, but do not establish a performance advantage. The experiment also does not isolate the contribution of graph edges to policy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readings that resume updating at different times.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taxis exposed at a fixed tunnel may differ from those elsewhere if traffic conditions at the tunnel differ from the rest of the network. The conclusions are therefore limited to the tested SUMO setting and should not be read as population estimates for real fleets or cities.</w:t>
      </w:r>
    </w:p>
    <w:p>
      <w:pPr>
        <w:widowControl/>
      </w:pPr>
      <w:r>
        <w:t>The descriptive EDA adds another boundary: test demand has a lower median straight-line origin-destination separation than training demand, while all splits share taxi initialization, background traffic and road geometry. Repeating evaluation with different seeds varies the sampled actions; it does not test new cities or independently generated demand processes. Historical CPU model, installed memory and complete stage timings were not retained, limiting assessment of computational cost and exact hardware reproducibility.</w:t>
      </w:r>
    </w:p>
    <w:p>
      <w:pPr>
        <w:pStyle w:val="3"/>
        <w:keepNext/>
      </w:pPr>
      <w:bookmarkStart w:id="111" w:name="nav_heading_5_8_Future_work"/>
      <w:r>
        <w:t>5.8 Future work</w:t>
      </w:r>
      <w:bookmarkEnd w:id="111"/>
    </w:p>
    <w:p>
      <w:pPr>
        <w:widowControl/>
      </w:pPr>
      <w:r>
        <w:t>Three directions follow from these limitations. The first is a matched comparison of clean and outage training using common budgets, learning-rate schedules and checkpoint-selection rules, with more independent training seeds. Per-seed capability and paired DEF should be evaluated on untouched demand. Recording CPU/GPU details, memory use and elapsed time for each stage would also allow computational cost to be assessed.</w:t>
      </w:r>
    </w:p>
    <w:p>
      <w:pPr>
        <w:widowControl/>
      </w:pPr>
      <w:r>
        <w:t>The second is broader evaluation across road networks, demand processes, public mobility traces and telemetry failures. Varying tunnel placement and calibrating random-loss rates on development data would help separate trigger location, exposure frequency and outage duration. Delayed, intermittent and biased telemetry should be compared with fixed freezes, with realized exposure reported alongside faithfulness. Disconnected-edge and message-passing ablations would clarify the contribution of the graph to dispatch capability.</w:t>
      </w:r>
    </w:p>
    <w:p>
      <w:pPr>
        <w:widowControl/>
      </w:pPr>
      <w:r>
        <w:t>The third is to evaluate alternative graph explainers and training objectives that reward explanation consistency. Computation-path attribution and graph-specific post-hoc methods could be compared with LOO on independent checkpoints using release criteria fixed before testing. Both rejected and eligible candidates are needed to evaluate the framework fully. A subsequent human-factors study could assess whether freshness warnings help operators interpret the explanations; COViz (Amitai, Septon and Amir, 2024) illustrates why human understanding requires a separate evaluation.</w:t>
      </w:r>
    </w:p>
    <w:p>
      <w:pPr>
        <w:pStyle w:val="2"/>
        <w:keepNext/>
      </w:pPr>
      <w:bookmarkStart w:id="112" w:name="nav_heading_Chapter_6_Conclusion"/>
      <w:r>
        <w:t>Chapter 6: Conclusion</w:t>
      </w:r>
      <w:bookmarkEnd w:id="112"/>
    </w:p>
    <w:p>
      <w:pPr>
        <w:widowControl/>
      </w:pPr>
      <w:r>
        <w:t>This dissertation asked whether raw graph-attention weights can be trusted as explanations of fleet-dispatch decisions when vehicle telemetry becomes stale. The tested weights should not be released as explanations. They remain available under clean and degraded observations, but they do not pass the required checks for decision relevance, extraction stability, and consistency across independently trained checkpoints. This conclusion concerns the declared averaged self-row channel, not all attention-based explanation methods.</w:t>
      </w:r>
    </w:p>
    <w:p>
      <w:pPr>
        <w:widowControl/>
      </w:pPr>
      <w:r>
        <w:t>The corrected experiment does not show that telemetry degradation reduces DEF. Longer outages consistently increase stale-data exposure, confirming that the manipulation worked, but H1, H2, and H4 are not supported. Paired DEF increases slightly for all six checkpoints. This increase should not be interpreted as improved explanation quality because raw attention has dispatch margin-DEF below its type-matched random control under clean telemetry. Telemetry freshness and explanation faithfulness therefore need separate checks.</w:t>
      </w:r>
    </w:p>
    <w:p>
      <w:pPr>
        <w:keepNext/>
        <w:widowControl/>
      </w:pPr>
      <w:r>
        <w:t>The research questions are answered as follows.</w:t>
      </w:r>
    </w:p>
    <w:p>
      <w:pPr>
        <w:pStyle w:val="14"/>
        <w:keepLines/>
        <w:numPr>
          <w:ilvl w:val="0"/>
          <w:numId w:val="11"/>
        </w:numPr>
        <w:spacing w:after="40"/>
      </w:pPr>
      <w:r>
        <w:rPr>
          <w:b/>
          <w:i w:val="0"/>
        </w:rPr>
        <w:t>RQ1:</w:t>
      </w:r>
      <w:r>
        <w:t xml:space="preserve"> The tested averaged self-row attention does not establish reliable dispatch decision relevance under clean telemetry. Dispatch margin-DEF is below the matched-random control for both models, while LOO gives a positive control response. Request-row sensitivity does not establish a consistent advantage, and supplementary no-op results vary by checkpoint and condition. These findings do not exclude other attention-based explanation methods.</w:t>
      </w:r>
    </w:p>
    <w:p>
      <w:pPr>
        <w:pStyle w:val="14"/>
        <w:keepLines/>
        <w:numPr>
          <w:ilvl w:val="0"/>
          <w:numId w:val="11"/>
        </w:numPr>
        <w:spacing w:after="40"/>
      </w:pPr>
      <w:r>
        <w:rPr>
          <w:b/>
          <w:i w:val="0"/>
        </w:rPr>
        <w:t>RQ2:</w:t>
      </w:r>
      <w:r>
        <w:t xml:space="preserve"> Degradation changes the attention assigned to stale nodes, but the direction is not consistent. Three checkpoints show a clear shift toward stale nodes, two show a clear shift away, and one is inconclusive.</w:t>
      </w:r>
    </w:p>
    <w:p>
      <w:pPr>
        <w:pStyle w:val="14"/>
        <w:keepLines/>
        <w:numPr>
          <w:ilvl w:val="0"/>
          <w:numId w:val="11"/>
        </w:numPr>
        <w:spacing w:after="40"/>
      </w:pPr>
      <w:r>
        <w:rPr>
          <w:b/>
          <w:i w:val="0"/>
        </w:rPr>
        <w:t>RQ3:</w:t>
      </w:r>
      <w:r>
        <w:t xml:space="preserve"> Outage duration consistently increases WAMSN, but it does not produce the proposed decline in DEF. The measured response also differs between no-op and dispatch actions and can reverse under alternative attention-extraction choices.</w:t>
      </w:r>
    </w:p>
    <w:p>
      <w:pPr>
        <w:pStyle w:val="14"/>
        <w:keepLines/>
        <w:numPr>
          <w:ilvl w:val="0"/>
          <w:numId w:val="11"/>
        </w:numPr>
        <w:spacing w:after="120"/>
      </w:pPr>
      <w:r>
        <w:rPr>
          <w:b/>
          <w:i w:val="0"/>
        </w:rPr>
        <w:t>RQ4:</w:t>
      </w:r>
      <w:r>
        <w:t xml:space="preserve"> The tested GAT-Outage configuration does not make raw attention reliably decision-relevant or remove checkpoint variation. Because GAT and GAT-Outage use different maximum training budgets, this comparison does not isolate outage training as the cause.</w:t>
      </w:r>
    </w:p>
    <w:p>
      <w:pPr>
        <w:widowControl/>
      </w:pPr>
      <w:r>
        <w:t>The construct-validity audit is essential to these answers. A passenger-request node represents both information and an available action, whereas a peer-taxi node represents information only. Type matching and chosen-action protection prevent request deletion from creating an artificial faithfulness result. The positive LOO response shows that the evaluator can reward a ranking based on output sensitivity. The top-k overlap analysis also shows that the small graph limits measurement resolution.</w:t>
      </w:r>
    </w:p>
    <w:p>
      <w:pPr>
        <w:widowControl/>
      </w:pPr>
      <w:r>
        <w:t>The main practical contribution is the freshness-aware explanation audit framework. It accepts frozen checkpoints and held-out evidence, checks freshness, decision relevance, action composition, extraction stability, checkpoint consistency, action-rule capability, and trigger sensitivity, and returns ELIGIBLE, WITHHOLD, or INCOMPLETE. In this study, both model families and all six checkpoints receive WITHHOLD. The evidence is complete, but it does not justify presenting attention as the reason for a dispatch or no-op decision under the declared whole-channel release rule. This conservative rule does not assert that every individual no-op explanation is unfaithful.</w:t>
      </w:r>
    </w:p>
    <w:p>
      <w:pPr>
        <w:widowControl/>
      </w:pPr>
      <w:r>
        <w:t>The study is limited to one simulated district, three training seeds per model, three held-out demand variants, different clean/outage training budgets and a small action-linked graph. The experiment demonstrates rejection of the tested raw-attention channel; it does not yet demonstrate a trained model that meets all the release requirements. It also does not measure human understanding or generalization to real fleet telemetry.</w:t>
      </w:r>
    </w:p>
    <w:p>
      <w:pPr>
        <w:widowControl/>
      </w:pPr>
      <w:r>
        <w:t>Future work should first compare clean and outage training under the same training budgets with more independent seeds, then extend evaluation to other road networks and calibrated telemetry-loss conditions. Explanation-aware training and alternative graph attribution methods offer further candidates for evaluation. These experiments should retain fixed release criteria, report both passing and failing checkpoints, and record hardware and timing details.</w:t>
      </w:r>
    </w:p>
    <w:p>
      <w:pPr>
        <w:widowControl/>
      </w:pPr>
      <w:r>
        <w:t>Any future release decision should remain tied to its evaluated conditions, with telemetry freshness shown separately.</w:t>
      </w:r>
    </w:p>
    <w:p w14:paraId="342239F4">
      <w:pPr>
        <w:pStyle w:val="2"/>
        <w:pageBreakBefore/>
      </w:pPr>
      <w:bookmarkStart w:id="113" w:name="nav_heading_List_of_Publications"/>
      <w:r>
        <w:rPr>
          <w:rFonts w:ascii="Times New Roman" w:hAnsi="Times New Roman"/>
          <w:sz w:val="28"/>
        </w:rPr>
        <w:t>List of Publications</w:t>
      </w:r>
      <w:bookmarkEnd w:id="113"/>
    </w:p>
    <w:p w14:paraId="53D4ECC5">
      <w:pPr>
        <w:spacing w:after="120" w:line="276" w:lineRule="auto"/>
        <w:jc w:val="both"/>
      </w:pPr>
      <w:r>
        <w:t>No publication is claimed in this dissertation.</w:t>
      </w:r>
    </w:p>
    <w:p w14:paraId="79FA29F7">
      <w:pPr>
        <w:pStyle w:val="2"/>
        <w:pageBreakBefore/>
      </w:pPr>
      <w:bookmarkStart w:id="114" w:name="nav_heading_References"/>
      <w:r>
        <w:rPr>
          <w:rFonts w:ascii="Times New Roman" w:hAnsi="Times New Roman"/>
          <w:sz w:val="28"/>
        </w:rPr>
        <w:t>References</w:t>
      </w:r>
      <w:bookmarkEnd w:id="114"/>
    </w:p>
    <w:p>
      <w:pPr>
        <w:keepLines/>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xml:space="preserve">, pp. 4190-4197. Available at: </w:t>
      </w:r>
      <w:hyperlink r:id="rId66">
        <w:r>
          <w:t>https://doi.org/10.18653/v1/2020.acl-main.385</w:t>
        </w:r>
      </w:hyperlink>
      <w:r>
        <w:t>.</w:t>
      </w:r>
    </w:p>
    <w:p>
      <w:pPr>
        <w:keepLines/>
        <w:spacing w:line="240" w:lineRule="auto" w:after="40"/>
        <w:ind w:left="720" w:hanging="720"/>
        <w:jc w:val="left"/>
      </w:pPr>
      <w:r>
        <w:t xml:space="preserve">Adebayo, J. et al. (2018) 'Sanity checks for saliency maps', </w:t>
      </w:r>
      <w:r>
        <w:rPr>
          <w:b w:val="0"/>
          <w:i/>
        </w:rPr>
        <w:t>Advances in Neural Information Processing Systems</w:t>
      </w:r>
      <w:r>
        <w:t xml:space="preserve">, vol. 31. Available at: </w:t>
      </w:r>
      <w:hyperlink r:id="rId67">
        <w:r>
          <w:t>https://proceedings.neurips.cc/paper/2018/hash/294a8ed24b1ad22ec2e7efea049b8737-Abstract.html</w:t>
        </w:r>
      </w:hyperlink>
      <w:r>
        <w:t>.</w:t>
      </w:r>
    </w:p>
    <w:p>
      <w:pPr>
        <w:keepLines/>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xml:space="preserve">, vol. 198, pp. 44:1-44:23. Available at: </w:t>
      </w:r>
      <w:hyperlink r:id="rId68">
        <w:r>
          <w:t>https://proceedings.mlr.press/v198/amara22a.html</w:t>
        </w:r>
      </w:hyperlink>
      <w:r>
        <w:t>.</w:t>
      </w:r>
    </w:p>
    <w:p>
      <w:pPr>
        <w:keepLines/>
        <w:spacing w:line="240" w:lineRule="auto" w:after="40"/>
        <w:ind w:left="720" w:hanging="720"/>
        <w:jc w:val="left"/>
      </w:pPr>
      <w:r>
        <w:t xml:space="preserve">Amitai, Y., Septon, Y. and Amir, O. (2024) 'Explaining reinforcement learning agents through counterfactual action outcomes', </w:t>
      </w:r>
      <w:r>
        <w:rPr>
          <w:b w:val="0"/>
          <w:i/>
        </w:rPr>
        <w:t>Proceedings of the AAAI Conference on Artificial Intelligence</w:t>
      </w:r>
      <w:r>
        <w:t xml:space="preserve">, vol. 38, no. 9, pp. 10003-10011. Available at: </w:t>
      </w:r>
      <w:hyperlink r:id="rId69">
        <w:r>
          <w:t>https://doi.org/10.1609/aaai.v38i9.28863</w:t>
        </w:r>
      </w:hyperlink>
      <w:r>
        <w:t>.</w:t>
      </w:r>
    </w:p>
    <w:p>
      <w:pPr>
        <w:keepLines/>
        <w:spacing w:line="240" w:lineRule="auto" w:after="40"/>
        <w:ind w:left="720" w:hanging="720"/>
        <w:jc w:val="left"/>
      </w:pPr>
      <w:r>
        <w:t xml:space="preserve">Ancona, M., Ceolini, E., Öztireli, C. and Gross, M. (2018) 'Towards better understanding of gradient-based attribution methods for deep neural networks', in </w:t>
      </w:r>
      <w:r>
        <w:rPr>
          <w:b w:val="0"/>
          <w:i/>
        </w:rPr>
        <w:t>Proceedings of the International Conference on Learning Representations</w:t>
      </w:r>
      <w:r>
        <w:t xml:space="preserve">. Available at: </w:t>
      </w:r>
      <w:hyperlink r:id="rId70">
        <w:r>
          <w:t>https://openreview.net/forum?id=Sy21R9JAW</w:t>
        </w:r>
      </w:hyperlink>
      <w:r>
        <w:t>.</w:t>
      </w:r>
    </w:p>
    <w:p>
      <w:pPr>
        <w:keepLines/>
        <w:spacing w:line="240" w:lineRule="auto" w:after="40"/>
        <w:ind w:left="720" w:hanging="720"/>
        <w:jc w:val="left"/>
      </w:pPr>
      <w:r>
        <w:t xml:space="preserve">Armgaan, B., Dalmia, M., Medya, S. and Ranu, S. (2024) 'GraphTrail: Translating GNN predictions into human-interpretable logical rules', </w:t>
      </w:r>
      <w:r>
        <w:rPr>
          <w:b w:val="0"/>
          <w:i/>
        </w:rPr>
        <w:t>Advances in Neural Information Processing Systems</w:t>
      </w:r>
      <w:r>
        <w:t xml:space="preserve">, vol. 37. Available at: </w:t>
      </w:r>
      <w:hyperlink r:id="rId71">
        <w:r>
          <w:t>https://proceedings.neurips.cc/paper_files/paper/2024/hash/df2d51e1d3e899241c5c4c779c1d509f-Abstract-Conference.html</w:t>
        </w:r>
      </w:hyperlink>
      <w:r>
        <w:t>.</w:t>
      </w:r>
    </w:p>
    <w:p>
      <w:pPr>
        <w:keepLines/>
        <w:spacing w:line="240" w:lineRule="auto" w:after="40"/>
        <w:ind w:left="720" w:hanging="720"/>
        <w:jc w:val="left"/>
      </w:pPr>
      <w:r>
        <w:t xml:space="preserve">Azzolin, S., Longa, A., Teso, S. and Passerini, A. (2025) 'Reconsidering faithfulness in regular, self-explainable and domain invariant GNNs', in </w:t>
      </w:r>
      <w:r>
        <w:rPr>
          <w:b w:val="0"/>
          <w:i/>
        </w:rPr>
        <w:t>Proceedings of the 13th International Conference on Learning Representations</w:t>
      </w:r>
      <w:r>
        <w:t xml:space="preserve">. Available at: </w:t>
      </w:r>
      <w:hyperlink r:id="rId72">
        <w:r>
          <w:t>https://proceedings.iclr.cc/paper_files/paper/2025/hash/7969d456aede0ce6b36fb47cc64c495c-Abstract-Conference.html</w:t>
        </w:r>
      </w:hyperlink>
      <w:r>
        <w:t>.</w:t>
      </w:r>
    </w:p>
    <w:p>
      <w:pPr>
        <w:keepLines/>
        <w:spacing w:line="240" w:lineRule="auto" w:after="40"/>
        <w:ind w:left="720" w:hanging="720"/>
        <w:jc w:val="left"/>
      </w:pPr>
      <w:r>
        <w:t xml:space="preserve">Azzolin, S., Teso, S., Lepri, B., Passerini, A. and Malhotra, S. (2026) 'GNN explanations that do not explain and how to find them', in </w:t>
      </w:r>
      <w:r>
        <w:rPr>
          <w:b w:val="0"/>
          <w:i/>
        </w:rPr>
        <w:t>Proceedings of the 14th International Conference on Learning Representations</w:t>
      </w:r>
      <w:r>
        <w:t xml:space="preserve">. Available at: </w:t>
      </w:r>
      <w:hyperlink r:id="rId73">
        <w:r>
          <w:t>https://proceedings.iclr.cc/paper_files/paper/2026/hash/75a58cfb4d0de35db7663714e0f52dfa-Abstract-Conference.html</w:t>
        </w:r>
      </w:hyperlink>
      <w:r>
        <w:t>.</w:t>
      </w:r>
    </w:p>
    <w:p>
      <w:pPr>
        <w:keepLines/>
        <w:spacing w:line="240" w:lineRule="auto" w:after="40"/>
        <w:ind w:left="720" w:hanging="720"/>
        <w:jc w:val="left"/>
      </w:pPr>
      <w:r>
        <w:t xml:space="preserve">Bekkemoen, Y. (2024) 'Explainable reinforcement learning (XRL): A systematic literature review and taxonomy', </w:t>
      </w:r>
      <w:r>
        <w:rPr>
          <w:b w:val="0"/>
          <w:i/>
        </w:rPr>
        <w:t>Machine Learning</w:t>
      </w:r>
      <w:r>
        <w:t xml:space="preserve">, vol. 113, no. 1, pp. 355-441. Available at: </w:t>
      </w:r>
      <w:hyperlink r:id="rId74">
        <w:r>
          <w:t>https://doi.org/10.1007/s10994-023-06479-7</w:t>
        </w:r>
      </w:hyperlink>
      <w:r>
        <w:t>.</w:t>
      </w:r>
    </w:p>
    <w:p>
      <w:pPr>
        <w:keepLines/>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xml:space="preserve">. Available at: </w:t>
      </w:r>
      <w:hyperlink r:id="rId75">
        <w:r>
          <w:t>https://openreview.net/forum?id=QFYnKlBJYR</w:t>
        </w:r>
      </w:hyperlink>
      <w:r>
        <w:t>.</w:t>
      </w:r>
    </w:p>
    <w:p>
      <w:pPr>
        <w:keepLines/>
        <w:spacing w:line="240" w:lineRule="auto" w:after="40"/>
        <w:ind w:left="720" w:hanging="720"/>
        <w:jc w:val="left"/>
      </w:pPr>
      <w:r>
        <w:t xml:space="preserve">Bui, N., Nguyen, H.T., Nguyen, V.A. and Ying, R. (2024) 'Explaining graph neural networks via structure-aware interaction index', in </w:t>
      </w:r>
      <w:r>
        <w:rPr>
          <w:b w:val="0"/>
          <w:i/>
        </w:rPr>
        <w:t>Proceedings of the 41st International Conference on Machine Learning</w:t>
      </w:r>
      <w:r>
        <w:t xml:space="preserve">, </w:t>
      </w:r>
      <w:r>
        <w:rPr>
          <w:b w:val="0"/>
          <w:i/>
        </w:rPr>
        <w:t>PMLR</w:t>
      </w:r>
      <w:r>
        <w:t xml:space="preserve">, vol. 235, pp. 4854-4883. Available at: </w:t>
      </w:r>
      <w:hyperlink r:id="rId76">
        <w:r>
          <w:t>https://proceedings.mlr.press/v235/bui24b.html</w:t>
        </w:r>
      </w:hyperlink>
      <w:r>
        <w:t>.</w:t>
      </w:r>
    </w:p>
    <w:p>
      <w:pPr>
        <w:keepLines/>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xml:space="preserve">, pp. 4443-4458. Available at: </w:t>
      </w:r>
      <w:hyperlink r:id="rId77">
        <w:r>
          <w:t>https://doi.org/10.18653/v1/2020.acl-main.408</w:t>
        </w:r>
      </w:hyperlink>
      <w:r>
        <w:t>.</w:t>
      </w:r>
    </w:p>
    <w:p>
      <w:pPr>
        <w:keepLines/>
        <w:spacing w:line="240" w:lineRule="auto" w:after="40"/>
        <w:ind w:left="720" w:hanging="720"/>
        <w:jc w:val="left"/>
      </w:pPr>
      <w:r>
        <w:t xml:space="preserve">Ding, S., Du, W., Ding, L., Guo, L. and Zhang, J. (2024) 'Learning efficient and robust multi-agent communication via graph information bottleneck', </w:t>
      </w:r>
      <w:r>
        <w:rPr>
          <w:b w:val="0"/>
          <w:i/>
        </w:rPr>
        <w:t>Proceedings of the AAAI Conference on Artificial Intelligence</w:t>
      </w:r>
      <w:r>
        <w:t xml:space="preserve">, vol. 38, no. 16, pp. 17346-17353. Available at: </w:t>
      </w:r>
      <w:hyperlink r:id="rId78">
        <w:r>
          <w:t>https://doi.org/10.1609/aaai.v38i16.29682</w:t>
        </w:r>
      </w:hyperlink>
      <w:r>
        <w:t>.</w:t>
      </w:r>
    </w:p>
    <w:p>
      <w:pPr>
        <w:keepLines/>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xml:space="preserve">, vol. 80, pp. 1792-1801. Available at: </w:t>
      </w:r>
      <w:hyperlink r:id="rId79">
        <w:r>
          <w:t>https://proceedings.mlr.press/v80/greydanus18a.html</w:t>
        </w:r>
      </w:hyperlink>
      <w:r>
        <w:t>.</w:t>
      </w:r>
    </w:p>
    <w:p>
      <w:pPr>
        <w:keepLines/>
        <w:spacing w:line="240" w:lineRule="auto" w:after="40"/>
        <w:ind w:left="720" w:hanging="720"/>
        <w:jc w:val="left"/>
      </w:pPr>
      <w:r>
        <w:t xml:space="preserve">He, J., Rafiey, A., Mishne, G. and Wang, Y. (2025) 'Explaining GNN explanations with edge gradients', in </w:t>
      </w:r>
      <w:r>
        <w:rPr>
          <w:b w:val="0"/>
          <w:i/>
        </w:rPr>
        <w:t>Proceedings of the 31st ACM SIGKDD Conference on Knowledge Discovery and Data Mining</w:t>
      </w:r>
      <w:r>
        <w:t xml:space="preserve">, vol. 2, pp. 884-895. Available at: </w:t>
      </w:r>
      <w:hyperlink r:id="rId80">
        <w:r>
          <w:t>https://doi.org/10.1145/3711896.3736947</w:t>
        </w:r>
      </w:hyperlink>
      <w:r>
        <w:t>.</w:t>
      </w:r>
    </w:p>
    <w:p>
      <w:pPr>
        <w:keepLines/>
        <w:spacing w:line="240" w:lineRule="auto" w:after="40"/>
        <w:ind w:left="720" w:hanging="720"/>
        <w:jc w:val="left"/>
      </w:pPr>
      <w:r>
        <w:t xml:space="preserve">Heuillet, A., Couthouis, F. and Díaz-Rodríguez, N. (2021) 'Explainability in deep reinforcement learning', </w:t>
      </w:r>
      <w:r>
        <w:rPr>
          <w:b w:val="0"/>
          <w:i/>
        </w:rPr>
        <w:t>Knowledge-Based Systems</w:t>
      </w:r>
      <w:r>
        <w:t xml:space="preserve">, vol. 214, article 106685. Available at: </w:t>
      </w:r>
      <w:hyperlink r:id="rId81">
        <w:r>
          <w:t>https://doi.org/10.1016/j.knosys.2020.106685</w:t>
        </w:r>
      </w:hyperlink>
      <w:r>
        <w:t>.</w:t>
      </w:r>
    </w:p>
    <w:p>
      <w:pPr>
        <w:keepLines/>
        <w:spacing w:line="240" w:lineRule="auto" w:after="40"/>
        <w:ind w:left="720" w:hanging="720"/>
        <w:jc w:val="left"/>
      </w:pPr>
      <w:r>
        <w:t xml:space="preserve">Hong, S., Liu, Y., Li, Z., Li, S. and He, Y. (2024) 'Multi-agent collaborative perception via motion-aware robust communication network', in </w:t>
      </w:r>
      <w:r>
        <w:rPr>
          <w:b w:val="0"/>
          <w:i/>
        </w:rPr>
        <w:t>Proceedings of the IEEE/CVF Conference on Computer Vision and Pattern Recognition</w:t>
      </w:r>
      <w:r>
        <w:t xml:space="preserve">, pp. 15301-15310. Available at: </w:t>
      </w:r>
      <w:hyperlink r:id="rId82">
        <w:r>
          <w:t>https://openaccess.thecvf.com/content/CVPR2024/html/Hong_Multi-agent_Collaborative_Perception_via_Motion-aware_Robust_Communication_Network_CVPR_2024_paper.html</w:t>
        </w:r>
      </w:hyperlink>
      <w:r>
        <w:t>.</w:t>
      </w:r>
    </w:p>
    <w:p>
      <w:pPr>
        <w:keepLines/>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xml:space="preserve">, vol. 32. Available at: </w:t>
      </w:r>
      <w:hyperlink r:id="rId83">
        <w:r>
          <w:t>https://proceedings.neurips.cc/paper/2019/hash/fe4b8556000d0f0cae99daa5c5c5a410-Abstract.html</w:t>
        </w:r>
      </w:hyperlink>
      <w:r>
        <w:t>.</w:t>
      </w:r>
    </w:p>
    <w:p>
      <w:pPr>
        <w:keepLines/>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xml:space="preserve">, vol. 26, no. 10, pp. 15407-15421. Available at: </w:t>
      </w:r>
      <w:hyperlink r:id="rId84">
        <w:r>
          <w:t>https://doi.org/10.1109/TITS.2025.3595653</w:t>
        </w:r>
      </w:hyperlink>
      <w:r>
        <w:t>.</w:t>
      </w:r>
    </w:p>
    <w:p>
      <w:pPr>
        <w:keepLines/>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xml:space="preserve">, vol. 97, pp. 2961-2970. Available at: </w:t>
      </w:r>
      <w:hyperlink r:id="rId85">
        <w:r>
          <w:t>https://proceedings.mlr.press/v97/iqbal19a.html</w:t>
        </w:r>
      </w:hyperlink>
      <w:r>
        <w:t>.</w:t>
      </w:r>
    </w:p>
    <w:p>
      <w:pPr>
        <w:keepLines/>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xml:space="preserve">, pp. 4198-4205. Available at: </w:t>
      </w:r>
      <w:hyperlink r:id="rId86">
        <w:r>
          <w:t>https://doi.org/10.18653/v1/2020.acl-main.386</w:t>
        </w:r>
      </w:hyperlink>
      <w:r>
        <w:t>.</w:t>
      </w:r>
    </w:p>
    <w:p>
      <w:pPr>
        <w:keepLines/>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xml:space="preserve">, vol. 1, pp. 3543-3556. Available at: </w:t>
      </w:r>
      <w:hyperlink r:id="rId87">
        <w:r>
          <w:t>https://aclanthology.org/N19-1357/</w:t>
        </w:r>
      </w:hyperlink>
      <w:r>
        <w:t>.</w:t>
      </w:r>
    </w:p>
    <w:p>
      <w:pPr>
        <w:keepLines/>
        <w:spacing w:line="240" w:lineRule="auto" w:after="40"/>
        <w:ind w:left="720" w:hanging="720"/>
        <w:jc w:val="left"/>
      </w:pPr>
      <w:r>
        <w:t xml:space="preserve">Kaul, S., Yates, R. and Gruteser, M. (2012) 'Real-time status: How often should one update?', in </w:t>
      </w:r>
      <w:r>
        <w:rPr>
          <w:b w:val="0"/>
          <w:i/>
        </w:rPr>
        <w:t>Proceedings of IEEE INFOCOM</w:t>
      </w:r>
      <w:r>
        <w:t xml:space="preserve">, pp. 2731-2735. Available at: </w:t>
      </w:r>
      <w:hyperlink r:id="rId88">
        <w:r>
          <w:t>https://doi.org/10.1109/INFCOM.2012.6195689</w:t>
        </w:r>
      </w:hyperlink>
      <w:r>
        <w:t>.</w:t>
      </w:r>
    </w:p>
    <w:p>
      <w:pPr>
        <w:keepLines/>
        <w:spacing w:line="240" w:lineRule="auto" w:after="40"/>
        <w:ind w:left="720" w:hanging="720"/>
        <w:jc w:val="left"/>
      </w:pPr>
      <w:r>
        <w:t xml:space="preserve">Li, J., Pang, M., Dong, Y., Jia, J. and Wang, B. (2024) 'Graph neural network explanations are fragile', in </w:t>
      </w:r>
      <w:r>
        <w:rPr>
          <w:b w:val="0"/>
          <w:i/>
        </w:rPr>
        <w:t>Proceedings of the 41st International Conference on Machine Learning</w:t>
      </w:r>
      <w:r>
        <w:t xml:space="preserve">, </w:t>
      </w:r>
      <w:r>
        <w:rPr>
          <w:b w:val="0"/>
          <w:i/>
        </w:rPr>
        <w:t>Proceedings of Machine Learning Research</w:t>
      </w:r>
      <w:r>
        <w:t xml:space="preserve">, vol. 235, pp. 28551-28567. Available at: </w:t>
      </w:r>
      <w:hyperlink r:id="rId89">
        <w:r>
          <w:t>https://proceedings.mlr.press/v235/li24bd.html</w:t>
        </w:r>
      </w:hyperlink>
      <w:r>
        <w:t>.</w:t>
      </w:r>
    </w:p>
    <w:p>
      <w:pPr>
        <w:keepLines/>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xml:space="preserve">, pp. 1774-1783. Available at: </w:t>
      </w:r>
      <w:hyperlink r:id="rId90">
        <w:r>
          <w:t>https://doi.org/10.1145/3219819.3219993</w:t>
        </w:r>
      </w:hyperlink>
      <w:r>
        <w:t>.</w:t>
      </w:r>
    </w:p>
    <w:p>
      <w:pPr>
        <w:keepLines/>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xml:space="preserve">, vol. 162, pp. 13528-13556. Available at: </w:t>
      </w:r>
      <w:hyperlink r:id="rId91">
        <w:r>
          <w:t>https://proceedings.mlr.press/v162/liotet22a.html</w:t>
        </w:r>
      </w:hyperlink>
      <w:r>
        <w:t>.</w:t>
      </w:r>
    </w:p>
    <w:p>
      <w:pPr>
        <w:keepLines/>
        <w:spacing w:line="240" w:lineRule="auto" w:after="40"/>
        <w:ind w:left="720" w:hanging="720"/>
        <w:jc w:val="left"/>
      </w:pPr>
      <w:r>
        <w:t xml:space="preserve">Lipton, Z.C. (2018) 'The mythos of model interpretability', </w:t>
      </w:r>
      <w:r>
        <w:rPr>
          <w:b w:val="0"/>
          <w:i/>
        </w:rPr>
        <w:t>Queue</w:t>
      </w:r>
      <w:r>
        <w:t xml:space="preserve">, vol. 16, no. 3, pp. 31-57. Available at: </w:t>
      </w:r>
      <w:hyperlink r:id="rId92">
        <w:r>
          <w:t>https://doi.org/10.1145/3236386.3241340</w:t>
        </w:r>
      </w:hyperlink>
      <w:r>
        <w:t>.</w:t>
      </w:r>
    </w:p>
    <w:p>
      <w:pPr>
        <w:keepLines/>
        <w:spacing w:line="240" w:lineRule="auto" w:after="40"/>
        <w:ind w:left="720" w:hanging="720"/>
        <w:jc w:val="left"/>
      </w:pPr>
      <w:r>
        <w:t xml:space="preserve">Liu, Y. and Xie, S. (2025) 'Explanations of GNN on evolving graphs via axiomatic layer edges', in </w:t>
      </w:r>
      <w:r>
        <w:rPr>
          <w:b w:val="0"/>
          <w:i/>
        </w:rPr>
        <w:t>Proceedings of the 13th International Conference on Learning Representations</w:t>
      </w:r>
      <w:r>
        <w:t xml:space="preserve">. Available at: </w:t>
      </w:r>
      <w:hyperlink r:id="rId93">
        <w:r>
          <w:t>https://proceedings.iclr.cc/paper_files/paper/2025/hash/de88d78c875d93a2098dc49a0d0422da-Abstract-Conference.html</w:t>
        </w:r>
      </w:hyperlink>
      <w:r>
        <w:t>.</w:t>
      </w:r>
    </w:p>
    <w:p>
      <w:pPr>
        <w:keepLines/>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xml:space="preserve">, vol. 162, pp. 13807-13824. Available at: </w:t>
      </w:r>
      <w:hyperlink r:id="rId94">
        <w:r>
          <w:t>https://proceedings.mlr.press/v162/liu22i.html</w:t>
        </w:r>
      </w:hyperlink>
      <w:r>
        <w:t>.</w:t>
      </w:r>
    </w:p>
    <w:p>
      <w:pPr>
        <w:keepLines/>
        <w:spacing w:line="240" w:lineRule="auto" w:after="40"/>
        <w:ind w:left="720" w:hanging="720"/>
        <w:jc w:val="left"/>
      </w:pPr>
      <w:r>
        <w:t xml:space="preserve">Liu, Y., Zhang, X., Xie, S. and Xiong, H. (2025) 'Robust explanations of graph neural networks via graph curvatures', </w:t>
      </w:r>
      <w:r>
        <w:rPr>
          <w:b w:val="0"/>
          <w:i/>
        </w:rPr>
        <w:t>Advances in Neural Information Processing Systems</w:t>
      </w:r>
      <w:r>
        <w:t xml:space="preserve">, vol. 38. Available at: </w:t>
      </w:r>
      <w:hyperlink r:id="rId95">
        <w:r>
          <w:t>https://proceedings.neurips.cc/paper_files/paper/2025/hash/2c2e95b75a10adbd2359f8ed5c0a38cd-Abstract-Conference.html</w:t>
        </w:r>
      </w:hyperlink>
      <w:r>
        <w:t>.</w:t>
      </w:r>
    </w:p>
    <w:p>
      <w:pPr>
        <w:keepLines/>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xml:space="preserve">, pp. 2575-2582. Available at: </w:t>
      </w:r>
      <w:hyperlink r:id="rId96">
        <w:r>
          <w:t>https://doi.org/10.1109/ITSC.2018.8569938</w:t>
        </w:r>
      </w:hyperlink>
      <w:r>
        <w:t>.</w:t>
      </w:r>
    </w:p>
    <w:p>
      <w:pPr>
        <w:keepLines/>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xml:space="preserve">, vol. 30. Available at: </w:t>
      </w:r>
      <w:hyperlink r:id="rId97">
        <w:r>
          <w:t>https://proceedings.neurips.cc/paper/2017/hash/68a9750337a418a86fe06c1991a1d64c-Abstract.html</w:t>
        </w:r>
      </w:hyperlink>
      <w:r>
        <w:t>.</w:t>
      </w:r>
    </w:p>
    <w:p>
      <w:pPr>
        <w:keepLines/>
        <w:spacing w:line="240" w:lineRule="auto" w:after="40"/>
        <w:ind w:left="720" w:hanging="720"/>
        <w:jc w:val="left"/>
      </w:pPr>
      <w:r>
        <w:t xml:space="preserve">Lu, S., Mills, K.G., He, J., Liu, B. and Niu, D. (2024) 'GOAt: Explaining graph neural networks via graph output attribution', in </w:t>
      </w:r>
      <w:r>
        <w:rPr>
          <w:b w:val="0"/>
          <w:i/>
        </w:rPr>
        <w:t>Proceedings of the 12th International Conference on Learning Representations</w:t>
      </w:r>
      <w:r>
        <w:t xml:space="preserve">. Available at: </w:t>
      </w:r>
      <w:hyperlink r:id="rId98">
        <w:r>
          <w:t>https://proceedings.iclr.cc/paper_files/paper/2024/hash/92ee07d8a2c8f5ec08eff83f9eff0c1b-Abstract-Conference.html</w:t>
        </w:r>
      </w:hyperlink>
      <w:r>
        <w:t>.</w:t>
      </w:r>
    </w:p>
    <w:p>
      <w:pPr>
        <w:keepLines/>
        <w:spacing w:line="240" w:lineRule="auto" w:after="40"/>
        <w:ind w:left="720" w:hanging="720"/>
        <w:jc w:val="left"/>
      </w:pPr>
      <w:r>
        <w:t xml:space="preserve">Lu, W., Zhao, X., Fryen, T., Lee, J.H., Li, M., Magg, S. and Wermter, S. (2024) 'Causal state distillation for explainable reinforcement learning', in </w:t>
      </w:r>
      <w:r>
        <w:rPr>
          <w:b w:val="0"/>
          <w:i/>
        </w:rPr>
        <w:t>Proceedings of the Third Conference on Causal Learning and Reasoning</w:t>
      </w:r>
      <w:r>
        <w:t xml:space="preserve">, </w:t>
      </w:r>
      <w:r>
        <w:rPr>
          <w:b w:val="0"/>
          <w:i/>
        </w:rPr>
        <w:t>PMLR</w:t>
      </w:r>
      <w:r>
        <w:t xml:space="preserve">, vol. 236, pp. 106-142. Available at: </w:t>
      </w:r>
      <w:hyperlink r:id="rId99">
        <w:r>
          <w:t>https://proceedings.mlr.press/v236/lu24a.html</w:t>
        </w:r>
      </w:hyperlink>
      <w:r>
        <w:t>.</w:t>
      </w:r>
    </w:p>
    <w:p>
      <w:pPr>
        <w:keepLines/>
        <w:spacing w:line="240" w:lineRule="auto" w:after="40"/>
        <w:ind w:left="720" w:hanging="720"/>
        <w:jc w:val="left"/>
      </w:pPr>
      <w:r>
        <w:t xml:space="preserve">Luo, D. et al. (2020) 'Parameterized explainer for graph neural network', </w:t>
      </w:r>
      <w:r>
        <w:rPr>
          <w:b w:val="0"/>
          <w:i/>
        </w:rPr>
        <w:t>Advances in Neural Information Processing Systems</w:t>
      </w:r>
      <w:r>
        <w:t xml:space="preserve">, vol. 33, pp. 19620-19631. Available at: </w:t>
      </w:r>
      <w:hyperlink r:id="rId100">
        <w:r>
          <w:t>https://proceedings.neurips.cc/paper/2020/hash/e37b08dd3015330dcbb5d6663667b8b8-Abstract.html</w:t>
        </w:r>
      </w:hyperlink>
      <w:r>
        <w:t>.</w:t>
      </w:r>
    </w:p>
    <w:p>
      <w:pPr>
        <w:keepLines/>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xml:space="preserve">, vol. 34, no. 3, pp. 2493-2500. Available at: </w:t>
      </w:r>
      <w:hyperlink r:id="rId101">
        <w:r>
          <w:t>https://doi.org/10.1609/aaai.v34i03.5631</w:t>
        </w:r>
      </w:hyperlink>
      <w:r>
        <w:t>.</w:t>
      </w:r>
    </w:p>
    <w:p>
      <w:pPr>
        <w:keepLines/>
        <w:spacing w:line="240" w:lineRule="auto" w:after="40"/>
        <w:ind w:left="720" w:hanging="720"/>
        <w:jc w:val="left"/>
      </w:pPr>
      <w:r>
        <w:t xml:space="preserve">Milani, S. et al. (2024) 'Explainable reinforcement learning: A survey and comparative review', </w:t>
      </w:r>
      <w:r>
        <w:rPr>
          <w:b w:val="0"/>
          <w:i/>
        </w:rPr>
        <w:t>ACM Computing Surveys</w:t>
      </w:r>
      <w:r>
        <w:t xml:space="preserve">, vol. 56, no. 7, pp. 1-36. Available at: </w:t>
      </w:r>
      <w:hyperlink r:id="rId102">
        <w:r>
          <w:t>https://doi.org/10.1145/3616864</w:t>
        </w:r>
      </w:hyperlink>
      <w:r>
        <w:t>.</w:t>
      </w:r>
    </w:p>
    <w:p>
      <w:pPr>
        <w:keepLines/>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xml:space="preserve">, vol. 32. Available at: </w:t>
      </w:r>
      <w:hyperlink r:id="rId103">
        <w:r>
          <w:t>https://proceedings.neurips.cc/paper/2019/hash/e9510081ac30ffa83f10b68cde1cac07-Abstract.html</w:t>
        </w:r>
      </w:hyperlink>
      <w:r>
        <w:t>.</w:t>
      </w:r>
    </w:p>
    <w:p>
      <w:pPr>
        <w:keepLines/>
        <w:spacing w:line="240" w:lineRule="auto" w:after="40"/>
        <w:ind w:left="720" w:hanging="720"/>
        <w:jc w:val="left"/>
      </w:pPr>
      <w:r>
        <w:t xml:space="preserve">OpenStreetMap contributors (n.d.) </w:t>
      </w:r>
      <w:r>
        <w:rPr>
          <w:b w:val="0"/>
          <w:i/>
        </w:rPr>
        <w:t>Copyright and license</w:t>
      </w:r>
      <w:r>
        <w:t xml:space="preserve">. Available at: </w:t>
      </w:r>
      <w:hyperlink r:id="rId47">
        <w:r>
          <w:t>https://www.openstreetmap.org/copyright</w:t>
        </w:r>
      </w:hyperlink>
      <w:r>
        <w:t xml:space="preserve"> (Accessed: 12 September 2026).</w:t>
      </w:r>
    </w:p>
    <w:p>
      <w:pPr>
        <w:keepLines/>
        <w:spacing w:line="240" w:lineRule="auto" w:after="40"/>
        <w:ind w:left="720" w:hanging="720"/>
        <w:jc w:val="left"/>
      </w:pPr>
      <w:r>
        <w:t xml:space="preserve">Pan, B. et al. (2025) 'GraphNarrator: Generating textual explanations for graph neural networks', in </w:t>
      </w:r>
      <w:r>
        <w:rPr>
          <w:b w:val="0"/>
          <w:i/>
        </w:rPr>
        <w:t>Proceedings of the 63rd Annual Meeting of the Association for Computational Linguistics</w:t>
      </w:r>
      <w:r>
        <w:t xml:space="preserve">, vol. 1, pp. 23-42. Available at: </w:t>
      </w:r>
      <w:hyperlink r:id="rId104">
        <w:r>
          <w:t>https://doi.org/10.18653/v1/2025.acl-long.2</w:t>
        </w:r>
      </w:hyperlink>
      <w:r>
        <w:t>.</w:t>
      </w:r>
    </w:p>
    <w:p>
      <w:pPr>
        <w:keepLines/>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xml:space="preserve">, vol. 144, article 103852. Available at: </w:t>
      </w:r>
      <w:hyperlink r:id="rId105">
        <w:r>
          <w:t>https://doi.org/10.1016/j.trc.2022.103852</w:t>
        </w:r>
      </w:hyperlink>
      <w:r>
        <w:t>.</w:t>
      </w:r>
    </w:p>
    <w:p>
      <w:pPr>
        <w:keepLines/>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xml:space="preserve">, vol. 21, no. 178, pp. 1-51. Available at: </w:t>
      </w:r>
      <w:hyperlink r:id="rId106">
        <w:r>
          <w:t>https://jmlr.org/papers/v21/20-081.html</w:t>
        </w:r>
      </w:hyperlink>
      <w:r>
        <w:t>.</w:t>
      </w:r>
    </w:p>
    <w:p>
      <w:pPr>
        <w:keepLines/>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xml:space="preserve">, pp. 1135-1144. Available at: </w:t>
      </w:r>
      <w:hyperlink r:id="rId107">
        <w:r>
          <w:t>https://doi.org/10.1145/2939672.2939778</w:t>
        </w:r>
      </w:hyperlink>
      <w:r>
        <w:t>.</w:t>
      </w:r>
    </w:p>
    <w:p>
      <w:pPr>
        <w:keepLines/>
        <w:spacing w:line="240" w:lineRule="auto" w:after="40"/>
        <w:ind w:left="720" w:hanging="720"/>
        <w:jc w:val="left"/>
      </w:pPr>
      <w:r>
        <w:t xml:space="preserve">Saha, S. and Bandyopadhyay, S. (2026) 'Certified evaluation of model-level explanations for graph neural networks', in </w:t>
      </w:r>
      <w:r>
        <w:rPr>
          <w:b w:val="0"/>
          <w:i/>
        </w:rPr>
        <w:t>Proceedings of the 14th International Conference on Learning Representations</w:t>
      </w:r>
      <w:r>
        <w:t xml:space="preserve">. Available at: </w:t>
      </w:r>
      <w:hyperlink r:id="rId108">
        <w:r>
          <w:t>https://proceedings.iclr.cc/paper_files/paper/2026/hash/c354d2a64a71776538d6dbbc38285216-Abstract-Conference.html</w:t>
        </w:r>
      </w:hyperlink>
      <w:r>
        <w:t>.</w:t>
      </w:r>
    </w:p>
    <w:p>
      <w:pPr>
        <w:keepLines/>
        <w:spacing w:line="240" w:lineRule="auto" w:after="40"/>
        <w:ind w:left="720" w:hanging="720"/>
        <w:jc w:val="left"/>
      </w:pPr>
      <w:r>
        <w:t xml:space="preserve">Scarselli, F. et al. (2009) 'The graph neural network model', </w:t>
      </w:r>
      <w:r>
        <w:rPr>
          <w:b w:val="0"/>
          <w:i/>
        </w:rPr>
        <w:t>IEEE Transactions on Neural Networks</w:t>
      </w:r>
      <w:r>
        <w:t xml:space="preserve">, vol. 20, no. 1, pp. 61-80. Available at: </w:t>
      </w:r>
      <w:hyperlink r:id="rId109">
        <w:r>
          <w:t>https://doi.org/10.1109/TNN.2008.2005605</w:t>
        </w:r>
      </w:hyperlink>
      <w:r>
        <w:t>.</w:t>
      </w:r>
    </w:p>
    <w:p>
      <w:pPr>
        <w:keepLines/>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xml:space="preserve">, pp. 2931-2951. Available at: </w:t>
      </w:r>
      <w:hyperlink r:id="rId110">
        <w:r>
          <w:t>https://doi.org/10.18653/v1/P19-1282</w:t>
        </w:r>
      </w:hyperlink>
      <w:r>
        <w:t>.</w:t>
      </w:r>
    </w:p>
    <w:p>
      <w:pPr>
        <w:keepLines/>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xml:space="preserve">, vol. 16, article 5461. Available at: </w:t>
      </w:r>
      <w:hyperlink r:id="rId111">
        <w:r>
          <w:t>https://doi.org/10.1038/s41598-026-35004-8</w:t>
        </w:r>
      </w:hyperlink>
      <w:r>
        <w:t>.</w:t>
      </w:r>
    </w:p>
    <w:p>
      <w:pPr>
        <w:keepLines/>
        <w:spacing w:line="240" w:lineRule="auto" w:after="40"/>
        <w:ind w:left="720" w:hanging="720"/>
        <w:jc w:val="left"/>
      </w:pPr>
      <w:r>
        <w:t xml:space="preserve">Shin, Y.-M., Li, S., Cao, X. and Shin, W.-Y. (2025) 'Faithful and accurate self-attention attribution for message passing neural networks via the computation tree viewpoint', </w:t>
      </w:r>
      <w:r>
        <w:rPr>
          <w:b w:val="0"/>
          <w:i/>
        </w:rPr>
        <w:t>Proceedings of the AAAI Conference on Artificial Intelligence</w:t>
      </w:r>
      <w:r>
        <w:t xml:space="preserve">, vol. 39, no. 19, pp. 20461-20469. Available at: </w:t>
      </w:r>
      <w:hyperlink r:id="rId112">
        <w:r>
          <w:t>https://doi.org/10.1609/aaai.v39i19.34254</w:t>
        </w:r>
      </w:hyperlink>
      <w:r>
        <w:t>.</w:t>
      </w:r>
    </w:p>
    <w:p>
      <w:pPr>
        <w:keepLines/>
        <w:spacing w:line="240" w:lineRule="auto" w:after="40"/>
        <w:ind w:left="720" w:hanging="720"/>
        <w:jc w:val="left"/>
      </w:pPr>
      <w:r>
        <w:t xml:space="preserve">Soudijani, S. and Dimitrova, R. (2025) 'Synthesis of communication policies for multi-agent systems robust to communication restrictions', in </w:t>
      </w:r>
      <w:r>
        <w:rPr>
          <w:b w:val="0"/>
          <w:i/>
        </w:rPr>
        <w:t>Proceedings of the 34th International Joint Conference on Artificial Intelligence</w:t>
      </w:r>
      <w:r>
        <w:t xml:space="preserve">, pp. 257-266. Available at: </w:t>
      </w:r>
      <w:hyperlink r:id="rId113">
        <w:r>
          <w:t>https://doi.org/10.24963/ijcai.2025/30</w:t>
        </w:r>
      </w:hyperlink>
      <w:r>
        <w:t>.</w:t>
      </w:r>
    </w:p>
    <w:p>
      <w:pPr>
        <w:keepLines/>
        <w:spacing w:line="240" w:lineRule="auto" w:after="40"/>
        <w:ind w:left="720" w:hanging="720"/>
        <w:jc w:val="left"/>
      </w:pPr>
      <w:r>
        <w:t xml:space="preserve">Tabassi, E. (2023) </w:t>
      </w:r>
      <w:r>
        <w:rPr>
          <w:b w:val="0"/>
          <w:i/>
        </w:rPr>
        <w:t>Artificial Intelligence Risk Management Framework (AI RMF 1.0)</w:t>
      </w:r>
      <w:r>
        <w:t xml:space="preserve">. NIST AI 100-1. Gaithersburg, MD: National Institute of Standards and Technology. Available at: </w:t>
      </w:r>
      <w:hyperlink r:id="rId114">
        <w:r>
          <w:t>https://doi.org/10.6028/NIST.AI.100-1</w:t>
        </w:r>
      </w:hyperlink>
      <w:r>
        <w:t>.</w:t>
      </w:r>
    </w:p>
    <w:p>
      <w:pPr>
        <w:keepLines/>
        <w:spacing w:line="240" w:lineRule="auto" w:after="40"/>
        <w:ind w:left="720" w:hanging="720"/>
        <w:jc w:val="left"/>
      </w:pPr>
      <w:r>
        <w:t xml:space="preserve">Varbella, A., Amara, K., Gjorgiev, B., El-Assady, M. and Sansavini, G. (2024) 'PowerGraph: A power grid benchmark dataset for graph neural networks', </w:t>
      </w:r>
      <w:r>
        <w:rPr>
          <w:b w:val="0"/>
          <w:i/>
        </w:rPr>
        <w:t>Advances in Neural Information Processing Systems</w:t>
      </w:r>
      <w:r>
        <w:t xml:space="preserve">, vol. 37. Available at: </w:t>
      </w:r>
      <w:hyperlink r:id="rId115">
        <w:r>
          <w:t>https://proceedings.neurips.cc/paper_files/paper/2024/hash/c7caf017cbbca1f4b368ffdc7bb8f319-Abstract-Datasets_and_Benchmarks_Track.html</w:t>
        </w:r>
      </w:hyperlink>
      <w:r>
        <w:t>.</w:t>
      </w:r>
    </w:p>
    <w:p>
      <w:pPr>
        <w:keepLines/>
        <w:spacing w:line="240" w:lineRule="auto" w:after="40"/>
        <w:ind w:left="720" w:hanging="720"/>
        <w:jc w:val="left"/>
      </w:pPr>
      <w:r>
        <w:t xml:space="preserve">Vaswani, A. et al. (2017) 'Attention is all you need', </w:t>
      </w:r>
      <w:r>
        <w:rPr>
          <w:b w:val="0"/>
          <w:i/>
        </w:rPr>
        <w:t>Advances in Neural Information Processing Systems</w:t>
      </w:r>
      <w:r>
        <w:t xml:space="preserve">, vol. 30, pp. 5998-6008. Available at: </w:t>
      </w:r>
      <w:hyperlink r:id="rId116">
        <w:r>
          <w:t>https://proceedings.neurips.cc/paper/2017/hash/3f5ee243547dee91fbd053c1c4a845aa-Abstract.html</w:t>
        </w:r>
      </w:hyperlink>
      <w:r>
        <w:t>.</w:t>
      </w:r>
    </w:p>
    <w:p>
      <w:pPr>
        <w:keepLines/>
        <w:spacing w:line="240" w:lineRule="auto" w:after="40"/>
        <w:ind w:left="720" w:hanging="720"/>
        <w:jc w:val="left"/>
      </w:pPr>
      <w:r>
        <w:t xml:space="preserve">Veličković, P. et al. (2018) 'Graph attention networks', in </w:t>
      </w:r>
      <w:r>
        <w:rPr>
          <w:b w:val="0"/>
          <w:i/>
        </w:rPr>
        <w:t>Proceedings of the International Conference on Learning Representations</w:t>
      </w:r>
      <w:r>
        <w:t xml:space="preserve">. Available at: </w:t>
      </w:r>
      <w:hyperlink r:id="rId117">
        <w:r>
          <w:t>https://openreview.net/forum?id=rJXMpikCZ</w:t>
        </w:r>
      </w:hyperlink>
      <w:r>
        <w:t>.</w:t>
      </w:r>
    </w:p>
    <w:p>
      <w:pPr>
        <w:keepLines/>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xml:space="preserve">, vol. 1, pp. 1457-1468. Available at: </w:t>
      </w:r>
      <w:hyperlink r:id="rId118">
        <w:r>
          <w:t>https://doi.org/10.1145/3690624.3709205</w:t>
        </w:r>
      </w:hyperlink>
      <w:r>
        <w:t>.</w:t>
      </w:r>
    </w:p>
    <w:p>
      <w:pPr>
        <w:keepLines/>
        <w:spacing w:line="240" w:lineRule="auto" w:after="40"/>
        <w:ind w:left="720" w:hanging="720"/>
        <w:jc w:val="left"/>
      </w:pPr>
      <w:r>
        <w:t xml:space="preserve">Wang, X. and Shen, H.W. (2024) 'GNNBoundary: Towards explaining graph neural networks through the lens of decision boundaries', in </w:t>
      </w:r>
      <w:r>
        <w:rPr>
          <w:b w:val="0"/>
          <w:i/>
        </w:rPr>
        <w:t>Proceedings of the 12th International Conference on Learning Representations</w:t>
      </w:r>
      <w:r>
        <w:t xml:space="preserve">. Available at: </w:t>
      </w:r>
      <w:hyperlink r:id="rId119">
        <w:r>
          <w:t>https://proceedings.iclr.cc/paper_files/paper/2024/hash/f72d4fdfd5eb425cd81df9fe6272a533-Abstract-Conference.html</w:t>
        </w:r>
      </w:hyperlink>
      <w:r>
        <w:t>.</w:t>
      </w:r>
    </w:p>
    <w:p>
      <w:pPr>
        <w:keepLines/>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xml:space="preserve">, pp. 11-20. Available at: </w:t>
      </w:r>
      <w:hyperlink r:id="rId120">
        <w:r>
          <w:t>https://doi.org/10.18653/v1/D19-1002</w:t>
        </w:r>
      </w:hyperlink>
      <w:r>
        <w:t>.</w:t>
      </w:r>
    </w:p>
    <w:p>
      <w:pPr>
        <w:keepLines/>
        <w:spacing w:line="240" w:lineRule="auto" w:after="40"/>
        <w:ind w:left="720" w:hanging="720"/>
        <w:jc w:val="left"/>
      </w:pPr>
      <w:r>
        <w:t xml:space="preserve">Wu, Q. et al. (2025) 'Directly forecasting belief for reinforcement learning with delays', in </w:t>
      </w:r>
      <w:r>
        <w:rPr>
          <w:b w:val="0"/>
          <w:i/>
        </w:rPr>
        <w:t>Proceedings of the 42nd International Conference on Machine Learning</w:t>
      </w:r>
      <w:r>
        <w:t xml:space="preserve">, </w:t>
      </w:r>
      <w:r>
        <w:rPr>
          <w:b w:val="0"/>
          <w:i/>
        </w:rPr>
        <w:t>PMLR</w:t>
      </w:r>
      <w:r>
        <w:t xml:space="preserve">, vol. 267, pp. 67810-67832. Available at: </w:t>
      </w:r>
      <w:hyperlink r:id="rId121">
        <w:r>
          <w:t>https://proceedings.mlr.press/v267/wu25ag.html</w:t>
        </w:r>
      </w:hyperlink>
      <w:r>
        <w:t>.</w:t>
      </w:r>
    </w:p>
    <w:p>
      <w:pPr>
        <w:keepLines/>
        <w:spacing w:line="240" w:lineRule="auto" w:after="40"/>
        <w:ind w:left="720" w:hanging="720"/>
        <w:jc w:val="left"/>
      </w:pPr>
      <w:r>
        <w:t xml:space="preserve">Yao, Z., Florescu, I. and Lee, C. (2024) 'Control in stochastic environment with delays: A model-based reinforcement learning approach', </w:t>
      </w:r>
      <w:r>
        <w:rPr>
          <w:b w:val="0"/>
          <w:i/>
        </w:rPr>
        <w:t>Proceedings of the International Conference on Automated Planning and Scheduling</w:t>
      </w:r>
      <w:r>
        <w:t xml:space="preserve">, vol. 34, no. 1, pp. 663-670. Available at: </w:t>
      </w:r>
      <w:hyperlink r:id="rId122">
        <w:r>
          <w:t>https://doi.org/10.1609/icaps.v34i1.31529</w:t>
        </w:r>
      </w:hyperlink>
      <w:r>
        <w:t>.</w:t>
      </w:r>
    </w:p>
    <w:p>
      <w:pPr>
        <w:keepLines/>
        <w:spacing w:line="240" w:lineRule="auto" w:after="40"/>
        <w:ind w:left="720" w:hanging="720"/>
        <w:jc w:val="left"/>
      </w:pPr>
      <w:r>
        <w:t xml:space="preserve">Yates, R.D. et al. (2021) 'Age of information: An introduction and survey', </w:t>
      </w:r>
      <w:r>
        <w:rPr>
          <w:b w:val="0"/>
          <w:i/>
        </w:rPr>
        <w:t>IEEE Journal on Selected Areas in Communications</w:t>
      </w:r>
      <w:r>
        <w:t xml:space="preserve">, vol. 39, no. 5, pp. 1183-1210. Available at: </w:t>
      </w:r>
      <w:hyperlink r:id="rId123">
        <w:r>
          <w:t>https://doi.org/10.1109/JSAC.2021.3065072</w:t>
        </w:r>
      </w:hyperlink>
      <w:r>
        <w:t>.</w:t>
      </w:r>
    </w:p>
    <w:p>
      <w:pPr>
        <w:keepLines/>
        <w:spacing w:line="240" w:lineRule="auto" w:after="40"/>
        <w:ind w:left="720" w:hanging="720"/>
        <w:jc w:val="left"/>
      </w:pPr>
      <w:r>
        <w:t xml:space="preserve">Ying, Z. et al. (2019) 'GNNExplainer: Generating explanations for graph neural networks', </w:t>
      </w:r>
      <w:r>
        <w:rPr>
          <w:b w:val="0"/>
          <w:i/>
        </w:rPr>
        <w:t>Advances in Neural Information Processing Systems</w:t>
      </w:r>
      <w:r>
        <w:t xml:space="preserve">, vol. 32, pp. 9240-9251. Available at: </w:t>
      </w:r>
      <w:hyperlink r:id="rId124">
        <w:r>
          <w:t>https://proceedings.neurips.cc/paper/2019/hash/d80b7040b773199015de6d3b4293c8ff-Abstract.html</w:t>
        </w:r>
      </w:hyperlink>
      <w:r>
        <w:t>.</w:t>
      </w:r>
    </w:p>
    <w:p>
      <w:pPr>
        <w:keepLines/>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xml:space="preserve">, vol. 35, pp. 24611-24624. Available at: </w:t>
      </w:r>
      <w:hyperlink r:id="rId125">
        <w:r>
          <w:t>https://proceedings.neurips.cc/paper_files/paper/2022/hash/9c1535a02f0ce079433344e14d910597-Abstract-Datasets_and_Benchmarks.html</w:t>
        </w:r>
      </w:hyperlink>
      <w:r>
        <w:t>.</w:t>
      </w:r>
    </w:p>
    <w:p>
      <w:pPr>
        <w:keepLines/>
        <w:spacing w:line="240" w:lineRule="auto" w:after="40"/>
        <w:ind w:left="720" w:hanging="720"/>
        <w:jc w:val="left"/>
      </w:pPr>
      <w:r>
        <w:t xml:space="preserve">Yu, Z. and Gao, H. (2025) 'MAGE: Model-level graph neural networks explanations via motif-based graph generation', in </w:t>
      </w:r>
      <w:r>
        <w:rPr>
          <w:b w:val="0"/>
          <w:i/>
        </w:rPr>
        <w:t>Proceedings of the 13th International Conference on Learning Representations</w:t>
      </w:r>
      <w:r>
        <w:t xml:space="preserve">. Available at: </w:t>
      </w:r>
      <w:hyperlink r:id="rId126">
        <w:r>
          <w:t>https://proceedings.iclr.cc/paper_files/paper/2025/hash/7749f9c0d5ff109231be21e910a3ced2-Abstract-Conference.html</w:t>
        </w:r>
      </w:hyperlink>
      <w:r>
        <w:t>.</w:t>
      </w:r>
    </w:p>
    <w:p>
      <w:pPr>
        <w:keepLines/>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xml:space="preserve">, vol. 139, pp. 12241-12252. Available at: </w:t>
      </w:r>
      <w:hyperlink r:id="rId127">
        <w:r>
          <w:t>https://proceedings.mlr.press/v139/yuan21c.html</w:t>
        </w:r>
      </w:hyperlink>
      <w:r>
        <w:t>.</w:t>
      </w:r>
    </w:p>
    <w:p>
      <w:pPr>
        <w:keepLines/>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xml:space="preserve">, vol. 45, no. 5, pp. 5782-5799. Available at: </w:t>
      </w:r>
      <w:hyperlink r:id="rId128">
        <w:r>
          <w:t>https://doi.org/10.1109/TPAMI.2022.3204236</w:t>
        </w:r>
      </w:hyperlink>
      <w:r>
        <w:t>.</w:t>
      </w:r>
    </w:p>
    <w:p>
      <w:pPr>
        <w:keepLines/>
        <w:spacing w:line="240" w:lineRule="auto" w:after="40"/>
        <w:ind w:left="720" w:hanging="720"/>
        <w:jc w:val="left"/>
      </w:pPr>
      <w:r>
        <w:t xml:space="preserve">Zhang, J., Chen, Z., Mei, H., Da, L., Luo, D. and Wei, H. (2024) 'RegExplainer: Generating explanations for graph neural networks in regression tasks', </w:t>
      </w:r>
      <w:r>
        <w:rPr>
          <w:b w:val="0"/>
          <w:i/>
        </w:rPr>
        <w:t>Advances in Neural Information Processing Systems</w:t>
      </w:r>
      <w:r>
        <w:t xml:space="preserve">, vol. 37. Available at: </w:t>
      </w:r>
      <w:hyperlink r:id="rId129">
        <w:r>
          <w:t>https://proceedings.neurips.cc/paper_files/paper/2024/hash/909f526db5127f8bd8158af32d9e313a-Abstract-Conference.html</w:t>
        </w:r>
      </w:hyperlink>
      <w:r>
        <w:t>.</w:t>
      </w:r>
    </w:p>
    <w:p>
      <w:pPr>
        <w:keepLines/>
        <w:spacing w:line="240" w:lineRule="auto" w:after="40"/>
        <w:ind w:left="720" w:hanging="720"/>
        <w:jc w:val="left"/>
      </w:pPr>
      <w:r>
        <w:t xml:space="preserve">Zheng, X., Shirani, F., Wang, T., Cheng, W., Chen, Z., Chen, H., Wei, H. and Luo, D. (2024) 'Towards robust fidelity for evaluating explainability of graph neural networks', in </w:t>
      </w:r>
      <w:r>
        <w:rPr>
          <w:b w:val="0"/>
          <w:i/>
        </w:rPr>
        <w:t>Proceedings of the 12th International Conference on Learning Representations</w:t>
      </w:r>
      <w:r>
        <w:t xml:space="preserve">. Available at: </w:t>
      </w:r>
      <w:hyperlink r:id="rId130">
        <w:r>
          <w:t>https://proceedings.iclr.cc/paper_files/paper/2024/hash/34293d684b1012ed45c3274b4a7edc00-Abstract-Conference.html</w:t>
        </w:r>
      </w:hyperlink>
      <w:r>
        <w:t>.</w:t>
      </w:r>
    </w:p>
    <w:p>
      <w:pPr>
        <w:keepLines/>
        <w:spacing w:line="240" w:lineRule="auto" w:after="40"/>
        <w:ind w:left="720" w:hanging="720"/>
        <w:jc w:val="left"/>
      </w:pPr>
      <w:r>
        <w:t xml:space="preserve">Zhou, H., Huang, A., Azizzadenesheli, K., Childers, D. and Lipton, Z. (2024) 'Timing as an action: Learning when to observe and act', in </w:t>
      </w:r>
      <w:r>
        <w:rPr>
          <w:b w:val="0"/>
          <w:i/>
        </w:rPr>
        <w:t>Proceedings of the 27th International Conference on Artificial Intelligence and Statistics</w:t>
      </w:r>
      <w:r>
        <w:t xml:space="preserve">, </w:t>
      </w:r>
      <w:r>
        <w:rPr>
          <w:b w:val="0"/>
          <w:i/>
        </w:rPr>
        <w:t>PMLR</w:t>
      </w:r>
      <w:r>
        <w:t xml:space="preserve">, vol. 238, pp. 3979-3987. Available at: </w:t>
      </w:r>
      <w:hyperlink r:id="rId131">
        <w:r>
          <w:t>https://proceedings.mlr.press/v238/zhou24c.html</w:t>
        </w:r>
      </w:hyperlink>
      <w:r>
        <w:t>.</w:t>
      </w:r>
    </w:p>
    <w:p w14:paraId="5D6E610B">
      <w:pPr>
        <w:pStyle w:val="2"/>
        <w:pageBreakBefore/>
      </w:pPr>
      <w:bookmarkStart w:id="115" w:name="nav_heading_Appendices"/>
      <w:r>
        <w:rPr>
          <w:rFonts w:ascii="Times New Roman" w:hAnsi="Times New Roman"/>
          <w:sz w:val="28"/>
        </w:rPr>
        <w:t>Appendices</w:t>
      </w:r>
      <w:bookmarkEnd w:id="115"/>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configs/experiments/dissertation_v10_corrected.toml, and its version-controlled results are stored under results/dissertation_v10_corrected/.</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figure sources, selected checkpoints, and archived raw cells used in this dissertation. The release package includes a SHA-256 manifest for verification.</w:t>
      </w:r>
    </w:p>
    <w:p>
      <w:pPr>
        <w:pStyle w:val="4"/>
      </w:pPr>
      <w:r>
        <w:t>Literature search scope</w:t>
      </w:r>
    </w:p>
    <w:p>
      <w:pPr/>
      <w:r>
        <w:t>The narrative review was updated through 12 September 2026 using targeted searches of primary proceedings and publisher records, including PMLR, ICLR, NeurIPS, AAAI, IJCAI, ACL, ACM and CVF. Search terms covered graph explanation faithfulness, attention attribution, evolving graph explanations, reinforcement learning observation delays, and robust multi-agent communication. Studies were selected for relevance to decision attribution, evaluation validity, temporal change, delayed observations or relational coordination. Foundational work was retained to define the models and measures. This search supports a focused narrative synthesis with no claim of exhaustive database coverage; studies from adjacent tasks inform methodological comparisons rather than direct fleet-dispatch performance comparisons.</w:t>
      </w:r>
    </w:p>
    <w:p>
      <w:pPr>
        <w:pStyle w:val="3"/>
        <w:pageBreakBefore/>
      </w:pPr>
      <w:r>
        <w:t>Appendix C: Statistical details</w:t>
      </w:r>
    </w:p>
    <w:p>
      <w:pPr/>
      <w:r>
        <w:t>Table C.1 reproduces the original checkpoint-specific H1-H4 statistics. H1 and H3 report Spearman rho; H2 reports the clean-relative rate difference and remains exploratory; H4 reports mean within-episode rho. N is the number of scored records for H1/H3, comparison cells for H2, and episodes for H4. B is the episode-block count where available. Holm adjustment is within each checkpoint's H1-H4 family. These are not cross-training-seed tests.</w:t>
      </w:r>
    </w:p>
    <w:p>
      <w:pPr>
        <w:pStyle w:val="12"/>
        <w:keepNext/>
      </w:pPr>
      <w:bookmarkStart w:id="119" w:name="nav_table_Table_C_1"/>
      <w:r>
        <w:rPr>
          <w:b/>
        </w:rPr>
        <w:t>Table C.1: Original per-checkpoint hypothesis statistics</w:t>
      </w:r>
      <w:bookmarkEnd w:id="1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70"/>
        <w:gridCol w:w="1336"/>
        <w:gridCol w:w="1503"/>
        <w:gridCol w:w="1503"/>
        <w:gridCol w:w="1336"/>
        <w:gridCol w:w="1672"/>
      </w:tblGrid>
      <w:tr>
        <w:trPr>
          <w:cantSplit/>
          <w:tblHeader w:val="true"/>
        </w:trPr>
        <w:tc>
          <w:tcPr>
            <w:tcW w:type="dxa" w:w="167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Model/seed</w:t>
            </w:r>
          </w:p>
        </w:tc>
        <w:tc>
          <w:tcPr>
            <w:tcW w:type="dxa" w:w="133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H</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Statistic</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p</w:t>
            </w:r>
          </w:p>
        </w:tc>
        <w:tc>
          <w:tcPr>
            <w:tcW w:type="dxa" w:w="133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Holm p</w:t>
            </w:r>
          </w:p>
        </w:tc>
        <w:tc>
          <w:tcPr>
            <w:tcW w:type="dxa" w:w="167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 / B</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+0.1841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4008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-0.5933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+0.4701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4856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+0.3932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+0.0145</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0.7636</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4016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-0.214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+0.4753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4864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+0.1116</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+0.2261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4004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-3.137</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+0.4578</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4852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+0.5178</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+0.1682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4002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-0.6256</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+0.4768</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4850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+0.2917</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4010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-0.9632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+0.4708</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4858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+0.2821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+0.02081</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0.886</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4010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-0.4994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+0.4768</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4858 / 240</w:t>
            </w:r>
          </w:p>
        </w:tc>
      </w:tr>
      <w:tr>
        <w:trPr>
          <w:cantSplit/>
        </w:trPr>
        <w:tc>
          <w:tcPr>
            <w:tcW w:type="dxa" w:w="16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+0.09684</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0.9999</w:t>
            </w:r>
          </w:p>
        </w:tc>
        <w:tc>
          <w:tcPr>
            <w:tcW w:type="dxa" w:w="13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7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bl>
    <w:p>
      <w:pPr/>
      <w:r>
        <w:t>GAT-O denotes GAT-Outage. Full-precision values and the original H1/H3 confidence intervals are retained in hypothesis_statistics.csv under results/dissertation_v10_corrected/supplementary_review/. Missing original intervals are not estimated retrospectively. The same directory contains all probability and margin no-op estimates, sample counts and input hashes. The prospective five-seed matched-budget configuration is documented in docs/MATCHED_BUDGET_FOLLOWUP.md; it has not produced results for this thesis.</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hyperlink" Target="https://www.openstreetmap.org/copyright" TargetMode="External"/><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hyperlink" Target="https://doi.org/10.18653/v1/2020.acl-main.385" TargetMode="External"/><Relationship Id="rId67" Type="http://schemas.openxmlformats.org/officeDocument/2006/relationships/hyperlink" Target="https://proceedings.neurips.cc/paper/2018/hash/294a8ed24b1ad22ec2e7efea049b8737-Abstract.html" TargetMode="External"/><Relationship Id="rId68" Type="http://schemas.openxmlformats.org/officeDocument/2006/relationships/hyperlink" Target="https://proceedings.mlr.press/v198/amara22a.html" TargetMode="External"/><Relationship Id="rId69" Type="http://schemas.openxmlformats.org/officeDocument/2006/relationships/hyperlink" Target="https://doi.org/10.1609/aaai.v38i9.28863" TargetMode="External"/><Relationship Id="rId70" Type="http://schemas.openxmlformats.org/officeDocument/2006/relationships/hyperlink" Target="https://openreview.net/forum?id=Sy21R9JAW" TargetMode="External"/><Relationship Id="rId71" Type="http://schemas.openxmlformats.org/officeDocument/2006/relationships/hyperlink" Target="https://proceedings.neurips.cc/paper_files/paper/2024/hash/df2d51e1d3e899241c5c4c779c1d509f-Abstract-Conference.html" TargetMode="External"/><Relationship Id="rId72" Type="http://schemas.openxmlformats.org/officeDocument/2006/relationships/hyperlink" Target="https://proceedings.iclr.cc/paper_files/paper/2025/hash/7969d456aede0ce6b36fb47cc64c495c-Abstract-Conference.html" TargetMode="External"/><Relationship Id="rId73" Type="http://schemas.openxmlformats.org/officeDocument/2006/relationships/hyperlink" Target="https://proceedings.iclr.cc/paper_files/paper/2026/hash/75a58cfb4d0de35db7663714e0f52dfa-Abstract-Conference.html" TargetMode="External"/><Relationship Id="rId74" Type="http://schemas.openxmlformats.org/officeDocument/2006/relationships/hyperlink" Target="https://doi.org/10.1007/s10994-023-06479-7" TargetMode="External"/><Relationship Id="rId75" Type="http://schemas.openxmlformats.org/officeDocument/2006/relationships/hyperlink" Target="https://openreview.net/forum?id=QFYnKlBJYR" TargetMode="External"/><Relationship Id="rId76" Type="http://schemas.openxmlformats.org/officeDocument/2006/relationships/hyperlink" Target="https://proceedings.mlr.press/v235/bui24b.html" TargetMode="External"/><Relationship Id="rId77" Type="http://schemas.openxmlformats.org/officeDocument/2006/relationships/hyperlink" Target="https://doi.org/10.18653/v1/2020.acl-main.408" TargetMode="External"/><Relationship Id="rId78" Type="http://schemas.openxmlformats.org/officeDocument/2006/relationships/hyperlink" Target="https://doi.org/10.1609/aaai.v38i16.29682" TargetMode="External"/><Relationship Id="rId79" Type="http://schemas.openxmlformats.org/officeDocument/2006/relationships/hyperlink" Target="https://proceedings.mlr.press/v80/greydanus18a.html" TargetMode="External"/><Relationship Id="rId80" Type="http://schemas.openxmlformats.org/officeDocument/2006/relationships/hyperlink" Target="https://doi.org/10.1145/3711896.3736947" TargetMode="External"/><Relationship Id="rId81" Type="http://schemas.openxmlformats.org/officeDocument/2006/relationships/hyperlink" Target="https://doi.org/10.1016/j.knosys.2020.106685" TargetMode="External"/><Relationship Id="rId82" Type="http://schemas.openxmlformats.org/officeDocument/2006/relationships/hyperlink" Target="https://openaccess.thecvf.com/content/CVPR2024/html/Hong_Multi-agent_Collaborative_Perception_via_Motion-aware_Robust_Communication_Network_CVPR_2024_paper.html" TargetMode="External"/><Relationship Id="rId83" Type="http://schemas.openxmlformats.org/officeDocument/2006/relationships/hyperlink" Target="https://proceedings.neurips.cc/paper/2019/hash/fe4b8556000d0f0cae99daa5c5c5a410-Abstract.html" TargetMode="External"/><Relationship Id="rId84" Type="http://schemas.openxmlformats.org/officeDocument/2006/relationships/hyperlink" Target="https://doi.org/10.1109/TITS.2025.3595653" TargetMode="External"/><Relationship Id="rId85" Type="http://schemas.openxmlformats.org/officeDocument/2006/relationships/hyperlink" Target="https://proceedings.mlr.press/v97/iqbal19a.html" TargetMode="External"/><Relationship Id="rId86" Type="http://schemas.openxmlformats.org/officeDocument/2006/relationships/hyperlink" Target="https://doi.org/10.18653/v1/2020.acl-main.386" TargetMode="External"/><Relationship Id="rId87" Type="http://schemas.openxmlformats.org/officeDocument/2006/relationships/hyperlink" Target="https://aclanthology.org/N19-1357/" TargetMode="External"/><Relationship Id="rId88" Type="http://schemas.openxmlformats.org/officeDocument/2006/relationships/hyperlink" Target="https://doi.org/10.1109/INFCOM.2012.6195689" TargetMode="External"/><Relationship Id="rId89" Type="http://schemas.openxmlformats.org/officeDocument/2006/relationships/hyperlink" Target="https://proceedings.mlr.press/v235/li24bd.html" TargetMode="External"/><Relationship Id="rId90" Type="http://schemas.openxmlformats.org/officeDocument/2006/relationships/hyperlink" Target="https://doi.org/10.1145/3219819.3219993" TargetMode="External"/><Relationship Id="rId91" Type="http://schemas.openxmlformats.org/officeDocument/2006/relationships/hyperlink" Target="https://proceedings.mlr.press/v162/liotet22a.html" TargetMode="External"/><Relationship Id="rId92" Type="http://schemas.openxmlformats.org/officeDocument/2006/relationships/hyperlink" Target="https://doi.org/10.1145/3236386.3241340" TargetMode="External"/><Relationship Id="rId93" Type="http://schemas.openxmlformats.org/officeDocument/2006/relationships/hyperlink" Target="https://proceedings.iclr.cc/paper_files/paper/2025/hash/de88d78c875d93a2098dc49a0d0422da-Abstract-Conference.html" TargetMode="External"/><Relationship Id="rId94" Type="http://schemas.openxmlformats.org/officeDocument/2006/relationships/hyperlink" Target="https://proceedings.mlr.press/v162/liu22i.html" TargetMode="External"/><Relationship Id="rId95" Type="http://schemas.openxmlformats.org/officeDocument/2006/relationships/hyperlink" Target="https://proceedings.neurips.cc/paper_files/paper/2025/hash/2c2e95b75a10adbd2359f8ed5c0a38cd-Abstract-Conference.html" TargetMode="External"/><Relationship Id="rId96" Type="http://schemas.openxmlformats.org/officeDocument/2006/relationships/hyperlink" Target="https://doi.org/10.1109/ITSC.2018.8569938" TargetMode="External"/><Relationship Id="rId97" Type="http://schemas.openxmlformats.org/officeDocument/2006/relationships/hyperlink" Target="https://proceedings.neurips.cc/paper/2017/hash/68a9750337a418a86fe06c1991a1d64c-Abstract.html" TargetMode="External"/><Relationship Id="rId98" Type="http://schemas.openxmlformats.org/officeDocument/2006/relationships/hyperlink" Target="https://proceedings.iclr.cc/paper_files/paper/2024/hash/92ee07d8a2c8f5ec08eff83f9eff0c1b-Abstract-Conference.html" TargetMode="External"/><Relationship Id="rId99" Type="http://schemas.openxmlformats.org/officeDocument/2006/relationships/hyperlink" Target="https://proceedings.mlr.press/v236/lu24a.html" TargetMode="External"/><Relationship Id="rId100" Type="http://schemas.openxmlformats.org/officeDocument/2006/relationships/hyperlink" Target="https://proceedings.neurips.cc/paper/2020/hash/e37b08dd3015330dcbb5d6663667b8b8-Abstract.html" TargetMode="External"/><Relationship Id="rId101" Type="http://schemas.openxmlformats.org/officeDocument/2006/relationships/hyperlink" Target="https://doi.org/10.1609/aaai.v34i03.5631" TargetMode="External"/><Relationship Id="rId102" Type="http://schemas.openxmlformats.org/officeDocument/2006/relationships/hyperlink" Target="https://doi.org/10.1145/3616864" TargetMode="External"/><Relationship Id="rId103" Type="http://schemas.openxmlformats.org/officeDocument/2006/relationships/hyperlink" Target="https://proceedings.neurips.cc/paper/2019/hash/e9510081ac30ffa83f10b68cde1cac07-Abstract.html" TargetMode="External"/><Relationship Id="rId104" Type="http://schemas.openxmlformats.org/officeDocument/2006/relationships/hyperlink" Target="https://doi.org/10.18653/v1/2025.acl-long.2" TargetMode="External"/><Relationship Id="rId105" Type="http://schemas.openxmlformats.org/officeDocument/2006/relationships/hyperlink" Target="https://doi.org/10.1016/j.trc.2022.103852" TargetMode="External"/><Relationship Id="rId106" Type="http://schemas.openxmlformats.org/officeDocument/2006/relationships/hyperlink" Target="https://jmlr.org/papers/v21/20-081.html" TargetMode="External"/><Relationship Id="rId107" Type="http://schemas.openxmlformats.org/officeDocument/2006/relationships/hyperlink" Target="https://doi.org/10.1145/2939672.2939778" TargetMode="External"/><Relationship Id="rId108" Type="http://schemas.openxmlformats.org/officeDocument/2006/relationships/hyperlink" Target="https://proceedings.iclr.cc/paper_files/paper/2026/hash/c354d2a64a71776538d6dbbc38285216-Abstract-Conference.html" TargetMode="External"/><Relationship Id="rId109" Type="http://schemas.openxmlformats.org/officeDocument/2006/relationships/hyperlink" Target="https://doi.org/10.1109/TNN.2008.2005605" TargetMode="External"/><Relationship Id="rId110" Type="http://schemas.openxmlformats.org/officeDocument/2006/relationships/hyperlink" Target="https://doi.org/10.18653/v1/P19-1282" TargetMode="External"/><Relationship Id="rId111" Type="http://schemas.openxmlformats.org/officeDocument/2006/relationships/hyperlink" Target="https://doi.org/10.1038/s41598-026-35004-8" TargetMode="External"/><Relationship Id="rId112" Type="http://schemas.openxmlformats.org/officeDocument/2006/relationships/hyperlink" Target="https://doi.org/10.1609/aaai.v39i19.34254" TargetMode="External"/><Relationship Id="rId113" Type="http://schemas.openxmlformats.org/officeDocument/2006/relationships/hyperlink" Target="https://doi.org/10.24963/ijcai.2025/30" TargetMode="External"/><Relationship Id="rId114" Type="http://schemas.openxmlformats.org/officeDocument/2006/relationships/hyperlink" Target="https://doi.org/10.6028/NIST.AI.100-1" TargetMode="External"/><Relationship Id="rId115" Type="http://schemas.openxmlformats.org/officeDocument/2006/relationships/hyperlink" Target="https://proceedings.neurips.cc/paper_files/paper/2024/hash/c7caf017cbbca1f4b368ffdc7bb8f319-Abstract-Datasets_and_Benchmarks_Track.html" TargetMode="External"/><Relationship Id="rId116" Type="http://schemas.openxmlformats.org/officeDocument/2006/relationships/hyperlink" Target="https://proceedings.neurips.cc/paper/2017/hash/3f5ee243547dee91fbd053c1c4a845aa-Abstract.html" TargetMode="External"/><Relationship Id="rId117" Type="http://schemas.openxmlformats.org/officeDocument/2006/relationships/hyperlink" Target="https://openreview.net/forum?id=rJXMpikCZ" TargetMode="External"/><Relationship Id="rId118" Type="http://schemas.openxmlformats.org/officeDocument/2006/relationships/hyperlink" Target="https://doi.org/10.1145/3690624.3709205" TargetMode="External"/><Relationship Id="rId119" Type="http://schemas.openxmlformats.org/officeDocument/2006/relationships/hyperlink" Target="https://proceedings.iclr.cc/paper_files/paper/2024/hash/f72d4fdfd5eb425cd81df9fe6272a533-Abstract-Conference.html" TargetMode="External"/><Relationship Id="rId120" Type="http://schemas.openxmlformats.org/officeDocument/2006/relationships/hyperlink" Target="https://doi.org/10.18653/v1/D19-1002" TargetMode="External"/><Relationship Id="rId121" Type="http://schemas.openxmlformats.org/officeDocument/2006/relationships/hyperlink" Target="https://proceedings.mlr.press/v267/wu25ag.html" TargetMode="External"/><Relationship Id="rId122" Type="http://schemas.openxmlformats.org/officeDocument/2006/relationships/hyperlink" Target="https://doi.org/10.1609/icaps.v34i1.31529" TargetMode="External"/><Relationship Id="rId123" Type="http://schemas.openxmlformats.org/officeDocument/2006/relationships/hyperlink" Target="https://doi.org/10.1109/JSAC.2021.3065072" TargetMode="External"/><Relationship Id="rId124" Type="http://schemas.openxmlformats.org/officeDocument/2006/relationships/hyperlink" Target="https://proceedings.neurips.cc/paper/2019/hash/d80b7040b773199015de6d3b4293c8ff-Abstract.html" TargetMode="External"/><Relationship Id="rId125" Type="http://schemas.openxmlformats.org/officeDocument/2006/relationships/hyperlink" Target="https://proceedings.neurips.cc/paper_files/paper/2022/hash/9c1535a02f0ce079433344e14d910597-Abstract-Datasets_and_Benchmarks.html" TargetMode="External"/><Relationship Id="rId126" Type="http://schemas.openxmlformats.org/officeDocument/2006/relationships/hyperlink" Target="https://proceedings.iclr.cc/paper_files/paper/2025/hash/7749f9c0d5ff109231be21e910a3ced2-Abstract-Conference.html" TargetMode="External"/><Relationship Id="rId127" Type="http://schemas.openxmlformats.org/officeDocument/2006/relationships/hyperlink" Target="https://proceedings.mlr.press/v139/yuan21c.html" TargetMode="External"/><Relationship Id="rId128" Type="http://schemas.openxmlformats.org/officeDocument/2006/relationships/hyperlink" Target="https://doi.org/10.1109/TPAMI.2022.3204236" TargetMode="External"/><Relationship Id="rId129" Type="http://schemas.openxmlformats.org/officeDocument/2006/relationships/hyperlink" Target="https://proceedings.neurips.cc/paper_files/paper/2024/hash/909f526db5127f8bd8158af32d9e313a-Abstract-Conference.html" TargetMode="External"/><Relationship Id="rId130" Type="http://schemas.openxmlformats.org/officeDocument/2006/relationships/hyperlink" Target="https://proceedings.iclr.cc/paper_files/paper/2024/hash/34293d684b1012ed45c3274b4a7edc00-Abstract-Conference.html" TargetMode="External"/><Relationship Id="rId131" Type="http://schemas.openxmlformats.org/officeDocument/2006/relationships/hyperlink" Target="https://proceedings.mlr.press/v238/zhou24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