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95" w:name="nav_front_list_of_figures"/>
      <w:r>
        <w:rPr>
          <w:rFonts w:ascii="Times New Roman" w:hAnsi="Times New Roman"/>
          <w:b/>
          <w:sz w:val="28"/>
        </w:rPr>
        <w:t>LIST OF FIGURES</w:t>
      </w:r>
      <w:bookmarkEnd w:id="95"/>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10</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11</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13</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14</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17</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22</w:t>
        </w:r>
      </w:hyperlink>
    </w:p>
    <w:p>
      <w:pPr>
        <w:keepLines/>
        <w:tabs>
          <w:tab w:pos="8784" w:val="right" w:leader="dot"/>
        </w:tabs>
        <w:spacing w:after="40" w:line="240" w:lineRule="auto"/>
        <w:ind w:left="0"/>
      </w:pPr>
      <w:hyperlink w:anchor="nav_figure_Figure_4_2" w:history="1">
        <w:r>
          <w:rPr>
            <w:noProof/>
          </w:rPr>
          <w:t xml:space="preserve">Figure 4.2  Clean-telemetry pickups by training seed</w:t>
          <w:tab/>
          <w:t>23</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25</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26</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27</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28</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29</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30</w:t>
        </w:r>
      </w:hyperlink>
    </w:p>
    <w:p>
      <w:pPr>
        <w:keepLines/>
        <w:tabs>
          <w:tab w:pos="8784" w:val="right" w:leader="dot"/>
        </w:tabs>
        <w:spacing w:after="40" w:line="240" w:lineRule="auto"/>
        <w:ind w:left="0"/>
      </w:pPr>
      <w:hyperlink w:anchor="nav_figure_Figure_4_9" w:history="1">
        <w:r>
          <w:rPr>
            <w:noProof/>
          </w:rPr>
          <w:t xml:space="preserve">Figure 4.9  Action-stratified faithfulness diagnostic</w:t>
          <w:tab/>
          <w:t>31</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32</w:t>
        </w:r>
      </w:hyperlink>
    </w:p>
    <w:p>
      <w:pPr>
        <w:keepLines/>
        <w:tabs>
          <w:tab w:pos="8784" w:val="right" w:leader="dot"/>
        </w:tabs>
        <w:spacing w:after="40" w:line="240" w:lineRule="auto"/>
        <w:ind w:left="0"/>
      </w:pPr>
      <w:hyperlink w:anchor="nav_figure_Figure_4_11" w:history="1">
        <w:r>
          <w:rPr>
            <w:noProof/>
          </w:rPr>
          <w:t xml:space="preserve">Figure 4.11  WAMSN-DEF correlation by training seed</w:t>
          <w:tab/>
          <w:t>33</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35</w:t>
        </w:r>
      </w:hyperlink>
    </w:p>
    <w:p>
      <w:pPr>
        <w:keepLines/>
        <w:tabs>
          <w:tab w:pos="8784" w:val="right" w:leader="dot"/>
        </w:tabs>
        <w:spacing w:after="40" w:line="240" w:lineRule="auto"/>
        <w:ind w:left="0"/>
      </w:pPr>
      <w:hyperlink w:anchor="nav_figure_Figure_5_2" w:history="1">
        <w:r>
          <w:rPr>
            <w:noProof/>
          </w:rPr>
          <w:t xml:space="preserve">Figure 5.2  Freshness-aware explanation audit workflow</w:t>
          <w:tab/>
          <w:t>39</w:t>
        </w:r>
      </w:hyperlink>
    </w:p>
    <w:p w14:paraId="4E24840A">
      <w:pPr>
        <w:keepNext/>
        <w:spacing w:after="360"/>
        <w:jc w:val="center"/>
        <w:outlineLvl w:val="0"/>
      </w:pPr>
      <w:bookmarkStart w:id="96" w:name="nav_front_list_of_tables"/>
      <w:r>
        <w:rPr>
          <w:rFonts w:ascii="Times New Roman" w:hAnsi="Times New Roman"/>
          <w:b/>
          <w:sz w:val="28"/>
        </w:rPr>
        <w:t>LIST OF TABLES</w:t>
      </w:r>
      <w:bookmarkEnd w:id="96"/>
    </w:p>
    <w:p>
      <w:pPr>
        <w:keepLines/>
        <w:tabs>
          <w:tab w:pos="8784" w:val="right" w:leader="dot"/>
        </w:tabs>
        <w:spacing w:after="40" w:line="240" w:lineRule="auto"/>
        <w:ind w:left="0"/>
      </w:pPr>
      <w:hyperlink w:anchor="nav_table_Table_2_1" w:history="1">
        <w:r>
          <w:rPr>
            <w:noProof/>
          </w:rPr>
          <w:t xml:space="preserve">Table 2.1  Recent graph-based dispatch literature compared with this study</w:t>
          <w:tab/>
          <w:t>7</w:t>
        </w:r>
      </w:hyperlink>
    </w:p>
    <w:p>
      <w:pPr>
        <w:keepLines/>
        <w:tabs>
          <w:tab w:pos="8784" w:val="right" w:leader="dot"/>
        </w:tabs>
        <w:spacing w:after="40" w:line="240" w:lineRule="auto"/>
        <w:ind w:left="0"/>
      </w:pPr>
      <w:hyperlink w:anchor="nav_table_Table_3_1" w:history="1">
        <w:r>
          <w:rPr>
            <w:noProof/>
          </w:rPr>
          <w:t xml:space="preserve">Table 3.1  Observation graph node types and roles</w:t>
          <w:tab/>
          <w:t>9</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11</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12</w:t>
        </w:r>
      </w:hyperlink>
    </w:p>
    <w:p>
      <w:pPr>
        <w:keepLines/>
        <w:tabs>
          <w:tab w:pos="8784" w:val="right" w:leader="dot"/>
        </w:tabs>
        <w:spacing w:after="40" w:line="240" w:lineRule="auto"/>
        <w:ind w:left="0"/>
      </w:pPr>
      <w:hyperlink w:anchor="nav_table_Table_3_4" w:history="1">
        <w:r>
          <w:rPr>
            <w:noProof/>
          </w:rPr>
          <w:t xml:space="preserve">Table 3.4  Shared training and optimization settings</w:t>
          <w:tab/>
          <w:t>12</w:t>
        </w:r>
      </w:hyperlink>
    </w:p>
    <w:p>
      <w:pPr>
        <w:keepLines/>
        <w:tabs>
          <w:tab w:pos="8784" w:val="right" w:leader="dot"/>
        </w:tabs>
        <w:spacing w:after="40" w:line="240" w:lineRule="auto"/>
        <w:ind w:left="0"/>
      </w:pPr>
      <w:hyperlink w:anchor="nav_table_Table_3_5" w:history="1">
        <w:r>
          <w:rPr>
            <w:noProof/>
          </w:rPr>
          <w:t xml:space="preserve">Table 3.5  Explanation measures and roles</w:t>
          <w:tab/>
          <w:t>15</w:t>
        </w:r>
      </w:hyperlink>
    </w:p>
    <w:p>
      <w:pPr>
        <w:keepLines/>
        <w:tabs>
          <w:tab w:pos="8784" w:val="right" w:leader="dot"/>
        </w:tabs>
        <w:spacing w:after="40" w:line="240" w:lineRule="auto"/>
        <w:ind w:left="0"/>
      </w:pPr>
      <w:hyperlink w:anchor="nav_table_Table_3_6" w:history="1">
        <w:r>
          <w:rPr>
            <w:noProof/>
          </w:rPr>
          <w:t xml:space="preserve">Table 3.6  Held-out evaluation structure and episode counts</w:t>
          <w:tab/>
          <w:t>17</w:t>
        </w:r>
      </w:hyperlink>
    </w:p>
    <w:p>
      <w:pPr>
        <w:keepLines/>
        <w:tabs>
          <w:tab w:pos="8784" w:val="right" w:leader="dot"/>
        </w:tabs>
        <w:spacing w:after="40" w:line="240" w:lineRule="auto"/>
        <w:ind w:left="0"/>
      </w:pPr>
      <w:hyperlink w:anchor="nav_table_Table_3_7" w:history="1">
        <w:r>
          <w:rPr>
            <w:noProof/>
          </w:rPr>
          <w:t xml:space="preserve">Table 3.7  Telemetry conditions used in held-out evaluation</w:t>
          <w:tab/>
          <w:t>18</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23</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24</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24</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27</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29</w:t>
        </w:r>
      </w:hyperlink>
    </w:p>
    <w:p>
      <w:pPr>
        <w:keepLines/>
        <w:tabs>
          <w:tab w:pos="8784" w:val="right" w:leader="dot"/>
        </w:tabs>
        <w:spacing w:after="40" w:line="240" w:lineRule="auto"/>
        <w:ind w:left="0"/>
      </w:pPr>
      <w:hyperlink w:anchor="nav_table_Table_4_6" w:history="1">
        <w:r>
          <w:rPr>
            <w:noProof/>
          </w:rPr>
          <w:t xml:space="preserve">Table 4.6  Action composition and dispatch-stratified DEF diagnostic</w:t>
          <w:tab/>
          <w:t>30</w:t>
        </w:r>
      </w:hyperlink>
    </w:p>
    <w:p>
      <w:pPr>
        <w:keepLines/>
        <w:tabs>
          <w:tab w:pos="8784" w:val="right" w:leader="dot"/>
        </w:tabs>
        <w:spacing w:after="40" w:line="240" w:lineRule="auto"/>
        <w:ind w:left="0"/>
      </w:pPr>
      <w:hyperlink w:anchor="nav_table_Table_4_7" w:history="1">
        <w:r>
          <w:rPr>
            <w:noProof/>
          </w:rPr>
          <w:t xml:space="preserve">Table 4.7  Tunnel-triggered and random-loss sensitivity results</w:t>
          <w:tab/>
          <w:t>32</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33</w:t>
        </w:r>
      </w:hyperlink>
    </w:p>
    <w:p>
      <w:pPr>
        <w:keepLines/>
        <w:tabs>
          <w:tab w:pos="8784" w:val="right" w:leader="dot"/>
        </w:tabs>
        <w:spacing w:after="40" w:line="240" w:lineRule="auto"/>
        <w:ind w:left="0"/>
      </w:pPr>
      <w:hyperlink w:anchor="nav_table_Table_4_9" w:history="1">
        <w:r>
          <w:rPr>
            <w:noProof/>
          </w:rPr>
          <w:t xml:space="preserve">Table 4.9  Freshness-aware explanation audit decisions</w:t>
          <w:tab/>
          <w:t>34</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38</w:t>
        </w:r>
      </w:hyperlink>
    </w:p>
    <w:p>
      <w:pPr>
        <w:keepLines/>
        <w:tabs>
          <w:tab w:pos="8784" w:val="right" w:leader="dot"/>
        </w:tabs>
        <w:spacing w:after="40" w:line="240" w:lineRule="auto"/>
        <w:ind w:left="0"/>
      </w:pPr>
      <w:hyperlink w:anchor="nav_table_Table_5_2" w:history="1">
        <w:r>
          <w:rPr>
            <w:noProof/>
          </w:rPr>
          <w:t xml:space="preserve">Table 5.2  Audit framework inputs and outputs</w:t>
          <w:tab/>
          <w:t>39</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can expose attention weights as candidate explanations of fleet-dispatch decisions. However, an attention map may remain visible after the vehicle telemetry behind it becomes stale. This dissertation asks whether raw graph-attention weights can be trusted as explanations under clean and degraded telemetry.</w:t>
      </w:r>
    </w:p>
    <w:p>
      <w:pPr>
        <w:widowControl/>
      </w:pPr>
      <w:r>
        <w:t>The experiment simulates 20 taxis in SUMO. Tunnel entry triggers an observation-layer outage that freezes an affected taxi's last valid position and speed for 10, 20, 30, or 60 seconds while SUMO retains the current traffic state. This creates paired clean and degraded observations for the same decision. GAT policies trained on clean data or with 30-second outages are evaluated across three independent training seeds. Decision-level explanation faithfulness (DEF) compares attention-ranked nodes with type-matched, action-protected random controls. WAMSN separately measures the attention assigned to stale vehicle information. Additional checks cover leave-one-out rankings, attention extraction choices, action type, and random telemetry-loss triggers.</w:t>
      </w:r>
    </w:p>
    <w:p>
      <w:pPr>
        <w:widowControl/>
      </w:pPr>
      <w:r>
        <w:t>The results do not validate raw attention as a reliable explanation. Clean corrected DEF remains near zero and varies across checkpoints. Longer outages increase stale-data exposure, but paired attention and DEF shifts reverse direction for one training seed. The main associations are dominated by no-op decisions and do not reproduce for dispatch actions. The seed-dependent pattern persists under random triggering and in both training regimes. These results do not reliably show whether attention reflects fresh information or decision relevance.</w:t>
      </w:r>
    </w:p>
    <w:p>
      <w:pPr>
        <w:widowControl/>
      </w:pPr>
      <w:r>
        <w:t>To address this problem, the dissertation proposes a freshness-aware explanation audit framework to decide when attention may be presented as an audited candidate explanation. The framework reports telemetry freshness and action composition separately, applies action-aware and type-matched faithfulness tests, checks sensitivity to the attention extraction rule, and requires consistent evidence across checkpoints and training seeds. If the evidence is inconsistent, attention remains an internal diagnostic rather than an operator-facing explanation. The framework governs when explanations may be released; it does not repair faithfulness inside the model. Its demonstrative application returns WITHHOLD for both model families and all six checkpoints.</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94" w:name="nav_front_toc"/>
      <w:r>
        <w:rPr>
          <w:rFonts w:ascii="Times New Roman" w:hAnsi="Times New Roman"/>
          <w:b/>
          <w:sz w:val="28"/>
        </w:rPr>
        <w:t>TABLE OF CONTENTS</w:t>
      </w:r>
      <w:bookmarkEnd w:id="94"/>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9</w:t>
        </w:r>
      </w:hyperlink>
    </w:p>
    <w:p>
      <w:pPr>
        <w:keepLines/>
        <w:tabs>
          <w:tab w:pos="8784" w:val="right" w:leader="dot"/>
        </w:tabs>
        <w:spacing w:after="40" w:line="240" w:lineRule="auto"/>
        <w:ind w:left="360"/>
      </w:pPr>
      <w:hyperlink w:anchor="nav_heading_3_1_Study_design" w:history="1">
        <w:r>
          <w:rPr>
            <w:noProof/>
          </w:rPr>
          <w:t xml:space="preserve">3.1 Study design</w:t>
          <w:tab/>
          <w:t>9</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9</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9</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10</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13</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14</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14</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16</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16</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17</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19</w:t>
        </w:r>
      </w:hyperlink>
    </w:p>
    <w:p>
      <w:pPr>
        <w:keepLines/>
        <w:tabs>
          <w:tab w:pos="8784" w:val="right" w:leader="dot"/>
        </w:tabs>
        <w:spacing w:after="40" w:line="240" w:lineRule="auto"/>
        <w:ind w:left="360"/>
      </w:pPr>
      <w:hyperlink w:anchor="nav_heading_3_10_Audit_decision_implemen" w:history="1">
        <w:r>
          <w:rPr>
            <w:noProof/>
          </w:rPr>
          <w:t xml:space="preserve">3.10 Audit decision implementation</w:t>
          <w:tab/>
          <w:t>20</w:t>
        </w:r>
      </w:hyperlink>
    </w:p>
    <w:p>
      <w:pPr>
        <w:keepLines/>
        <w:tabs>
          <w:tab w:pos="8784" w:val="right" w:leader="dot"/>
        </w:tabs>
        <w:spacing w:after="40" w:line="240" w:lineRule="auto"/>
        <w:ind w:left="360"/>
      </w:pPr>
      <w:hyperlink w:anchor="nav_heading_3_11_Reproducibility" w:history="1">
        <w:r>
          <w:rPr>
            <w:noProof/>
          </w:rPr>
          <w:t xml:space="preserve">3.11 Reproducibility</w:t>
          <w:tab/>
          <w:t>21</w:t>
        </w:r>
      </w:hyperlink>
    </w:p>
    <w:p>
      <w:pPr>
        <w:keepLines/>
        <w:tabs>
          <w:tab w:pos="8784" w:val="right" w:leader="dot"/>
        </w:tabs>
        <w:spacing w:after="40" w:line="240" w:lineRule="auto"/>
        <w:ind w:left="360"/>
      </w:pPr>
      <w:hyperlink w:anchor="nav_heading_3_12_Ethics_and_data_governa" w:history="1">
        <w:r>
          <w:rPr>
            <w:noProof/>
          </w:rPr>
          <w:t xml:space="preserve">3.12 Ethics and data governance</w:t>
          <w:tab/>
          <w:t>21</w:t>
        </w:r>
      </w:hyperlink>
    </w:p>
    <w:p>
      <w:pPr>
        <w:keepLines/>
        <w:tabs>
          <w:tab w:pos="8784" w:val="right" w:leader="dot"/>
        </w:tabs>
        <w:spacing w:after="40" w:line="240" w:lineRule="auto"/>
        <w:ind w:left="0"/>
      </w:pPr>
      <w:hyperlink w:anchor="nav_heading_Chapter_4_Results" w:history="1">
        <w:r>
          <w:rPr>
            <w:noProof/>
          </w:rPr>
          <w:t xml:space="preserve">Chapter 4: Results</w:t>
          <w:tab/>
          <w:t>22</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22</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24</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24</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27</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28</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29</w:t>
        </w:r>
      </w:hyperlink>
    </w:p>
    <w:p>
      <w:pPr>
        <w:keepLines/>
        <w:tabs>
          <w:tab w:pos="8784" w:val="right" w:leader="dot"/>
        </w:tabs>
        <w:spacing w:after="40" w:line="240" w:lineRule="auto"/>
        <w:ind w:left="360"/>
      </w:pPr>
      <w:hyperlink w:anchor="nav_heading_4_7_Action_stratified_diagno" w:history="1">
        <w:r>
          <w:rPr>
            <w:noProof/>
          </w:rPr>
          <w:t xml:space="preserve">4.7 Action-stratified diagnostic</w:t>
          <w:tab/>
          <w:t>30</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31</w:t>
        </w:r>
      </w:hyperlink>
    </w:p>
    <w:p>
      <w:pPr>
        <w:keepLines/>
        <w:tabs>
          <w:tab w:pos="8784" w:val="right" w:leader="dot"/>
        </w:tabs>
        <w:spacing w:after="40" w:line="240" w:lineRule="auto"/>
        <w:ind w:left="360"/>
      </w:pPr>
      <w:hyperlink w:anchor="nav_heading_4_9_Faithfulness_hypotheses" w:history="1">
        <w:r>
          <w:rPr>
            <w:noProof/>
          </w:rPr>
          <w:t xml:space="preserve">4.9 Faithfulness hypotheses</w:t>
          <w:tab/>
          <w:t>32</w:t>
        </w:r>
      </w:hyperlink>
    </w:p>
    <w:p>
      <w:pPr>
        <w:keepLines/>
        <w:tabs>
          <w:tab w:pos="8784" w:val="right" w:leader="dot"/>
        </w:tabs>
        <w:spacing w:after="40" w:line="240" w:lineRule="auto"/>
        <w:ind w:left="360"/>
      </w:pPr>
      <w:hyperlink w:anchor="nav_heading_4_10_Result_summary" w:history="1">
        <w:r>
          <w:rPr>
            <w:noProof/>
          </w:rPr>
          <w:t xml:space="preserve">4.10 Result summary</w:t>
          <w:tab/>
          <w:t>33</w:t>
        </w:r>
      </w:hyperlink>
    </w:p>
    <w:p>
      <w:pPr>
        <w:keepLines/>
        <w:tabs>
          <w:tab w:pos="8784" w:val="right" w:leader="dot"/>
        </w:tabs>
        <w:spacing w:after="40" w:line="240" w:lineRule="auto"/>
        <w:ind w:left="360"/>
      </w:pPr>
      <w:hyperlink w:anchor="nav_heading_4_11_Demonstrative_framework" w:history="1">
        <w:r>
          <w:rPr>
            <w:noProof/>
          </w:rPr>
          <w:t xml:space="preserve">4.11 Demonstrative framework decision</w:t>
          <w:tab/>
          <w:t>34</w:t>
        </w:r>
      </w:hyperlink>
    </w:p>
    <w:p>
      <w:pPr>
        <w:keepLines/>
        <w:tabs>
          <w:tab w:pos="8784" w:val="right" w:leader="dot"/>
        </w:tabs>
        <w:spacing w:after="40" w:line="240" w:lineRule="auto"/>
        <w:ind w:left="0"/>
      </w:pPr>
      <w:hyperlink w:anchor="nav_heading_Chapter_5_Discussion" w:history="1">
        <w:r>
          <w:rPr>
            <w:noProof/>
          </w:rPr>
          <w:t xml:space="preserve">Chapter 5: Discussion</w:t>
          <w:tab/>
          <w:t>35</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35</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36</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36</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37</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37</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38</w:t>
        </w:r>
      </w:hyperlink>
    </w:p>
    <w:p>
      <w:pPr>
        <w:keepLines/>
        <w:tabs>
          <w:tab w:pos="8784" w:val="right" w:leader="dot"/>
        </w:tabs>
        <w:spacing w:after="40" w:line="240" w:lineRule="auto"/>
        <w:ind w:left="360"/>
      </w:pPr>
      <w:hyperlink w:anchor="nav_heading_5_6_1_Purpose_and_scope" w:history="1">
        <w:r>
          <w:rPr>
            <w:noProof/>
          </w:rPr>
          <w:t xml:space="preserve">5.6.1 Purpose and scope</w:t>
          <w:tab/>
          <w:t>38</w:t>
        </w:r>
      </w:hyperlink>
    </w:p>
    <w:p>
      <w:pPr>
        <w:keepLines/>
        <w:tabs>
          <w:tab w:pos="8784" w:val="right" w:leader="dot"/>
        </w:tabs>
        <w:spacing w:after="40" w:line="240" w:lineRule="auto"/>
        <w:ind w:left="360"/>
      </w:pPr>
      <w:hyperlink w:anchor="nav_heading_5_6_2_Inputs_outputs_and_use" w:history="1">
        <w:r>
          <w:rPr>
            <w:noProof/>
          </w:rPr>
          <w:t xml:space="preserve">5.6.2 Inputs, outputs and use</w:t>
          <w:tab/>
          <w:t>39</w:t>
        </w:r>
      </w:hyperlink>
    </w:p>
    <w:p>
      <w:pPr>
        <w:keepLines/>
        <w:tabs>
          <w:tab w:pos="8784" w:val="right" w:leader="dot"/>
        </w:tabs>
        <w:spacing w:after="40" w:line="240" w:lineRule="auto"/>
        <w:ind w:left="360"/>
      </w:pPr>
      <w:hyperlink w:anchor="nav_heading_5_6_3_Application_to_this_st" w:history="1">
        <w:r>
          <w:rPr>
            <w:noProof/>
          </w:rPr>
          <w:t xml:space="preserve">5.6.3 Application to this study</w:t>
          <w:tab/>
          <w:t>40</w:t>
        </w:r>
      </w:hyperlink>
    </w:p>
    <w:p>
      <w:pPr>
        <w:keepLines/>
        <w:tabs>
          <w:tab w:pos="8784" w:val="right" w:leader="dot"/>
        </w:tabs>
        <w:spacing w:after="40" w:line="240" w:lineRule="auto"/>
        <w:ind w:left="360"/>
      </w:pPr>
      <w:hyperlink w:anchor="nav_heading_5_7_Limitations" w:history="1">
        <w:r>
          <w:rPr>
            <w:noProof/>
          </w:rPr>
          <w:t xml:space="preserve">5.7 Limitations</w:t>
          <w:tab/>
          <w:t>40</w:t>
        </w:r>
      </w:hyperlink>
    </w:p>
    <w:p>
      <w:pPr>
        <w:keepLines/>
        <w:tabs>
          <w:tab w:pos="8784" w:val="right" w:leader="dot"/>
        </w:tabs>
        <w:spacing w:after="40" w:line="240" w:lineRule="auto"/>
        <w:ind w:left="360"/>
      </w:pPr>
      <w:hyperlink w:anchor="nav_heading_5_8_Future_work" w:history="1">
        <w:r>
          <w:rPr>
            <w:noProof/>
          </w:rPr>
          <w:t xml:space="preserve">5.8 Future work</w:t>
          <w:tab/>
          <w:t>41</w:t>
        </w:r>
      </w:hyperlink>
    </w:p>
    <w:p>
      <w:pPr>
        <w:keepLines/>
        <w:tabs>
          <w:tab w:pos="8784" w:val="right" w:leader="dot"/>
        </w:tabs>
        <w:spacing w:after="40" w:line="240" w:lineRule="auto"/>
        <w:ind w:left="0"/>
      </w:pPr>
      <w:hyperlink w:anchor="nav_heading_Chapter_6_Conclusion" w:history="1">
        <w:r>
          <w:rPr>
            <w:noProof/>
          </w:rPr>
          <w:t xml:space="preserve">Chapter 6: Conclusion</w:t>
          <w:tab/>
          <w:t>42</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i w:val="0"/>
        </w:rPr>
        <w:t>faithfulness decoupling</w:t>
      </w:r>
      <w:r>
        <w:t xml:space="preserve"> to describe the risk that an explanation remains available and visually plausible after its supporting data have become stale, without a reliable link between the displayed weights and the evidence that changes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Is graph attention a faithful explanation under clean telemetry?</w:t>
      </w:r>
    </w:p>
    <w:p>
      <w:pPr>
        <w:pStyle w:val="14"/>
        <w:keepLines/>
        <w:numPr>
          <w:ilvl w:val="0"/>
          <w:numId w:val="5"/>
        </w:numPr>
        <w:spacing w:after="40"/>
      </w:pPr>
      <w:r>
        <w:rPr>
          <w:b/>
          <w:i w:val="0"/>
        </w:rPr>
        <w:t>RQ2:</w:t>
      </w:r>
      <w:r>
        <w:t xml:space="preserve"> When tunnel-triggered outages occur, does attention move toward stale vehicle nodes?</w:t>
      </w:r>
    </w:p>
    <w:p>
      <w:pPr>
        <w:pStyle w:val="14"/>
        <w:keepLines/>
        <w:numPr>
          <w:ilvl w:val="0"/>
          <w:numId w:val="5"/>
        </w:numPr>
        <w:spacing w:after="40"/>
      </w:pPr>
      <w:r>
        <w:rPr>
          <w:b/>
          <w:i w:val="0"/>
        </w:rPr>
        <w:t>RQ3:</w:t>
      </w:r>
      <w:r>
        <w:t xml:space="preserve"> As outage duration increases, does the relationship between attention, stale-data exposure, and decision relevance remain reliable?</w:t>
      </w:r>
    </w:p>
    <w:p>
      <w:pPr>
        <w:pStyle w:val="14"/>
        <w:keepLines/>
        <w:numPr>
          <w:ilvl w:val="0"/>
          <w:numId w:val="5"/>
        </w:numPr>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training,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test whether the paired result remains similar when telemetry loss is triggered randomly rather than by one fixed tunnel location;</w:t>
      </w:r>
    </w:p>
    <w:p>
      <w:pPr>
        <w:pStyle w:val="13"/>
        <w:keepLines/>
        <w:spacing w:after="40"/>
      </w:pPr>
      <w:r>
        <w:t>measure explanation faithfulness with action-aware, type-matched counterfactual controls;</w:t>
      </w:r>
    </w:p>
    <w:p>
      <w:pPr>
        <w:pStyle w:val="13"/>
        <w:keepLines/>
        <w:spacing w:after="40"/>
      </w:pPr>
      <w:r>
        <w:t>check whether the faithfulness evaluator is sensitive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40"/>
      </w:pPr>
      <w:r>
        <w:t>treat the trained policy, rather than each individual decision, as the unit for judging whether a finding is consistent; and</w:t>
      </w:r>
    </w:p>
    <w:p>
      <w:pPr>
        <w:pStyle w:val="13"/>
        <w:keepLines/>
        <w:spacing w:after="120"/>
      </w:pPr>
      <w:r>
        <w:t>turn the collected evidence into an explicit ELIGIBLE, WITHHOLD, or INCOMPLETE explanation-release decision.</w:t>
      </w:r>
    </w:p>
    <w:p>
      <w:pPr>
        <w:pStyle w:val="3"/>
        <w:keepNext/>
      </w:pPr>
      <w:bookmarkStart w:id="6" w:name="nav_heading_1_5_Main_findings"/>
      <w:r>
        <w:t>1.5 Main findings</w:t>
      </w:r>
      <w:bookmarkEnd w:id="6"/>
    </w:p>
    <w:p>
      <w:pPr>
        <w:widowControl/>
      </w:pPr>
      <w:r>
        <w:t xml:space="preserve">Overall, </w:t>
      </w:r>
      <w:r>
        <w:rPr>
          <w:b/>
          <w:i w:val="0"/>
        </w:rPr>
        <w:t>this study does not validate raw attention weights as reliable explanations</w:t>
      </w:r>
      <w:r>
        <w:t>.</w:t>
      </w:r>
    </w:p>
    <w:p>
      <w:pPr>
        <w:widowControl/>
      </w:pPr>
      <w:r>
        <w:t>Under clean telemetry, type-matched DEF remains close to its random control and varies across the six checkpoints. A leave-one-out perturbation ranking gives a larger positive DEF in every checkpoint, showing that the evaluator can respond to a decision-relevant ranking even though raw attention does not provide a stable result.</w:t>
      </w:r>
    </w:p>
    <w:p>
      <w:pPr>
        <w:widowControl/>
      </w:pPr>
      <w:r>
        <w:t>Longer outages increase AoI-weighted stale exposure for every checkpoint. The paired response is less consistent: checkpoints trained with seeds 42 and 43 assign more attention to stale nodes on average, while those trained with seed 44 assign less. Paired DEF also changes direction across checkpoints. A random-trigger check shows a similar overall pattern, making a tunnel-only explanation less plausible without establishing a universal degradation effect.</w:t>
      </w:r>
    </w:p>
    <w:p>
      <w:pPr>
        <w:widowControl/>
      </w:pPr>
      <w:r>
        <w:t>The action audit narrows the conclusion. Among scorable decisions with at least one available request, 93.0% select no-op. The main duration and exposure associations do not reproduce within the smaller dispatch stratum. Attention results also change with the layer, head, aggregation rule, and query row used to construct the explanation.</w:t>
      </w:r>
    </w:p>
    <w:p>
      <w:pPr>
        <w:widowControl/>
      </w:pPr>
      <w:r>
        <w:t>Degradation-aware training does not remove this variation. The sampled policy distributions outperform the declared lower bounds, but all six graph-attention checkpoints choose no-op in the deterministic diagnostic. The study therefore audits explanations for sampled stochastic decisions; it does not establish a deployable argmax dispatcher. Overall, freshness and faithfulness must be checked separately for every policy checkpoint before release.</w:t>
      </w:r>
    </w:p>
    <w:p>
      <w:pPr>
        <w:pStyle w:val="3"/>
        <w:keepNext/>
      </w:pPr>
      <w:bookmarkStart w:id="7" w:name="nav_heading_1_6_Contributions"/>
      <w:r>
        <w:t>1.6 Contributions</w:t>
      </w:r>
      <w:bookmarkEnd w:id="7"/>
    </w:p>
    <w:p>
      <w:pPr>
        <w:keepNext/>
        <w:widowControl/>
      </w:pPr>
      <w:r>
        <w:t>The dissertation makes four main contributions:</w:t>
      </w:r>
    </w:p>
    <w:p>
      <w:pPr>
        <w:pStyle w:val="14"/>
        <w:keepLines/>
        <w:numPr>
          <w:ilvl w:val="0"/>
          <w:numId w:val="6"/>
        </w:numPr>
        <w:spacing w:after="40"/>
      </w:pPr>
      <w:r>
        <w:t>a paired clean/degraded benchmark that separates SUMO ground truth from the observation received by the policy and distinguishes the tunnel trigger from the observation-layer outage;</w:t>
      </w:r>
    </w:p>
    <w:p>
      <w:pPr>
        <w:pStyle w:val="14"/>
        <w:keepLines/>
        <w:numPr>
          <w:ilvl w:val="0"/>
          <w:numId w:val="6"/>
        </w:numPr>
        <w:spacing w:after="40"/>
      </w:pPr>
      <w:r>
        <w:t>an action-aware, type-matched faithfulness protocol for graphs in which request nodes also define available actions, supported by LOO, overlap, and action-stratified diagnostics;</w:t>
      </w:r>
    </w:p>
    <w:p>
      <w:pPr>
        <w:pStyle w:val="14"/>
        <w:keepLines/>
        <w:numPr>
          <w:ilvl w:val="0"/>
          <w:numId w:val="6"/>
        </w:numPr>
        <w:spacing w:after="40"/>
      </w:pPr>
      <w:r>
        <w:t>evidence across independently trained checkpoints, attention-extraction choices, and tunnel and random triggers showing that stale-data exposure is consistent but attention reallocation and faithfulness effects are not; and</w:t>
      </w:r>
    </w:p>
    <w:p>
      <w:pPr>
        <w:pStyle w:val="14"/>
        <w:keepLines/>
        <w:numPr>
          <w:ilvl w:val="0"/>
          <w:numId w:val="6"/>
        </w:numPr>
        <w:spacing w:after="120"/>
      </w:pPr>
      <w:r>
        <w:t>a reproducible freshness-aware explanation audit framework that converts the evidence into explicit ELIGIBLE, WITHHOLD, and INCOMPLETE release decisions.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w:t>
      </w:r>
    </w:p>
    <w:p>
      <w:pPr>
        <w:widowControl/>
      </w:pPr>
      <w:r>
        <w:t>MARL offers several ways to represent coordination. MADDPG learns decentralized actors with centralized critics (Lowe et al., 2017). QMIX factorizes a team value into agent values while preserving a monotonic relation to the joint action (Rashid et al., 2020). MAPPO uses the more familiar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These studies evaluate dispatch or scheduling quality rather than whether graph weights remain valid explanations when vehicle telemetry becomes stale. They provide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6" w:name="nav_heading_2_7_Research_gap_and_positio"/>
      <w:r>
        <w:t>2.7 Research gap and positioning</w:t>
      </w:r>
      <w:bookmarkEnd w:id="16"/>
    </w:p>
    <w:p>
      <w:pPr>
        <w:widowControl/>
      </w:pPr>
      <w:r>
        <w:t>The literature supports four points: relational RL is appropriate for fleet dispatch; attention is easy to expose but disputed as an explanation; GNN faithfulness requires graph-aware perturbations; and stale state matters to operational control. Existing work has not brought these topics together as one explanation-assurance problem.</w:t>
      </w:r>
    </w:p>
    <w:p>
      <w:pPr>
        <w:widowControl/>
      </w:pPr>
      <w:r>
        <w:t>Recent graph-based dispatch studies provide the closest task comparison, but they answer a different question from this dissertation.</w:t>
      </w:r>
    </w:p>
    <w:p>
      <w:pPr>
        <w:pStyle w:val="12"/>
        <w:keepNext/>
      </w:pPr>
      <w:bookmarkStart w:id="17" w:name="nav_table_Table_2_1"/>
      <w:r>
        <w:rPr>
          <w:b/>
        </w:rPr>
        <w:t>Table 2.1: Recent graph-based dispatch literature compared with this study</w:t>
      </w:r>
      <w:bookmarkEnd w:id="1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11"/>
        <w:gridCol w:w="2941"/>
        <w:gridCol w:w="2026"/>
        <w:gridCol w:w="2942"/>
      </w:tblGrid>
      <w:tr>
        <w:trPr>
          <w:cantSplit/>
          <w:tblHeader w:val="true"/>
        </w:trPr>
        <w:tc>
          <w:tcPr>
            <w:tcW w:type="dxa" w:w="1111"/>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294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Setting and method</w:t>
            </w:r>
          </w:p>
        </w:tc>
        <w:tc>
          <w:tcPr>
            <w:tcW w:type="dxa" w:w="202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evaluation</w:t>
            </w:r>
          </w:p>
        </w:tc>
        <w:tc>
          <w:tcPr>
            <w:tcW w:type="dxa" w:w="294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Difference from this study</w:t>
            </w:r>
          </w:p>
        </w:tc>
      </w:tr>
      <w:tr>
        <w:trPr>
          <w:cantSplit/>
        </w:trPr>
        <w:tc>
          <w:tcPr>
            <w:tcW w:type="dxa" w:w="11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BMG-Q (Hu, Feng and Li, 2025)</w:t>
            </w:r>
          </w:p>
        </w:tc>
        <w:tc>
          <w:tcPr>
            <w:tcW w:type="dxa" w:w="29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ride-pooling with a local bipartite matching graph</w:t>
            </w:r>
          </w:p>
        </w:tc>
        <w:tc>
          <w:tcPr>
            <w:tcW w:type="dxa" w:w="202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dispatch performance</w:t>
            </w:r>
          </w:p>
        </w:tc>
        <w:tc>
          <w:tcPr>
            <w:tcW w:type="dxa" w:w="29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does not audit graph weights under stale telemetry</w:t>
            </w:r>
          </w:p>
        </w:tc>
      </w:tr>
      <w:tr>
        <w:trPr>
          <w:cantSplit/>
        </w:trPr>
        <w:tc>
          <w:tcPr>
            <w:tcW w:type="dxa" w:w="11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CoopRide (Wang et al., 2025)</w:t>
            </w:r>
          </w:p>
        </w:tc>
        <w:tc>
          <w:tcPr>
            <w:tcW w:type="dxa" w:w="29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cooperative MARL across city grids</w:t>
            </w:r>
          </w:p>
        </w:tc>
        <w:tc>
          <w:tcPr>
            <w:tcW w:type="dxa" w:w="202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city-scale dispatch performance</w:t>
            </w:r>
          </w:p>
        </w:tc>
        <w:tc>
          <w:tcPr>
            <w:tcW w:type="dxa" w:w="29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does not test node-level explanation faithfulness</w:t>
            </w:r>
          </w:p>
        </w:tc>
      </w:tr>
      <w:tr>
        <w:trPr>
          <w:cantSplit/>
        </w:trPr>
        <w:tc>
          <w:tcPr>
            <w:tcW w:type="dxa" w:w="11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DualG-MARL (Sha et al., 2026)</w:t>
            </w:r>
          </w:p>
        </w:tc>
        <w:tc>
          <w:tcPr>
            <w:tcW w:type="dxa" w:w="29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state and task graphs for ride-sharing scheduling</w:t>
            </w:r>
          </w:p>
        </w:tc>
        <w:tc>
          <w:tcPr>
            <w:tcW w:type="dxa" w:w="202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scheduling performance</w:t>
            </w:r>
          </w:p>
        </w:tc>
        <w:tc>
          <w:tcPr>
            <w:tcW w:type="dxa" w:w="29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does not pair clean and degraded observations or audit freshness</w:t>
            </w:r>
          </w:p>
        </w:tc>
      </w:tr>
      <w:tr>
        <w:trPr>
          <w:cantSplit/>
        </w:trPr>
        <w:tc>
          <w:tcPr>
            <w:tcW w:type="dxa" w:w="11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This dissertation</w:t>
            </w:r>
          </w:p>
        </w:tc>
        <w:tc>
          <w:tcPr>
            <w:tcW w:type="dxa" w:w="294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local GAT-MAPPO taxi/request graph</w:t>
            </w:r>
          </w:p>
        </w:tc>
        <w:tc>
          <w:tcPr>
            <w:tcW w:type="dxa" w:w="202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 assurance</w:t>
            </w:r>
          </w:p>
        </w:tc>
        <w:tc>
          <w:tcPr>
            <w:tcW w:type="dxa" w:w="29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paired telemetry degradation, action-aware faithfulness, and release conditions</w:t>
            </w:r>
          </w:p>
        </w:tc>
      </w:tr>
    </w:tbl>
    <w:p>
      <w:pPr>
        <w:widowControl/>
      </w:pPr>
      <w:r>
        <w:t>These methods are not treated as performance baselines because their tasks, action spaces, and data-generation procedures differ. They are benchmark literature for positioning the contribution: recent work improves relational dispatch, whereas this dissertation tests whether an exposed attention channel has enough evidence to be presented as an explanation.</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This thesis contributes an audit protocol and an empirical test rather than a new dispatch algorithm. SUMO supplies a controlled simulated state (Lopez et al., 2018). The GAT-MAPPO policy supplies a realistic attention channel. The research contribution is to test whether that channel gives a reproducible freshness-aware and decision-relevant explanation, and to state clearly when the evidence cannot support that claim.</w:t>
      </w:r>
    </w:p>
    <w:p>
      <w:pPr>
        <w:pStyle w:val="2"/>
        <w:keepNext/>
      </w:pPr>
      <w:bookmarkStart w:id="18" w:name="nav_heading_Chapter_3_Methodology"/>
      <w:r>
        <w:t>Chapter 3: Methodology</w:t>
      </w:r>
      <w:bookmarkEnd w:id="18"/>
    </w:p>
    <w:p>
      <w:pPr>
        <w:pStyle w:val="3"/>
        <w:keepNext/>
      </w:pPr>
      <w:bookmarkStart w:id="19" w:name="nav_heading_3_1_Study_design"/>
      <w:r>
        <w:t>3.1 Study design</w:t>
      </w:r>
      <w:bookmarkEnd w:id="19"/>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pStyle w:val="3"/>
        <w:keepNext/>
      </w:pPr>
      <w:bookmarkStart w:id="20" w:name="nav_heading_3_2_SUMO_environment_and_dat"/>
      <w:r>
        <w:t>3.2 SUMO environment and data</w:t>
      </w:r>
      <w:bookmarkEnd w:id="20"/>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1" w:name="nav_heading_3_3_Observation_graph_and_ac"/>
      <w:r>
        <w:t>3.3 Observation graph and action space</w:t>
      </w:r>
      <w:bookmarkEnd w:id="21"/>
    </w:p>
    <w:p>
      <w:pPr>
        <w:widowControl/>
      </w:pPr>
      <w:r>
        <w:t>Each idle taxi receives a self-centered graph containing:</w:t>
      </w:r>
    </w:p>
    <w:p>
      <w:pPr>
        <w:pStyle w:val="12"/>
        <w:keepNext/>
      </w:pPr>
      <w:bookmarkStart w:id="22" w:name="nav_table_Table_3_1"/>
      <w:r>
        <w:rPr>
          <w:b/>
        </w:rPr>
        <w:t>Table 3.1: Observation graph node types and roles</w:t>
      </w:r>
      <w:bookmarkEnd w:id="22"/>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3"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3"/>
    </w:p>
    <w:p>
      <w:pPr>
        <w:pStyle w:val="3"/>
        <w:keepNext/>
      </w:pPr>
      <w:bookmarkStart w:id="24" w:name="nav_heading_3_4_Policy_models_and_traini"/>
      <w:r>
        <w:t>3.4 Policy models and training</w:t>
      </w:r>
      <w:bookmarkEnd w:id="24"/>
    </w:p>
    <w:p>
      <w:pPr>
        <w:widowControl/>
      </w:pPr>
      <w:r>
        <w:t>The main policy uses per-node-type feature projections followed by two graph attention layers with four heads. The actor scores no-op and the visible requests. The critic estimates value for MAPPO training with centralized training and decentralized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p>
      <w:pPr>
        <w:keepLines/>
        <w:ind w:left="504" w:right="504"/>
        <w:jc w:val="left"/>
      </w:pPr>
      <w:r>
        <w:rPr>
          <w:rFonts w:ascii="Courier New" w:hAnsi="Courier New"/>
          <w:sz w:val="18"/>
        </w:rPr>
        <w:t>alpha_j = normalize((1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5"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5"/>
    </w:p>
    <w:p>
      <w:pPr>
        <w:widowControl/>
      </w:pPr>
      <w:r>
        <w:t>Three policy conditions are included:</w:t>
      </w:r>
    </w:p>
    <w:p>
      <w:pPr>
        <w:pStyle w:val="12"/>
        <w:keepNext/>
      </w:pPr>
      <w:bookmarkStart w:id="26" w:name="nav_table_Table_3_2"/>
      <w:r>
        <w:rPr>
          <w:b/>
        </w:rPr>
        <w:t>Table 3.2: Policy conditions used in the experiment</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MLP is trained for 50 epochs, GAT for 40 epochs, and GAT-Outage for 50 epochs. Each condition uses independent training seeds 42, 43, and 44.</w:t>
      </w:r>
    </w:p>
    <w:p>
      <w:pPr>
        <w:widowControl/>
      </w:pPr>
      <w:r>
        <w:t>Candidate checkpoints include periodic snapshots saved every ten epochs, the final snapshot, and a rolling-best snapshot updated when the ten-epoch mean pickup count improves. The implementation records zero-based epoch indices, so index 39 denotes the checkpoint saved after 40 training epochs. Selection uses eight stochastic validation episodes with seed 2026 and mean pickups as the primary criterion; mean reward and the earlier checkpoint index break ties. The test split is not read during selection. The selected checkpoint indices are:</w:t>
      </w:r>
    </w:p>
    <w:p>
      <w:pPr>
        <w:pStyle w:val="12"/>
        <w:keepNext/>
      </w:pPr>
      <w:bookmarkStart w:id="27" w:name="nav_table_Table_3_3"/>
      <w:r>
        <w:rPr>
          <w:b/>
        </w:rPr>
        <w:t>Table 3.3: Validation-selected checkpoint indices (zero-based)</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The shared optimization settings are shown below.</w:t>
      </w:r>
    </w:p>
    <w:p>
      <w:pPr>
        <w:pStyle w:val="12"/>
        <w:keepNext/>
      </w:pPr>
      <w:bookmarkStart w:id="28" w:name="nav_table_Table_3_4"/>
      <w:r>
        <w:rPr>
          <w:b/>
        </w:rPr>
        <w:t>Table 3.4: Shared training and optimization settings</w:t>
      </w:r>
      <w:bookmarkEnd w:id="2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890"/>
        <w:gridCol w:w="4130"/>
      </w:tblGrid>
      <w:tr>
        <w:trPr>
          <w:cantSplit/>
          <w:tblHeader w:val="true"/>
        </w:trPr>
        <w:tc>
          <w:tcPr>
            <w:tcW w:type="dxa" w:w="489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1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pickups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zero-pickup epochs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pickups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Final validation retention is the final checkpoint's mean validation pickups divided by the selected checkpoint's mean validation pickups. These four stability gates are applied to every training run before its checkpoint is accepted for evaluation.</w:t>
      </w:r>
    </w:p>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9"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29"/>
    </w:p>
    <w:p>
      <w:pPr>
        <w:pStyle w:val="3"/>
        <w:keepNext/>
      </w:pPr>
      <w:bookmarkStart w:id="30" w:name="nav_heading_3_5_Telemetry_degradation"/>
      <w:r>
        <w:t>3.5 Telemetry degradation</w:t>
      </w:r>
      <w:bookmarkEnd w:id="30"/>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31" w:name="nav_figure_Figure_3_4"/>
      <w:r>
        <w:t>Figure 3.4. Tunnel entry triggers an observation-layer outage. SUMO keeps moving the vehicle while the policy sees its last valid position; the clean twin reads current state but never acts.</w:t>
      </w:r>
      <w:bookmarkEnd w:id="31"/>
    </w:p>
    <w:p>
      <w:pPr>
        <w:pStyle w:val="3"/>
        <w:keepNext/>
      </w:pPr>
      <w:bookmarkStart w:id="32" w:name="nav_heading_3_6_Explanation_measures"/>
      <w:r>
        <w:t>3.6 Explanation measures</w:t>
      </w:r>
      <w:bookmarkEnd w:id="32"/>
    </w:p>
    <w:p>
      <w:pPr>
        <w:pStyle w:val="4"/>
        <w:keepNext/>
      </w:pPr>
      <w:bookmarkStart w:id="33" w:name="nav_heading_3_6_1_Decision_level_explana"/>
      <w:r>
        <w:t>3.6.1 Decision-level explanation faithfulness</w:t>
      </w:r>
      <w:bookmarkEnd w:id="33"/>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s(G,a) denote either p(G,a) or m(G,a). For explanation subset R_k and a matched random subset B_k:</w:t>
      </w:r>
    </w:p>
    <w:p>
      <w:pPr>
        <w:keepLines/>
        <w:ind w:left="504" w:right="504"/>
        <w:jc w:val="left"/>
      </w:pPr>
      <w:r>
        <w:rPr>
          <w:rFonts w:ascii="Courier New" w:hAnsi="Courier New"/>
          <w:sz w:val="18"/>
        </w:rPr>
        <w:t>Comp(R_k) = s(G,a) - s(G without R_k,a)</w:t>
        <w:br/>
        <w:t>Suff(R_k) = s(G,a) - s(G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7"/>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7"/>
        </w:numPr>
        <w:spacing w:after="40"/>
      </w:pPr>
      <w:r>
        <w:rPr>
          <w:b/>
          <w:i w:val="0"/>
        </w:rPr>
        <w:t>DEF near zero:</w:t>
      </w:r>
      <w:r>
        <w:t xml:space="preserve"> the attention ranking has no measured advantage over the matched random control.</w:t>
      </w:r>
    </w:p>
    <w:p>
      <w:pPr>
        <w:pStyle w:val="14"/>
        <w:keepLines/>
        <w:numPr>
          <w:ilvl w:val="0"/>
          <w:numId w:val="7"/>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confirmatory H1-H4 family and the paired clean-twin comparison use probability DEF, following the declared hypothesis analysis.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w:t>
      </w:r>
    </w:p>
    <w:p>
      <w:pPr>
        <w:pStyle w:val="12"/>
        <w:keepNext/>
      </w:pPr>
      <w:bookmarkStart w:id="34" w:name="nav_table_Table_3_5"/>
      <w:r>
        <w:rPr>
          <w:b/>
        </w:rPr>
        <w:t>Table 3.5: Explanation measures and roles</w:t>
      </w:r>
      <w:bookmarkEnd w:id="3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350"/>
        <w:gridCol w:w="1100"/>
        <w:gridCol w:w="1500"/>
        <w:gridCol w:w="1250"/>
        <w:gridCol w:w="1600"/>
        <w:gridCol w:w="1220"/>
      </w:tblGrid>
      <w:tr>
        <w:trPr>
          <w:cantSplit/>
          <w:tblHeader w:val="true"/>
        </w:trPr>
        <w:tc>
          <w:tcPr>
            <w:tcW w:type="dxa" w:w="23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probability scale</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selected-action margin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35" w:name="nav_heading_3_6_2_Stale_node_attention"/>
      <w:r>
        <w:t>3.6.2 Stale-node attention</w:t>
      </w:r>
      <w:bookmarkEnd w:id="35"/>
    </w:p>
    <w:p>
      <w:pPr>
        <w:widowControl/>
      </w:pPr>
      <w:r>
        <w:t>WAMSN measures attention attached to stale vehicle information:</w:t>
      </w:r>
    </w:p>
    <w:p>
      <w:pPr>
        <w:keepLines/>
        <w:ind w:left="504" w:right="504"/>
        <w:jc w:val="left"/>
      </w:pPr>
      <w:r>
        <w:rPr>
          <w:rFonts w:ascii="Courier New" w:hAnsi="Courier New"/>
          <w:sz w:val="18"/>
        </w:rPr>
        <w:t>WAMSN = sum(attention_i * normalized_AoI_i)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6" w:name="nav_heading_3_7_Construct_validity_audit"/>
      <w:r>
        <w:t>3.7 Construct-validity audit</w:t>
      </w:r>
      <w:bookmarkEnd w:id="36"/>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7" w:name="nav_figure_Figure_3_5"/>
      <w:r>
        <w:t>Figure 3.5. Request-node occlusion can remove its action, while peer-taxi occlusion removes context only. Corrected DEF matches subset size and node types, protects the chosen request, and logs margin clamps.</w:t>
      </w:r>
      <w:bookmarkEnd w:id="37"/>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8" w:name="nav_heading_3_8_Evaluation_matrix"/>
      <w:r>
        <w:t>3.8 Evaluation matrix</w:t>
      </w:r>
      <w:bookmarkEnd w:id="38"/>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p>
      <w:pPr>
        <w:keepLines/>
        <w:ind w:left="504" w:right="504"/>
        <w:jc w:val="left"/>
      </w:pPr>
      <w:r>
        <w:rPr>
          <w:rFonts w:ascii="Courier New" w:hAnsi="Courier New"/>
          <w:sz w:val="18"/>
        </w:rPr>
        <w:t>3 models x 3 frozen checkpoints per model x 8 evaluation seeds x 3 episodes</w:t>
      </w:r>
    </w:p>
    <w:p>
      <w:pPr>
        <w:widowControl/>
      </w:pPr>
      <w:r>
        <w:t>The complete evaluation structure is summarized below. An episode evaluation is one complete rollout of one frozen checkpoint under one telemetry condition.</w:t>
      </w:r>
    </w:p>
    <w:p>
      <w:pPr>
        <w:pStyle w:val="12"/>
        <w:keepNext/>
      </w:pPr>
      <w:bookmarkStart w:id="39" w:name="nav_table_Table_3_6"/>
      <w:r>
        <w:rPr>
          <w:b/>
        </w:rPr>
        <w:t>Table 3.6: Held-out evaluation structure and episode counts</w:t>
      </w:r>
      <w:bookmarkEnd w:id="3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50"/>
        <w:gridCol w:w="2550"/>
        <w:gridCol w:w="2200"/>
        <w:gridCol w:w="3120"/>
      </w:tblGrid>
      <w:tr>
        <w:trPr>
          <w:cantSplit/>
          <w:tblHeader w:val="true"/>
        </w:trPr>
        <w:tc>
          <w:tcPr>
            <w:tcW w:type="dxa" w:w="11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25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22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5"/>
            <w:vAlign w:val="center"/>
            <w:shd w:fill="E7E6E6"/>
          </w:tcPr>
          <w:p>
            <w:pPr>
              <w:keepLines/>
              <w:widowControl/>
              <w:spacing w:after="0" w:line="240" w:lineRule="auto"/>
              <w:jc w:val="center"/>
            </w:pPr>
            <w:r>
              <w:rPr>
                <w:rFonts w:ascii="Times New Roman" w:hAnsi="Times New Roman"/>
                <w:b/>
                <w:sz w:val="20"/>
              </w:rPr>
              <w:t>Episodes/cell</w:t>
            </w:r>
          </w:p>
        </w:tc>
        <w:tc>
          <w:tcPr>
            <w:tcW w:type="dxa" w:w="1505"/>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5"/>
            <w:vAlign w:val="center"/>
          </w:tcPr>
          <w:p>
            <w:pPr>
              <w:keepLines/>
              <w:widowControl/>
              <w:spacing w:after="0" w:line="240" w:lineRule="auto"/>
              <w:jc w:val="center"/>
            </w:pPr>
            <w:r>
              <w:rPr>
                <w:rFonts w:ascii="Times New Roman" w:hAnsi="Times New Roman"/>
                <w:sz w:val="20"/>
              </w:rPr>
              <w:t>24</w:t>
            </w:r>
          </w:p>
        </w:tc>
        <w:tc>
          <w:tcPr>
            <w:tcW w:type="dxa" w:w="1505"/>
            <w:vAlign w:val="center"/>
          </w:tcPr>
          <w:p>
            <w:pPr>
              <w:keepLines/>
              <w:widowControl/>
              <w:spacing w:after="0" w:line="240" w:lineRule="auto"/>
              <w:jc w:val="center"/>
            </w:pPr>
            <w:r>
              <w:rPr>
                <w:rFonts w:ascii="Times New Roman" w:hAnsi="Times New Roman"/>
                <w:sz w:val="20"/>
              </w:rPr>
              <w:t>216</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5"/>
            <w:vAlign w:val="center"/>
          </w:tcPr>
          <w:p>
            <w:pPr>
              <w:keepLines/>
              <w:widowControl/>
              <w:spacing w:after="0" w:line="240" w:lineRule="auto"/>
              <w:jc w:val="center"/>
            </w:pPr>
            <w:r>
              <w:rPr>
                <w:rFonts w:ascii="Times New Roman" w:hAnsi="Times New Roman"/>
                <w:sz w:val="20"/>
              </w:rPr>
              <w:t>48</w:t>
            </w:r>
          </w:p>
        </w:tc>
        <w:tc>
          <w:tcPr>
            <w:tcW w:type="dxa" w:w="1505"/>
            <w:vAlign w:val="center"/>
          </w:tcPr>
          <w:p>
            <w:pPr>
              <w:keepLines/>
              <w:widowControl/>
              <w:spacing w:after="0" w:line="240" w:lineRule="auto"/>
              <w:jc w:val="center"/>
            </w:pPr>
            <w:r>
              <w:rPr>
                <w:rFonts w:ascii="Times New Roman" w:hAnsi="Times New Roman"/>
                <w:sz w:val="20"/>
              </w:rPr>
              <w:t>1,440</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5"/>
            <w:vAlign w:val="center"/>
          </w:tcPr>
          <w:p>
            <w:pPr>
              <w:keepLines/>
              <w:widowControl/>
              <w:spacing w:after="0" w:line="240" w:lineRule="auto"/>
              <w:jc w:val="center"/>
            </w:pPr>
            <w:r>
              <w:rPr>
                <w:rFonts w:ascii="Times New Roman" w:hAnsi="Times New Roman"/>
                <w:sz w:val="20"/>
              </w:rPr>
              <w:t>24</w:t>
            </w:r>
          </w:p>
        </w:tc>
        <w:tc>
          <w:tcPr>
            <w:tcW w:type="dxa" w:w="1505"/>
            <w:vAlign w:val="center"/>
          </w:tcPr>
          <w:p>
            <w:pPr>
              <w:keepLines/>
              <w:widowControl/>
              <w:spacing w:after="0" w:line="240" w:lineRule="auto"/>
              <w:jc w:val="center"/>
            </w:pPr>
            <w:r>
              <w:rPr>
                <w:rFonts w:ascii="Times New Roman" w:hAnsi="Times New Roman"/>
                <w:sz w:val="20"/>
              </w:rPr>
              <w:t>288</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5"/>
            <w:vAlign w:val="center"/>
          </w:tcPr>
          <w:p>
            <w:pPr>
              <w:keepLines/>
              <w:widowControl/>
              <w:spacing w:after="0" w:line="240" w:lineRule="auto"/>
              <w:jc w:val="center"/>
            </w:pPr>
            <w:r>
              <w:rPr>
                <w:rFonts w:ascii="Times New Roman" w:hAnsi="Times New Roman"/>
                <w:sz w:val="20"/>
              </w:rPr>
              <w:t>24</w:t>
            </w:r>
          </w:p>
        </w:tc>
        <w:tc>
          <w:tcPr>
            <w:tcW w:type="dxa" w:w="1505"/>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p>
      <w:pPr>
        <w:keepLines/>
        <w:ind w:left="504" w:right="504"/>
        <w:jc w:val="left"/>
      </w:pPr>
      <w:r>
        <w:rPr>
          <w:rFonts w:ascii="Courier New" w:hAnsi="Courier New"/>
          <w:sz w:val="18"/>
        </w:rPr>
        <w:t>3 training seeds x 5 conditions x 8 evaluation seeds x 6 episodes</w:t>
      </w:r>
    </w:p>
    <w:p>
      <w:pPr>
        <w:widowControl/>
      </w:pPr>
      <w:r>
        <w:t>The five conditions and their roles are:</w:t>
      </w:r>
    </w:p>
    <w:p>
      <w:pPr>
        <w:pStyle w:val="12"/>
        <w:keepNext/>
      </w:pPr>
      <w:bookmarkStart w:id="40" w:name="nav_table_Table_3_7"/>
      <w:r>
        <w:rPr>
          <w:b/>
        </w:rPr>
        <w:t>Table 3.7: Telemetry conditions used in held-out evaluation</w:t>
      </w:r>
      <w:bookmarkEnd w:id="4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38"/>
        <w:gridCol w:w="2818"/>
        <w:gridCol w:w="1761"/>
        <w:gridCol w:w="3103"/>
      </w:tblGrid>
      <w:tr>
        <w:trPr>
          <w:cantSplit/>
          <w:tblHeader w:val="true"/>
        </w:trPr>
        <w:tc>
          <w:tcPr>
            <w:tcW w:type="dxa" w:w="133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81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176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10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81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176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3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81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176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1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primary learned-policy evaluation samples from the policy distribution. This matches training and preserves both no-op and request-dispatch decisions for explanation auditing. A separate descriptive diagnostic evaluates each of the six selected GAT checkpoints by deterministic argmax over three held-out test episodes. This diagnostic is not used for checkpoint selection or the primary capability comparison. It checks whether sampled performance also corresponds to a usable deterministic policy.</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degraded and clean evaluations reuse the same matched-random draw,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All six sweeps pass these gates.</w:t>
      </w:r>
    </w:p>
    <w:p>
      <w:pPr>
        <w:pStyle w:val="3"/>
        <w:keepNext/>
      </w:pPr>
      <w:bookmarkStart w:id="41" w:name="nav_heading_3_9_Hypotheses_and_statistic"/>
      <w:r>
        <w:t>3.9 Hypotheses and statistics</w:t>
      </w:r>
      <w:bookmarkEnd w:id="41"/>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compared with clean training, degradation-aware training reduces the decline in DEF associated with longer outages and higher WAMSN.</w:t>
      </w:r>
    </w:p>
    <w:p>
      <w:pPr>
        <w:widowControl/>
      </w:pPr>
      <w:r>
        <w:t>H3 is interpreted as a stale-exposure manipulation check because WAMSN includes normalized AoI by definition. It confirms that longer outages create more AoI-weighted exposure; it is not independent evidence that AoI changes DEF.</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The exposure-conditioned paired follow-up directly subtracts clean-twin DEF from degraded DEF for the same decision. Negative values mean lower measured faithfulness under the degraded observation. This paired estimate is reported with an episode-block confidence interval and is interpreted by effect size, direction across trained policies, and uncertainty rather than by a decision-level p-value alone.</w:t>
      </w:r>
    </w:p>
    <w:p>
      <w:pPr>
        <w:widowControl/>
      </w:pPr>
      <w:r>
        <w:t>H2 is treated as a predeclared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An exploratory action-stratified audit separates scorable decisions with at least one available request into no-op and dispatch. Decisions with no available request are excluded because no-op is then forced rather than chosen. Within each stratum, records are still averaged by episode before permutation tests or bootstrap intervals are formed. This diagnostic tests whether the combined statistics describe both actions or are driven by the more common action. It was added after the primary analysis and is interpreted descriptively rather than as a new confirmatory hypothesis.</w:t>
      </w:r>
    </w:p>
    <w:p>
      <w:pPr>
        <w:widowControl/>
      </w:pPr>
      <w:r>
        <w:t>A second sensitivity analysis checks whether the paired result is specific to the fixed tunnel location. The six checkpoints remain frozen and are evaluated under clean telemetry, a 30-second tunnel-triggered freeze, and a 30-second randomly triggered freeze. The random trigger is an independent Bernoulli draw for each taxi at each observation step. A preliminary run without faithfulness scoring selected a trigger probability of 0.0023: for the reference GAT checkpoint, this produced a 0.569% degraded-observation rate, close to the 0.580% tunnel rate. The same probability is then held fixed for all checkpoints. Because policy actions change taxi availability and trajectories, the realized exposure rates can differ; they are reported rather than assumed equal. The comparison is therefore interpreted mainly from paired shifts among decisions that actually contain a stale vehicle node.</w:t>
      </w:r>
    </w:p>
    <w:p>
      <w:pPr>
        <w:widowControl/>
      </w:pPr>
      <w:r>
        <w:t>The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2" w:name="nav_heading_3_10_Audit_decision_implemen"/>
      <w:r>
        <w:t>3.10 Audit decision implementation</w:t>
      </w:r>
      <w:bookmarkEnd w:id="42"/>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action-stratified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8"/>
        </w:numPr>
        <w:spacing w:after="40"/>
      </w:pPr>
      <w:r>
        <w:t>evidence integrity;</w:t>
      </w:r>
    </w:p>
    <w:p>
      <w:pPr>
        <w:pStyle w:val="14"/>
        <w:keepLines/>
        <w:numPr>
          <w:ilvl w:val="0"/>
          <w:numId w:val="8"/>
        </w:numPr>
        <w:spacing w:after="40"/>
      </w:pPr>
      <w:r>
        <w:t>separate freshness reporting;</w:t>
      </w:r>
    </w:p>
    <w:p>
      <w:pPr>
        <w:pStyle w:val="14"/>
        <w:keepLines/>
        <w:numPr>
          <w:ilvl w:val="0"/>
          <w:numId w:val="8"/>
        </w:numPr>
        <w:spacing w:after="40"/>
      </w:pPr>
      <w:r>
        <w:t>type-matched and action-protected controls;</w:t>
      </w:r>
    </w:p>
    <w:p>
      <w:pPr>
        <w:pStyle w:val="14"/>
        <w:keepLines/>
        <w:numPr>
          <w:ilvl w:val="0"/>
          <w:numId w:val="8"/>
        </w:numPr>
        <w:spacing w:after="40"/>
      </w:pPr>
      <w:r>
        <w:t>dispatch-action decision relevance;</w:t>
      </w:r>
    </w:p>
    <w:p>
      <w:pPr>
        <w:pStyle w:val="14"/>
        <w:keepLines/>
        <w:numPr>
          <w:ilvl w:val="0"/>
          <w:numId w:val="8"/>
        </w:numPr>
        <w:spacing w:after="40"/>
      </w:pPr>
      <w:r>
        <w:t>no-op and dispatch composition;</w:t>
      </w:r>
    </w:p>
    <w:p>
      <w:pPr>
        <w:pStyle w:val="14"/>
        <w:keepLines/>
        <w:numPr>
          <w:ilvl w:val="0"/>
          <w:numId w:val="8"/>
        </w:numPr>
        <w:spacing w:after="40"/>
      </w:pPr>
      <w:r>
        <w:t>attention-extraction stability;</w:t>
      </w:r>
    </w:p>
    <w:p>
      <w:pPr>
        <w:pStyle w:val="14"/>
        <w:keepLines/>
        <w:numPr>
          <w:ilvl w:val="0"/>
          <w:numId w:val="8"/>
        </w:numPr>
        <w:spacing w:after="40"/>
      </w:pPr>
      <w:r>
        <w:t>consistency across independently trained checkpoints;</w:t>
      </w:r>
    </w:p>
    <w:p>
      <w:pPr>
        <w:pStyle w:val="14"/>
        <w:keepLines/>
        <w:numPr>
          <w:ilvl w:val="0"/>
          <w:numId w:val="8"/>
        </w:numPr>
        <w:spacing w:after="40"/>
      </w:pPr>
      <w:r>
        <w:t>capability of the action rule intended for deployment; and</w:t>
      </w:r>
    </w:p>
    <w:p>
      <w:pPr>
        <w:pStyle w:val="14"/>
        <w:keepLines/>
        <w:numPr>
          <w:ilvl w:val="0"/>
          <w:numId w:val="8"/>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confirms that both action strata and dispatch evidence are present; it does not claim that a sparse dispatch stratum would be representative.</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Their application to the present results is therefore demonstrative and is not an additional confirmatory test of H1-H5. For future candidate models, the rules and thresholds must be fixed before held-out evaluation.</w:t>
      </w:r>
    </w:p>
    <w:p>
      <w:pPr>
        <w:pStyle w:val="3"/>
        <w:keepNext/>
      </w:pPr>
      <w:bookmarkStart w:id="43" w:name="nav_heading_3_11_Reproducibility"/>
      <w:r>
        <w:t>3.11 Reproducibility</w:t>
      </w:r>
      <w:bookmarkEnd w:id="43"/>
    </w:p>
    <w:p>
      <w:pPr>
        <w:widowControl/>
      </w:pPr>
      <w:r>
        <w:t>The experiment runner records the configuration, commands, seeds, checkpoint hashes, source revision, and preflight reports in versioned run directories. Compact outputs include the summary, performance context, deterministic diagnostic, action-stratified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pStyle w:val="3"/>
        <w:keepNext/>
      </w:pPr>
      <w:bookmarkStart w:id="44" w:name="nav_heading_3_12_Ethics_and_data_governa"/>
      <w:r>
        <w:t>3.12 Ethics and data governance</w:t>
      </w:r>
      <w:bookmarkEnd w:id="44"/>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45" w:name="nav_heading_Chapter_4_Results"/>
      <w:r>
        <w:t>Chapter 4: Results</w:t>
      </w:r>
      <w:bookmarkEnd w:id="45"/>
    </w:p>
    <w:p>
      <w:pPr>
        <w:widowControl/>
      </w:pPr>
      <w:r>
        <w:t>The automated preflight audit passed 100 checks covering provenance and protocol requirements. Results are reported by training seed because decisions and episodes from one checkpoint do not constitute independent model replications.</w:t>
      </w:r>
    </w:p>
    <w:p>
      <w:pPr>
        <w:pStyle w:val="3"/>
        <w:keepNext/>
      </w:pPr>
      <w:bookmarkStart w:id="46" w:name="nav_heading_4_1_Policy_capability_and_tr"/>
      <w:r>
        <w:t>4.1 Policy capability and training stability</w:t>
      </w:r>
      <w:bookmarkEnd w:id="46"/>
    </w:p>
    <w:p>
      <w:pPr>
        <w:widowControl/>
      </w:pPr>
      <w:r>
        <w:t>Validation selected GAT checkpoint indices 39, 39, and 30 and GAT-Outage indices 49, 40, and 40 for seeds 42, 43, and 44. These are zero-based indices; for example, index 39 is the checkpoint saved after 40 training epochs. The selected index is reported separately for each trained policy.</w:t>
      </w:r>
    </w:p>
    <w:p>
      <w:pPr>
        <w:keepNext/>
        <w:keepLines/>
        <w:spacing w:before="120" w:after="40"/>
        <w:jc w:val="center"/>
      </w:pPr>
      <w:r>
        <w:drawing>
          <wp:inline xmlns:a="http://schemas.openxmlformats.org/drawingml/2006/main" xmlns:pic="http://schemas.openxmlformats.org/drawingml/2006/picture">
            <wp:extent cx="5623560" cy="3733940"/>
            <wp:docPr id="7" name="Picture 7" descr="GAT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48"/>
                    <a:stretch>
                      <a:fillRect/>
                    </a:stretch>
                  </pic:blipFill>
                  <pic:spPr>
                    <a:xfrm>
                      <a:off x="0" y="0"/>
                      <a:ext cx="5623560" cy="3733940"/>
                    </a:xfrm>
                    <a:prstGeom prst="rect"/>
                  </pic:spPr>
                </pic:pic>
              </a:graphicData>
            </a:graphic>
          </wp:inline>
        </w:drawing>
      </w:r>
    </w:p>
    <w:p>
      <w:pPr>
        <w:pStyle w:val="12"/>
        <w:keepLines/>
      </w:pPr>
      <w:bookmarkStart w:id="47" w:name="nav_figure_Figure_4_1"/>
      <w:r>
        <w:t>Figure 4.1. GAT training metrics use a ten-epoch moving mean. Stars mark validation-selected checkpoints. Reward and pickups still vary between epochs, but entropy remains above the collapse threshold and PPO clipping is limited.</w:t>
      </w:r>
      <w:bookmarkEnd w:id="47"/>
    </w:p>
    <w:p>
      <w:pPr>
        <w:widowControl/>
      </w:pPr>
      <w:r>
        <w:t>All nine training runs pass the declared stability gates. The following values describe the final ten training epochs, not the held-out evaluation in Table 4.1. For GAT, the final ten-epoch mean pickups are 13.3, 9.0, and 9.9, and final validation retention is 100%, 100%, and 92.6%. The corresponding GAT-Outage values are 12.4, 14.1, and 13.8 pickups, with validation retention of 100%, 93.9%, and 96.5%. Training metrics still fluctuate across epochs, but no selected checkpoint is a zero-pickup policy under stochastic validation. Deterministic argmax results are reported separately below.</w:t>
      </w:r>
    </w:p>
    <w:p>
      <w:pPr>
        <w:widowControl/>
      </w:pPr>
      <w:r>
        <w:t>Table 4.1 places the selected policies above two lower bounds evaluated on the same held-out demand. Performance is reported only to establish that the audited policies perform above random and greedy lower bounds.</w:t>
      </w:r>
    </w:p>
    <w:p>
      <w:pPr>
        <w:pStyle w:val="12"/>
        <w:keepNext/>
      </w:pPr>
      <w:bookmarkStart w:id="48" w:name="nav_table_Table_4_1"/>
      <w:r>
        <w:rPr>
          <w:b/>
        </w:rPr>
        <w:t>Table 4.1: Policy capability on held-out demand</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under stochastic action sampling. These results confirm capability for the sampled policy distributions only; the role of graph attention and the usability of the argmax policy remain untested.</w:t>
      </w:r>
    </w:p>
    <w:p>
      <w:pPr>
        <w:widowControl/>
      </w:pPr>
      <w:r>
        <w:t>The audit requires each checkpoint's sampled policy distribution to exceed the declared lower bounds, not GAT to outperform MLP. That condition is met. MLP has the highest cross-seed mean in this implementation, although the replicate ranges overlap. The experiment finds no task-performance advantage for graph attention. This limits how broadly the audit can be generalized but remains separate from whether the exposed weights faithfully explain GAT decisions.</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lemetry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49"/>
                    <a:stretch>
                      <a:fillRect/>
                    </a:stretch>
                  </pic:blipFill>
                  <pic:spPr>
                    <a:xfrm>
                      <a:off x="0" y="0"/>
                      <a:ext cx="5623560" cy="2925114"/>
                    </a:xfrm>
                    <a:prstGeom prst="rect"/>
                  </pic:spPr>
                </pic:pic>
              </a:graphicData>
            </a:graphic>
          </wp:inline>
        </w:drawing>
      </w:r>
    </w:p>
    <w:p>
      <w:pPr>
        <w:pStyle w:val="12"/>
        <w:keepLines/>
      </w:pPr>
      <w:bookmarkStart w:id="49" w:name="nav_figure_Figure_4_2"/>
      <w:r>
        <w:t>Figure 4.2. Each point is one selected policy evaluated over 24 held-out episodes. Horizontal lines show the cross-seed mean.</w:t>
      </w:r>
      <w:bookmarkEnd w:id="49"/>
    </w:p>
    <w:p>
      <w:pPr>
        <w:widowControl/>
      </w:pPr>
      <w:r>
        <w:t>The deterministic diagnostic changes the capability interpretation. All six selected graph-attention checkpoints choose no-op throughout three held-out episodes, giving 0 pickups in 18 of 18 checkpoint-episodes. Their common mean reward is -46.58 and final pending-request wait is 905.9 seconds. The stochastic results show only that the policy distributions assign enough probability to dispatch actions to produce pickups when sampled; they do not establish a stable argmax dispatcher.</w:t>
      </w:r>
    </w:p>
    <w:p>
      <w:pPr>
        <w:pStyle w:val="3"/>
        <w:keepNext/>
      </w:pPr>
      <w:bookmarkStart w:id="50" w:name="nav_heading_4_2_Construct_validity_audit"/>
      <w:r>
        <w:t>4.2 Construct-validity audit</w:t>
      </w:r>
      <w:bookmarkEnd w:id="50"/>
    </w:p>
    <w:p>
      <w:pPr>
        <w:widowControl/>
      </w:pPr>
      <w:r>
        <w:t>Removing a request node can remove an available action, while removing a peer taxi only hides information. A uniform random occlusion therefore compares different types of change.</w:t>
      </w:r>
    </w:p>
    <w:p>
      <w:pPr>
        <w:pStyle w:val="12"/>
        <w:keepNext/>
      </w:pPr>
      <w:bookmarkStart w:id="51" w:name="nav_table_Table_4_2"/>
      <w:r>
        <w:rPr>
          <w:b/>
        </w:rPr>
        <w:t>Table 4.2: Construct-validity audit of random controls</w:t>
      </w:r>
      <w:bookmarkEnd w:id="5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artifact. This 1,199-decision audit supports the measurement design rather than answering the primary research question. The reported protocol uses type matching, protects the chosen request in the margin variant, and logs action-margin clamps.</w:t>
      </w:r>
    </w:p>
    <w:p>
      <w:pPr>
        <w:pStyle w:val="3"/>
        <w:keepNext/>
      </w:pPr>
      <w:bookmarkStart w:id="52" w:name="nav_heading_4_3_Evaluator_sensitivity_an"/>
      <w:r>
        <w:t>4.3 Evaluator sensitivity and ranking controls</w:t>
      </w:r>
      <w:bookmarkEnd w:id="52"/>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widowControl/>
      </w:pPr>
      <w:r>
        <w:t>The two conditions are stored as separate evaluations and have different decision counts. Across the six checkpoints, the largest absolute 60-second minus clean change is 0.000071 for raw attention, 0.000254 for Gradient x Input, and 0.000306 for LOO. Figure 4.3 shows the clean values and the condition difference separately instead of presenting two visually indistinguishable rows.</w:t>
      </w:r>
    </w:p>
    <w:p>
      <w:pPr>
        <w:pStyle w:val="12"/>
        <w:keepNext/>
      </w:pPr>
      <w:bookmarkStart w:id="53" w:name="nav_table_Table_4_3"/>
      <w:r>
        <w:rPr>
          <w:b/>
        </w:rPr>
        <w:t>Table 4.3: Clean-telemetry faithfulness controls by training seed</w:t>
      </w:r>
      <w:bookmarkEnd w:id="5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2608"/>
        <w:gridCol w:w="1521"/>
        <w:gridCol w:w="1521"/>
        <w:gridCol w:w="1415"/>
      </w:tblGrid>
      <w:tr>
        <w:trPr>
          <w:cantSplit/>
          <w:tblHeader w:val="true"/>
        </w:trPr>
        <w:tc>
          <w:tcPr>
            <w:tcW w:type="dxa" w:w="108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260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Raw-attention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margin-DEF</w:t>
            </w:r>
          </w:p>
        </w:tc>
        <w:tc>
          <w:tcPr>
            <w:tcW w:type="dxa" w:w="141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+0.404</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+0.426</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-0.0010</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The LOO-ranked control is positive and larger than raw attention for all six selected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shows some agreement with decision-relevant LOO ordering, but the strength of that agreement remains checkpoint-dependent.</w:t>
      </w:r>
    </w:p>
    <w:p>
      <w:pPr>
        <w:keepNext/>
        <w:keepLines/>
        <w:spacing w:before="120" w:after="40"/>
        <w:jc w:val="center"/>
      </w:pPr>
      <w:r>
        <w:drawing>
          <wp:inline xmlns:a="http://schemas.openxmlformats.org/drawingml/2006/main" xmlns:pic="http://schemas.openxmlformats.org/drawingml/2006/picture">
            <wp:extent cx="5623560" cy="4033091"/>
            <wp:docPr id="9" name="Picture 9"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0"/>
                    <a:stretch>
                      <a:fillRect/>
                    </a:stretch>
                  </pic:blipFill>
                  <pic:spPr>
                    <a:xfrm>
                      <a:off x="0" y="0"/>
                      <a:ext cx="5623560" cy="4033091"/>
                    </a:xfrm>
                    <a:prstGeom prst="rect"/>
                  </pic:spPr>
                </pic:pic>
              </a:graphicData>
            </a:graphic>
          </wp:inline>
        </w:drawing>
      </w:r>
    </w:p>
    <w:p>
      <w:pPr>
        <w:pStyle w:val="12"/>
        <w:keepLines/>
      </w:pPr>
      <w:bookmarkStart w:id="54" w:name="nav_figure_Figure_4_3"/>
      <w:r>
        <w:t>Figure 4.3. Top: clean logit-margin DEF. Bottom: 60-second minus clean DEF, multiplied by 10,000, from separate evaluations. Lines join methods for each checkpoint; non-zero changes confirm distinct records.</w:t>
      </w:r>
      <w:bookmarkEnd w:id="54"/>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keepNext/>
        <w:keepLines/>
        <w:spacing w:before="120" w:after="40"/>
        <w:jc w:val="center"/>
      </w:pPr>
      <w:r>
        <w:drawing>
          <wp:inline xmlns:a="http://schemas.openxmlformats.org/drawingml/2006/main" xmlns:pic="http://schemas.openxmlformats.org/drawingml/2006/picture">
            <wp:extent cx="5623560" cy="3797729"/>
            <wp:docPr id="10" name="Picture 10"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1"/>
                    <a:stretch>
                      <a:fillRect/>
                    </a:stretch>
                  </pic:blipFill>
                  <pic:spPr>
                    <a:xfrm>
                      <a:off x="0" y="0"/>
                      <a:ext cx="5623560" cy="3797729"/>
                    </a:xfrm>
                    <a:prstGeom prst="rect"/>
                  </pic:spPr>
                </pic:pic>
              </a:graphicData>
            </a:graphic>
          </wp:inline>
        </w:drawing>
      </w:r>
    </w:p>
    <w:p>
      <w:pPr>
        <w:pStyle w:val="12"/>
        <w:keepLines/>
      </w:pPr>
      <w:bookmarkStart w:id="55" w:name="nav_figure_Figure_4_4"/>
      <w:r>
        <w:t>Figure 4.4. Stale-attention shift multiplied by 1,000. Selecting a layer, head, or rollout rule after seeing the result could reverse the conclusion.</w:t>
      </w:r>
      <w:bookmarkEnd w:id="55"/>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 The largest absolute 60-second minus clean query-row change is 0.000264, so the two conditions again remain close without being duplicates.</w:t>
      </w:r>
    </w:p>
    <w:p>
      <w:pPr>
        <w:keepNext/>
        <w:keepLines/>
        <w:spacing w:before="120" w:after="40"/>
        <w:jc w:val="center"/>
      </w:pPr>
      <w:r>
        <w:drawing>
          <wp:inline xmlns:a="http://schemas.openxmlformats.org/drawingml/2006/main" xmlns:pic="http://schemas.openxmlformats.org/drawingml/2006/picture">
            <wp:extent cx="5623560" cy="3899355"/>
            <wp:docPr id="11" name="Picture 11"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2"/>
                    <a:stretch>
                      <a:fillRect/>
                    </a:stretch>
                  </pic:blipFill>
                  <pic:spPr>
                    <a:xfrm>
                      <a:off x="0" y="0"/>
                      <a:ext cx="5623560" cy="3899355"/>
                    </a:xfrm>
                    <a:prstGeom prst="rect"/>
                  </pic:spPr>
                </pic:pic>
              </a:graphicData>
            </a:graphic>
          </wp:inline>
        </w:drawing>
      </w:r>
    </w:p>
    <w:p>
      <w:pPr>
        <w:pStyle w:val="12"/>
        <w:keepLines/>
      </w:pPr>
      <w:bookmarkStart w:id="56" w:name="nav_figure_Figure_4_5"/>
      <w:r>
        <w:t>Figure 4.5. Top: clean request-action DEF from the declared self row and the selected request row. Bottom: each query row's independently evaluated 60-second result minus clean, multiplied by 10,000. The selected request row improves the seed-43 clean results but does not provide a consistent improvement across checkpoints or conditions.</w:t>
      </w:r>
      <w:bookmarkEnd w:id="56"/>
    </w:p>
    <w:p>
      <w:pPr>
        <w:pStyle w:val="3"/>
        <w:keepNext/>
      </w:pPr>
      <w:bookmarkStart w:id="57" w:name="nav_heading_4_4_Small_graph_resolution"/>
      <w:r>
        <w:t>4.4 Small-graph resolution</w:t>
      </w:r>
      <w:bookmarkEnd w:id="57"/>
    </w:p>
    <w:p>
      <w:pPr>
        <w:widowControl/>
      </w:pPr>
      <w:r>
        <w:t>The scored graphs usually contain the maximum number of visible nodes.</w:t>
      </w:r>
    </w:p>
    <w:p>
      <w:pPr>
        <w:pStyle w:val="12"/>
        <w:keepNext/>
      </w:pPr>
      <w:bookmarkStart w:id="58" w:name="nav_table_Table_4_4"/>
      <w:r>
        <w:rPr>
          <w:b/>
        </w:rPr>
        <w:t>Table 4.4: Valid node-count distribution in scored graphs</w:t>
      </w:r>
      <w:bookmarkEnd w:id="5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 This pattern suggests that the ranking agreement has more contrast at k=1; it does not establish that LOO is ground truth or that the top-ranked attention node is a causal explanation.</w:t>
      </w:r>
    </w:p>
    <w:p>
      <w:pPr>
        <w:keepNext/>
        <w:keepLines/>
        <w:spacing w:before="120" w:after="40"/>
        <w:jc w:val="center"/>
      </w:pPr>
      <w:r>
        <w:drawing>
          <wp:inline xmlns:a="http://schemas.openxmlformats.org/drawingml/2006/main" xmlns:pic="http://schemas.openxmlformats.org/drawingml/2006/picture">
            <wp:extent cx="5623560" cy="2561961"/>
            <wp:docPr id="12" name="Picture 12"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3"/>
                    <a:stretch>
                      <a:fillRect/>
                    </a:stretch>
                  </pic:blipFill>
                  <pic:spPr>
                    <a:xfrm>
                      <a:off x="0" y="0"/>
                      <a:ext cx="5623560" cy="2561961"/>
                    </a:xfrm>
                    <a:prstGeom prst="rect"/>
                  </pic:spPr>
                </pic:pic>
              </a:graphicData>
            </a:graphic>
          </wp:inline>
        </w:drawing>
      </w:r>
    </w:p>
    <w:p>
      <w:pPr>
        <w:pStyle w:val="12"/>
        <w:keepLines/>
      </w:pPr>
      <w:bookmarkStart w:id="59" w:name="nav_figure_Figure_4_6"/>
      <w:r>
        <w:t>Figure 4.6. Large expected overlap between the explanation and its matched random set reduces the contrast available to DEF, especially at k=3.</w:t>
      </w:r>
      <w:bookmarkEnd w:id="59"/>
    </w:p>
    <w:p>
      <w:pPr>
        <w:pStyle w:val="3"/>
        <w:keepNext/>
      </w:pPr>
      <w:bookmarkStart w:id="60" w:name="nav_heading_4_5_Telemetry_manipulation_a"/>
      <w:r>
        <w:t>4.5 Telemetry manipulation and stale exposure</w:t>
      </w:r>
      <w:bookmarkEnd w:id="60"/>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selected checkpoints. Because WAMSN contains normalized AoI, this verifies increasing stale exposure; it does not show that AoI causes lower faithfulness.</w:t>
      </w:r>
    </w:p>
    <w:p>
      <w:pPr>
        <w:keepNext/>
        <w:keepLines/>
        <w:spacing w:before="120" w:after="40"/>
        <w:jc w:val="center"/>
      </w:pPr>
      <w:r>
        <w:drawing>
          <wp:inline xmlns:a="http://schemas.openxmlformats.org/drawingml/2006/main" xmlns:pic="http://schemas.openxmlformats.org/drawingml/2006/picture">
            <wp:extent cx="5623560" cy="5471659"/>
            <wp:docPr id="13" name="Picture 13" descr="WAMSN, probability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4"/>
                    <a:stretch>
                      <a:fillRect/>
                    </a:stretch>
                  </pic:blipFill>
                  <pic:spPr>
                    <a:xfrm>
                      <a:off x="0" y="0"/>
                      <a:ext cx="5623560" cy="5471659"/>
                    </a:xfrm>
                    <a:prstGeom prst="rect"/>
                  </pic:spPr>
                </pic:pic>
              </a:graphicData>
            </a:graphic>
          </wp:inline>
        </w:drawing>
      </w:r>
    </w:p>
    <w:p>
      <w:pPr>
        <w:pStyle w:val="12"/>
        <w:keepLines/>
      </w:pPr>
      <w:bookmarkStart w:id="61" w:name="nav_figure_Figure_4_7"/>
      <w:r>
        <w:t>Figure 4.7. Longer observation outages increase WAMSN for every policy. DEF changes are much smaller; pickups are reported only as context, not as the main research outcome.</w:t>
      </w:r>
      <w:bookmarkEnd w:id="61"/>
    </w:p>
    <w:p>
      <w:pPr>
        <w:pStyle w:val="3"/>
        <w:keepNext/>
      </w:pPr>
      <w:bookmarkStart w:id="62" w:name="nav_heading_4_6_Exposure_conditioned_pai"/>
      <w:r>
        <w:t>4.6 Exposure-conditioned paired audit</w:t>
      </w:r>
      <w:bookmarkEnd w:id="62"/>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w:t>
      </w:r>
    </w:p>
    <w:p>
      <w:pPr>
        <w:pStyle w:val="12"/>
        <w:keepNext/>
      </w:pPr>
      <w:bookmarkStart w:id="63" w:name="nav_table_Table_4_5"/>
      <w:r>
        <w:rPr>
          <w:b/>
        </w:rPr>
        <w:t>Table 4.5: Exposure-conditioned paired attention and DEF shifts</w:t>
      </w:r>
      <w:bookmarkEnd w:id="6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49"/>
        <w:gridCol w:w="759"/>
        <w:gridCol w:w="3038"/>
        <w:gridCol w:w="4274"/>
      </w:tblGrid>
      <w:tr>
        <w:trPr>
          <w:cantSplit/>
          <w:tblHeader w:val="true"/>
        </w:trPr>
        <w:tc>
          <w:tcPr>
            <w:tcW w:type="dxa" w:w="94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75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303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x 1,000 [95% CI]</w:t>
            </w:r>
          </w:p>
        </w:tc>
        <w:tc>
          <w:tcPr>
            <w:tcW w:type="dxa" w:w="4274"/>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probability-DEF shift x 10,000 [95% CI]</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+4.074 [+3.9, +4.2]</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-0.041 [-0.060, -0.022]</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+0.208 [+0.2, +0.3]</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-0.839 [-1.892, +0.143]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-3.483 [-3.6, -3.4]</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+0.092 [+0.068, +0.116]</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+3.975 [+3.8, +4.1]</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-0.253 [-0.323, -0.193]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+0.959 [+0.9, +1.0]</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-0.114 [-0.343, +0.061]</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-3.038 [-3.1, -2.9]</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+0.172 [+0.135, +0.212]</w:t>
            </w:r>
          </w:p>
        </w:tc>
      </w:tr>
    </w:tbl>
    <w:p>
      <w:pPr>
        <w:keepNext/>
        <w:keepLines/>
        <w:spacing w:before="120" w:after="40"/>
        <w:jc w:val="center"/>
      </w:pPr>
      <w:r>
        <w:drawing>
          <wp:inline xmlns:a="http://schemas.openxmlformats.org/drawingml/2006/main" xmlns:pic="http://schemas.openxmlformats.org/drawingml/2006/picture">
            <wp:extent cx="5623560" cy="2680961"/>
            <wp:docPr id="14" name="Picture 14"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5"/>
                    <a:stretch>
                      <a:fillRect/>
                    </a:stretch>
                  </pic:blipFill>
                  <pic:spPr>
                    <a:xfrm>
                      <a:off x="0" y="0"/>
                      <a:ext cx="5623560" cy="2680961"/>
                    </a:xfrm>
                    <a:prstGeom prst="rect"/>
                  </pic:spPr>
                </pic:pic>
              </a:graphicData>
            </a:graphic>
          </wp:inline>
        </w:drawing>
      </w:r>
    </w:p>
    <w:p>
      <w:pPr>
        <w:pStyle w:val="12"/>
        <w:keepLines/>
      </w:pPr>
      <w:bookmarkStart w:id="64" w:name="nav_figure_Figure_4_8"/>
      <w:r>
        <w:t>Figure 4.8. Checkpoints trained with seeds 42 and 43 move attention toward stale nodes and have a negative mean DEF shift. Checkpoints trained with seed 44 show the opposite directions. Error bars are 95% episode-block bootstrap intervals.</w:t>
      </w:r>
      <w:bookmarkEnd w:id="64"/>
    </w:p>
    <w:p>
      <w:pPr>
        <w:widowControl/>
      </w:pPr>
      <w:r>
        <w:t>The same checkpoint pattern appears in both training regimes: four of six selected checkpoints have a positive attention shift and four have a negative mean DEF shift. Only the DEF decrease for checkpoints trained with seed 42 is separated from zero in both models; both seed-43 intervals include zero, while both checkpoints trained with seed 44 show a small increase. The effects are numerically small and directionally heterogeneous. This is not evidence for a universal claim that telemetry degradation moves attention toward stale nodes or always lowers faithfulness. The largest absolute paired probability-DEF shift is 0.0000839, equivalent to 0.00839 probability percentage points. Relative percentages are not reported because clean DEF is close to zero and would make such ratios unstable.</w:t>
      </w:r>
    </w:p>
    <w:p>
      <w:pPr>
        <w:pStyle w:val="3"/>
        <w:keepNext/>
      </w:pPr>
      <w:bookmarkStart w:id="65" w:name="nav_heading_4_7_Action_stratified_diagno"/>
      <w:r>
        <w:t>4.7 Action-stratified diagnostic</w:t>
      </w:r>
      <w:bookmarkEnd w:id="65"/>
    </w:p>
    <w:p>
      <w:pPr>
        <w:widowControl/>
      </w:pPr>
      <w:r>
        <w:t>The combined faithfulness audit is dominated by chosen no-op actions. Across all six checkpoints, 56,550 records contain at least one valid request. Of these, 52,585 (93.0%) select no-op and 3,965 (7.0%) dispatch a request. Decisions with no valid request are excluded from these percentages.</w:t>
      </w:r>
    </w:p>
    <w:p>
      <w:pPr>
        <w:pStyle w:val="12"/>
        <w:keepNext/>
      </w:pPr>
      <w:bookmarkStart w:id="66" w:name="nav_table_Table_4_6"/>
      <w:r>
        <w:rPr>
          <w:b/>
        </w:rPr>
        <w:t>Table 4.6: Action composition and dispatch-stratified DEF diagnostic</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800"/>
        <w:gridCol w:w="800"/>
        <w:gridCol w:w="1800"/>
        <w:gridCol w:w="39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No-op (%)</w:t>
            </w:r>
          </w:p>
        </w:tc>
        <w:tc>
          <w:tcPr>
            <w:tcW w:type="dxa" w:w="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Dispatch (%)</w:t>
            </w:r>
          </w:p>
        </w:tc>
        <w:tc>
          <w:tcPr>
            <w:tcW w:type="dxa" w:w="1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selected dispatch probability</w:t>
            </w:r>
          </w:p>
        </w:tc>
        <w:tc>
          <w:tcPr>
            <w:tcW w:type="dxa" w:w="39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dispatch DEF shift x 10,000 [95% CI]</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96.6</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0.0085</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 [0.000,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88.4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0.0368</w:t>
            </w:r>
          </w:p>
        </w:tc>
        <w:tc>
          <w:tcPr>
            <w:tcW w:type="dxa" w:w="39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-20.358 [-32.488, -8.371]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0.0211</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-0.011 [-0.029,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91.4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0.0228</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[+0.047, +0.131]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94.6</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5.4</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0.0127</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-4.403 [-8.368, -1.285]</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92.8</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0.0181</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-0.044 [-0.092, +0.004]</w:t>
            </w:r>
          </w:p>
        </w:tc>
      </w:tr>
    </w:tbl>
    <w:p>
      <w:pPr>
        <w:keepNext/>
        <w:keepLines/>
        <w:spacing w:before="120" w:after="40"/>
        <w:jc w:val="center"/>
      </w:pPr>
      <w:r>
        <w:drawing>
          <wp:inline xmlns:a="http://schemas.openxmlformats.org/drawingml/2006/main" xmlns:pic="http://schemas.openxmlformats.org/drawingml/2006/picture">
            <wp:extent cx="5623560" cy="3985512"/>
            <wp:docPr id="15" name="Picture 15" descr="Action-stratified faithfulness diagnostic"/>
            <wp:cNvGraphicFramePr>
              <a:graphicFrameLocks noChangeAspect="1"/>
            </wp:cNvGraphicFramePr>
            <a:graphic>
              <a:graphicData uri="http://schemas.openxmlformats.org/drawingml/2006/picture">
                <pic:pic>
                  <pic:nvPicPr>
                    <pic:cNvPr id="0" name="v9_action_stratified_faithfulness.png"/>
                    <pic:cNvPicPr/>
                  </pic:nvPicPr>
                  <pic:blipFill>
                    <a:blip r:embed="rId56"/>
                    <a:stretch>
                      <a:fillRect/>
                    </a:stretch>
                  </pic:blipFill>
                  <pic:spPr>
                    <a:xfrm>
                      <a:off x="0" y="0"/>
                      <a:ext cx="5623560" cy="3985512"/>
                    </a:xfrm>
                    <a:prstGeom prst="rect"/>
                  </pic:spPr>
                </pic:pic>
              </a:graphicData>
            </a:graphic>
          </wp:inline>
        </w:drawing>
      </w:r>
    </w:p>
    <w:p>
      <w:pPr>
        <w:pStyle w:val="12"/>
        <w:keepLines/>
      </w:pPr>
      <w:bookmarkStart w:id="67" w:name="nav_figure_Figure_4_9"/>
      <w:r>
        <w:t>Figure 4.9. (a) Absolute no-op and dispatch counts; labels give the dispatch share. (b) Mean probability assigned to the sampled action on a logarithmic scale. (c) Paired degraded-minus-clean probability DEF on the full scale. (d) Enlarged view around zero; arrows mark intervals that extend beyond the panel. Error bars are 95% episode-block bootstrap intervals.</w:t>
      </w:r>
      <w:bookmarkEnd w:id="67"/>
    </w:p>
    <w:p>
      <w:pPr>
        <w:widowControl/>
      </w:pPr>
      <w:r>
        <w:t>The no-op stratum closely follows the combined result because it accounts for most records. The same H1 trend does not appear in the dispatch stratum for any checkpoint (p = 0.44-1.00), and the dispatch results show no consistent H4 evidence. The paired dispatch DEF shift is negative in four checkpoints, positive in one, and exactly zero in one. In four of six checkpoints its direction differs from the combined estimate. These effects are small except for the seed-43 checkpoints, and dispatch intervals are wider because fewer episodes contain scored dispatch actions. The diagnostic does not establish a separate pattern for dispatch decisions. It shows that the combined H1 and H4 findings should not be generalized to dispatch actions.</w:t>
      </w:r>
    </w:p>
    <w:p>
      <w:pPr>
        <w:pStyle w:val="3"/>
        <w:keepNext/>
      </w:pPr>
      <w:bookmarkStart w:id="68" w:name="nav_heading_4_8_Random_trigger_sensitivi"/>
      <w:r>
        <w:t>4.8 Random-trigger sensitivity analysis</w:t>
      </w:r>
      <w:bookmarkEnd w:id="68"/>
    </w:p>
    <w:p>
      <w:pPr>
        <w:widowControl/>
      </w:pPr>
      <w:r>
        <w:t>The random-loss control replaces the fixed tunnel-entry trigger with an independent per-taxi trigger while retaining the same 30-second observation-layer freeze. The trigger probability is fixed across checkpoints, so realized exposure remains dependent on the trajectory induced by each policy. Random-to-tunnel exposure-rate ratios range from 0.44 to 0.98, with a median of 0.78. The comparison therefore focuses on the direction of paired effects within stale-exposed decisions rather than treating the two conditions as perfectly exposure matched.</w:t>
      </w:r>
    </w:p>
    <w:p>
      <w:pPr>
        <w:widowControl/>
      </w:pPr>
      <w:r>
        <w:t>This sensitivity analysis is a separate 24-episode evaluation. Its repeated 30-second tunnel estimates therefore differ slightly from the 48-episode main sweep in Table 4.5; no checkpoint is retrained or reselected.</w:t>
      </w:r>
    </w:p>
    <w:p>
      <w:pPr>
        <w:pStyle w:val="12"/>
        <w:keepNext/>
        <w:pageBreakBefore/>
      </w:pPr>
      <w:bookmarkStart w:id="69" w:name="nav_table_Table_4_7"/>
      <w:r>
        <w:rPr>
          <w:b/>
        </w:rPr>
        <w:t>Table 4.7: Tunnel-triggered and random-loss sensitivity results</w:t>
      </w:r>
      <w:bookmarkEnd w:id="6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69"/>
        <w:gridCol w:w="1737"/>
        <w:gridCol w:w="3006"/>
        <w:gridCol w:w="3008"/>
      </w:tblGrid>
      <w:tr>
        <w:trPr>
          <w:cantSplit/>
          <w:tblHeader w:val="true"/>
        </w:trPr>
        <w:tc>
          <w:tcPr>
            <w:tcW w:type="dxa" w:w="126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173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Exposure tunnel/random (%)</w:t>
            </w:r>
          </w:p>
        </w:tc>
        <w:tc>
          <w:tcPr>
            <w:tcW w:type="dxa" w:w="30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tunnel/random (values x 1,000)</w:t>
            </w:r>
          </w:p>
        </w:tc>
        <w:tc>
          <w:tcPr>
            <w:tcW w:type="dxa" w:w="300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Probability DEF shift tunnel/random (values x 10,000)</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 / 0.569</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+4.281 / +4.037</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 / +0.004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1.176 / 0.517</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+0.231 / -0.286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-0.479 / +7.361</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0.818 / 0.532</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-3.623 / -3.165</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+0.020 / +0.322</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0.967 / 0.713</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+4.279 / +5.453</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 / -0.093</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0.584 / 0.480</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+0.958 / +0.444</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 -0.014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0.712 / 0.648</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-3.063 / -4.296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+0.091 / +0.518</w:t>
            </w:r>
          </w:p>
        </w:tc>
      </w:tr>
    </w:tbl>
    <w:p>
      <w:pPr>
        <w:keepNext/>
        <w:keepLines/>
        <w:spacing w:before="120" w:after="40"/>
        <w:jc w:val="center"/>
      </w:pPr>
      <w:r>
        <w:drawing>
          <wp:inline xmlns:a="http://schemas.openxmlformats.org/drawingml/2006/main" xmlns:pic="http://schemas.openxmlformats.org/drawingml/2006/picture">
            <wp:extent cx="5623560" cy="3475917"/>
            <wp:docPr id="16" name="Picture 16" descr="Random telemetry-loss robustness check"/>
            <wp:cNvGraphicFramePr>
              <a:graphicFrameLocks noChangeAspect="1"/>
            </wp:cNvGraphicFramePr>
            <a:graphic>
              <a:graphicData uri="http://schemas.openxmlformats.org/drawingml/2006/picture">
                <pic:pic>
                  <pic:nvPicPr>
                    <pic:cNvPr id="0" name="v9_random_loss_robustness.png"/>
                    <pic:cNvPicPr/>
                  </pic:nvPicPr>
                  <pic:blipFill>
                    <a:blip r:embed="rId57"/>
                    <a:stretch>
                      <a:fillRect/>
                    </a:stretch>
                  </pic:blipFill>
                  <pic:spPr>
                    <a:xfrm>
                      <a:off x="0" y="0"/>
                      <a:ext cx="5623560" cy="3475917"/>
                    </a:xfrm>
                    <a:prstGeom prst="rect"/>
                  </pic:spPr>
                </pic:pic>
              </a:graphicData>
            </a:graphic>
          </wp:inline>
        </w:drawing>
      </w:r>
    </w:p>
    <w:p>
      <w:pPr>
        <w:pStyle w:val="12"/>
        <w:keepLines/>
      </w:pPr>
      <w:bookmarkStart w:id="70" w:name="nav_figure_Figure_4_10"/>
      <w:r>
        <w:t>Figure 4.10. Sensitivity to tunnel and random triggers under a 30-second freeze: (a) exposure rate; (b) stale-attention shift; (c) probability-DEF shift at full scale; and (d) enlarged DEF near zero. Arrows mark off-panel intervals; error bars show 95% episode-block bootstrap intervals.</w:t>
      </w:r>
      <w:bookmarkEnd w:id="70"/>
    </w:p>
    <w:p>
      <w:pPr>
        <w:widowControl/>
      </w:pPr>
      <w:r>
        <w:t>Attention-shift direction agrees between tunnel and random triggers in five of six checkpoints. Probability-DEF direction agrees in four of six. One mismatch for GAT seed 42 consists of values very close to zero. GAT seed 43 is the clear exception, but its random-trigger DEF interval is wide and crosses zero. The seed-42 positive attention pattern and seed-44 negative pattern otherwise remain visible under random triggering in both training regimes. This reduces the likelihood that the overall checkpoint dependence is produced only by the chosen tunnel location. It does not establish a location-independent effect, because the realized exposure rates and stale-node populations are not identical.</w:t>
      </w:r>
    </w:p>
    <w:p>
      <w:pPr>
        <w:pStyle w:val="3"/>
        <w:keepNext/>
      </w:pPr>
      <w:bookmarkStart w:id="71" w:name="nav_heading_4_9_Faithfulness_hypotheses"/>
      <w:r>
        <w:t>4.9 Faithfulness hypotheses</w:t>
      </w:r>
      <w:bookmarkEnd w:id="71"/>
    </w:p>
    <w:p>
      <w:pPr>
        <w:widowControl/>
      </w:pPr>
      <w:r>
        <w:t>The event-aware audit uses every decision with visible stale exposure rather than a periodic sample. H1 is supported for two of three GAT checkpoints and all three GAT-Outage checkpoints. H4 is supported for all six: within-episode WAMSN-DEF correlations range from -0.199 to -0.084 for GAT and from -0.423 to -0.212 for GAT-Outage. H3 remains consistently supported.</w:t>
      </w:r>
    </w:p>
    <w:p>
      <w:pPr>
        <w:keepNext/>
        <w:keepLines/>
        <w:spacing w:before="120" w:after="40"/>
        <w:jc w:val="center"/>
      </w:pPr>
      <w:r>
        <w:drawing>
          <wp:inline xmlns:a="http://schemas.openxmlformats.org/drawingml/2006/main" xmlns:pic="http://schemas.openxmlformats.org/drawingml/2006/picture">
            <wp:extent cx="5623560" cy="3099630"/>
            <wp:docPr id="17" name="Picture 17" descr="Within-episode WAMSN-DEF correlation by training seed"/>
            <wp:cNvGraphicFramePr>
              <a:graphicFrameLocks noChangeAspect="1"/>
            </wp:cNvGraphicFramePr>
            <a:graphic>
              <a:graphicData uri="http://schemas.openxmlformats.org/drawingml/2006/picture">
                <pic:pic>
                  <pic:nvPicPr>
                    <pic:cNvPr id="0" name="v9_h4_correlation_by_training_seed.png"/>
                    <pic:cNvPicPr/>
                  </pic:nvPicPr>
                  <pic:blipFill>
                    <a:blip r:embed="rId58"/>
                    <a:stretch>
                      <a:fillRect/>
                    </a:stretch>
                  </pic:blipFill>
                  <pic:spPr>
                    <a:xfrm>
                      <a:off x="0" y="0"/>
                      <a:ext cx="5623560" cy="3099630"/>
                    </a:xfrm>
                    <a:prstGeom prst="rect"/>
                  </pic:spPr>
                </pic:pic>
              </a:graphicData>
            </a:graphic>
          </wp:inline>
        </w:drawing>
      </w:r>
    </w:p>
    <w:p>
      <w:pPr>
        <w:pStyle w:val="12"/>
        <w:keepLines/>
      </w:pPr>
      <w:bookmarkStart w:id="72" w:name="nav_figure_Figure_4_11"/>
      <w:r>
        <w:t>Figure 4.11. All checkpoints have a negative within-episode WAMSN-DEF association after Holm correction; the direct paired effect remains mixed.</w:t>
      </w:r>
      <w:bookmarkEnd w:id="72"/>
    </w:p>
    <w:p>
      <w:pPr>
        <w:pStyle w:val="12"/>
        <w:keepNext/>
      </w:pPr>
      <w:bookmarkStart w:id="73" w:name="nav_table_Table_4_8"/>
      <w:r>
        <w:rPr>
          <w:b/>
        </w:rPr>
        <w:t>Table 4.8: Hypothesis outcomes across training seeds</w:t>
      </w:r>
      <w:bookmarkEnd w:id="7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62"/>
        <w:gridCol w:w="1316"/>
        <w:gridCol w:w="1777"/>
        <w:gridCol w:w="2965"/>
      </w:tblGrid>
      <w:tr>
        <w:trPr>
          <w:cantSplit/>
          <w:tblHeader w:val="true"/>
        </w:trPr>
        <w:tc>
          <w:tcPr>
            <w:tcW w:type="dxa" w:w="296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1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7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96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exploratory</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as a stale-exposure manipulation check</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reduces the adverse DEF relationships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96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widowControl/>
      </w:pPr>
      <w:r>
        <w:t>H1 and H4 are association tests within one trained policy and primarily describe no-op decisions in this action-imbalanced sample. They do not by themselves establish that AoI causes lower faithfulness or that the same relationship holds for dispatch actions. The paired clean-twin audit supplies the more direct intervention contrast, and its sign still changes with training seed. H2 is treated as exploratory because clean DEF is close to zero and the relative-rate formulation is unstable.</w:t>
      </w:r>
    </w:p>
    <w:p>
      <w:pPr>
        <w:pStyle w:val="3"/>
        <w:keepNext/>
      </w:pPr>
      <w:bookmarkStart w:id="74" w:name="nav_heading_4_10_Result_summary"/>
      <w:r>
        <w:t>4.10 Result summary</w:t>
      </w:r>
      <w:bookmarkEnd w:id="74"/>
    </w:p>
    <w:p>
      <w:pPr>
        <w:widowControl/>
      </w:pPr>
      <w:r>
        <w:t>Longer outages increase stale exposure, while greater WAMSN accompanies lower within-episode DEF. Yet seed reversals, no-op dominance, dispatch failures, and random-trigger exceptions mean that raw attention cannot provide a reliable indication of data freshness or explanation faithfulness.</w:t>
      </w:r>
    </w:p>
    <w:p>
      <w:pPr>
        <w:pStyle w:val="3"/>
        <w:keepNext/>
      </w:pPr>
      <w:bookmarkStart w:id="75" w:name="nav_heading_4_11_Demonstrative_framework"/>
      <w:r>
        <w:t>4.11 Demonstrative framework decision</w:t>
      </w:r>
      <w:bookmarkEnd w:id="75"/>
    </w:p>
    <w:p>
      <w:pPr>
        <w:widowControl/>
      </w:pPr>
      <w:r>
        <w:t>The completed evidence was passed through the operational audit described in Section 3.10. Table 4.9 separates successful evidence collection from failed explanation-release checks.</w:t>
      </w:r>
    </w:p>
    <w:p>
      <w:pPr>
        <w:pStyle w:val="12"/>
        <w:keepNext/>
      </w:pPr>
      <w:bookmarkStart w:id="76" w:name="nav_table_Table_4_9"/>
      <w:r>
        <w:rPr>
          <w:b/>
        </w:rPr>
        <w:t>Table 4.9: Freshness-aware explanation audit decisions</w:t>
      </w:r>
      <w:bookmarkEnd w:id="7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1300"/>
        <w:gridCol w:w="15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Audit check</w:t>
            </w:r>
          </w:p>
        </w:tc>
        <w:tc>
          <w:tcPr>
            <w:tcW w:type="dxa" w:w="13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w:t>
            </w:r>
          </w:p>
        </w:tc>
        <w:tc>
          <w:tcPr>
            <w:tcW w:type="dxa" w:w="15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Key evidence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Evidence integrity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3/3 checkpoint preflights passed for each model</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reported separately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10,832 and 10,885 stale-exposed records reported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Action-aware controls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 matching, chosen-action protection, and LOO present</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decision relevance</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clean/60 s CIs: GAT [-0.00367, -0.00252] / [-0.00371, -0.00252]; GAT-Outage [-0.00765, -0.00594] / [-0.00752, -0.00578]</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No-op and dispatch composition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26,278/2,020 and 26,307/1,945 no-op/dispatch records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Attention-extraction stability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an alternative reverses the default direction in every seed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Checkpoint consistency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stale-attention direction is positive, positive, then negative across seeds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Deployment-action capability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stochastic sampling is the audited action rule; argmax is descriptive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Tunnel/random trigger robustness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 supported reversal, but at least one 95% interval crosses zero</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Final decision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decision relevance, extraction stability, and checkpoint consistency fail</w:t>
            </w:r>
          </w:p>
        </w:tc>
      </w:tr>
    </w:tbl>
    <w:p>
      <w:pPr>
        <w:widowControl/>
      </w:pPr>
      <w:r>
        <w:t>INDET. denotes INDETERMINATE: the available evidence neither passes nor fails the check.</w:t>
      </w:r>
    </w:p>
    <w:p>
      <w:pPr>
        <w:widowControl/>
      </w:pPr>
      <w:r>
        <w:t>Both models pass the checks that establish whether the evidence is complete and properly separated. Dispatch self-row margin-DEF is below the matched-random boundary under both clean and 60-second conditions, and the extraction and checkpoint checks also fail. Trigger robustness remains indeterminate because some confidence intervals cross zero. The argmax diagnostic remains an important policy limitation but is not a release gate for the sampled action rule audited here. The result is WITHHOLD for all six frozen checkpoints, so their attention maps remain internal diagnostics. This table is a demonstrative application of the post-study release rules, not a new hypothesis test or independent evidence for the main conclusion.</w:t>
      </w:r>
    </w:p>
    <w:p>
      <w:pPr>
        <w:pStyle w:val="2"/>
        <w:keepNext/>
      </w:pPr>
      <w:bookmarkStart w:id="77" w:name="nav_heading_Chapter_5_Discussion"/>
      <w:r>
        <w:t>Chapter 5: Discussion</w:t>
      </w:r>
      <w:bookmarkEnd w:id="77"/>
    </w:p>
    <w:p>
      <w:pPr>
        <w:pStyle w:val="3"/>
        <w:keepNext/>
      </w:pPr>
      <w:bookmarkStart w:id="78" w:name="nav_heading_5_1_Answer_to_the_central_pr"/>
      <w:r>
        <w:t>5.1 Answer to the central problem</w:t>
      </w:r>
      <w:bookmarkEnd w:id="78"/>
    </w:p>
    <w:p>
      <w:pPr>
        <w:widowControl/>
      </w:pPr>
      <w:r>
        <w:t xml:space="preserve">The central problem is whether a complete graph-attention map can be trusted when some of its vehicle data are stale. The results show that </w:t>
      </w:r>
      <w:r>
        <w:rPr>
          <w:b/>
          <w:i w:val="0"/>
        </w:rPr>
        <w:t>separate validation is required</w:t>
      </w:r>
      <w:r>
        <w:t>. Raw attention alone provides no reliable evidence of freshness or decision relevance.</w:t>
      </w:r>
    </w:p>
    <w:p>
      <w:pPr>
        <w:widowControl/>
      </w:pPr>
      <w:r>
        <w:t>This conclusion is based on several results, not one p-value. Longer outages increase stale-data exposure, and the combined within-policy tests associate that exposure with lower DEF in all six checkpoints. The direct clean-twin comparison is less uniform: attention reallocation and paired DEF shift have the expected signs in their point estimates for checkpoints trained with seeds 42 and 43, but both signs reverse for checkpoints trained with seed 44 under both training regimes. The measured effects are also small.</w:t>
      </w:r>
    </w:p>
    <w:p>
      <w:pPr>
        <w:widowControl/>
      </w:pPr>
      <w:r>
        <w:t>The action-stratified results limit how broadly this finding can be interpreted. Chosen no-op actions account for 93.0% of scorable decisions with at least one available request, and the combined H1 and H4 patterns are not reproduced among dispatch actions. Four checkpoints also change paired-DEF direction between the combined and dispatch strata. The primary statistics describe the sampled action mixture, not a universal explanation response for both dispatch and no-op decisions.</w:t>
      </w:r>
    </w:p>
    <w:p>
      <w:pPr>
        <w:widowControl/>
      </w:pPr>
      <w:r>
        <w:t>The supporting controls make the interpretation stronger and narrower. The LOO-ranked control produces a positive DEF for every checkpoint, so the evaluator has some sensitivity to a perturbation-based ranking. However, expected top-k overlap reaches about 60% at k=3, which limits resolution. Taxi-only attention-LOO correlation is positive but varies substantially in strength. These checks do not show that the evaluator is perfect and attention fails. They show that, within the evaluator's measured but limited resolution, raw attention lacks reproducible evidence of explanation faithfulness.</w:t>
      </w:r>
    </w:p>
    <w:p>
      <w:pPr>
        <w:keepNext/>
        <w:keepLines/>
        <w:spacing w:before="120" w:after="40"/>
        <w:jc w:val="center"/>
      </w:pPr>
      <w:r>
        <w:drawing>
          <wp:inline xmlns:a="http://schemas.openxmlformats.org/drawingml/2006/main" xmlns:pic="http://schemas.openxmlformats.org/drawingml/2006/picture">
            <wp:extent cx="5623560" cy="3137354"/>
            <wp:docPr id="18" name="Picture 18" descr="Cross-seed evidence matrix"/>
            <wp:cNvGraphicFramePr>
              <a:graphicFrameLocks noChangeAspect="1"/>
            </wp:cNvGraphicFramePr>
            <a:graphic>
              <a:graphicData uri="http://schemas.openxmlformats.org/drawingml/2006/picture">
                <pic:pic>
                  <pic:nvPicPr>
                    <pic:cNvPr id="0" name="v9_evidence_path_summary.png"/>
                    <pic:cNvPicPr/>
                  </pic:nvPicPr>
                  <pic:blipFill>
                    <a:blip r:embed="rId59"/>
                    <a:stretch>
                      <a:fillRect/>
                    </a:stretch>
                  </pic:blipFill>
                  <pic:spPr>
                    <a:xfrm>
                      <a:off x="0" y="0"/>
                      <a:ext cx="5623560" cy="3137354"/>
                    </a:xfrm>
                    <a:prstGeom prst="rect"/>
                  </pic:spPr>
                </pic:pic>
              </a:graphicData>
            </a:graphic>
          </wp:inline>
        </w:drawing>
      </w:r>
    </w:p>
    <w:p>
      <w:pPr>
        <w:pStyle w:val="12"/>
        <w:keepLines/>
      </w:pPr>
      <w:bookmarkStart w:id="79" w:name="nav_figure_Figure_5_1"/>
      <w:r>
        <w:t>Figure 5.1. Cross-seed results for the four research questions. The matrix keeps clean faithfulness, paired attention response, paired DEF response, and the effect of degradation-aware training as separate findings.</w:t>
      </w:r>
      <w:bookmarkEnd w:id="79"/>
    </w:p>
    <w:p>
      <w:pPr>
        <w:pStyle w:val="3"/>
        <w:keepNext/>
      </w:pPr>
      <w:bookmarkStart w:id="80" w:name="nav_heading_5_2_What_the_stale_exposure_"/>
      <w:r>
        <w:t>5.2 What the stale-exposure result means</w:t>
      </w:r>
      <w:bookmarkEnd w:id="80"/>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normalized AoI, so part of the increase follows directly from the manipulation. H1 and H4 show that DEF tends to be lower at greater exposure within most frozen policies. The paired audit asks a stricter question: does replacing the current observation with its degraded twin change attention and DEF at the same decision? That result changes sign across checkpoints trained with different seeds. Exposure, within-policy association, and paired intervention answer different questions and should be reported separately.</w:t>
      </w:r>
    </w:p>
    <w:p>
      <w:pPr>
        <w:pStyle w:val="3"/>
        <w:keepNext/>
      </w:pPr>
      <w:bookmarkStart w:id="81" w:name="nav_heading_5_3_Dependence_on_checkpoint"/>
      <w:r>
        <w:t>5.3 Dependence on checkpoint and analysis choice</w:t>
      </w:r>
      <w:bookmarkEnd w:id="81"/>
    </w:p>
    <w:p>
      <w:pPr>
        <w:widowControl/>
      </w:pPr>
      <w:r>
        <w:t>The primary aggregation gives positive stale-attention shifts for checkpoints trained with seeds 42 and 43 and negative shifts for checkpoints trained with seed 44. The values are small: approximately -0.0035 to +0.0041 of total attention mass. Paired probability-DEF shifts are also small and reproduce the same direction in both training regimes. This shared pattern across the two model conditions suggests sensitivity to the trained checkpoint, not a stable response created by outage-aware training. The between-checkpoint range is larger than the observed difference between the two training-condition means. With only three training seeds, this is a descriptive comparison of selected checkpoints, not a variance decomposition or evidence that the seed value itself causes the response.</w:t>
      </w:r>
    </w:p>
    <w:p>
      <w:pPr>
        <w:widowControl/>
      </w:pPr>
      <w:r>
        <w:t>The random-trigger sensitivity analysis checks whether this pattern is only an artifact of the fixed tunnel location. The same attention-shift direction appears in five of six checkpoints, and the same probability-DEF direction in four of six. The seed-42 positive attention pattern and seed-44 negative pattern appear under both triggers and both training regimes. This makes a tunnel-only explanation less plausible, but it is not a complete location control. A fixed trigger probability produces different realized exposure rates after each policy changes taxi trajectories, and the identity of the stale taxis also changes. The result supports checkpoint dependence but cannot establish one general effect of random or tunnel-triggered loss.</w:t>
      </w:r>
    </w:p>
    <w:p>
      <w:pPr>
        <w:widowControl/>
      </w:pPr>
      <w:r>
        <w:t>The paired probability-DEF effects are small and may have little operational importance. The concern is not a large universal decline. Instead, even these small changes reverse direction across independently trained checkpoints, while raw corrected DEF under clean telemetry is already near zero. Together, these results do not provide a consistent basis for trusting the explanations, but they also do not show large damage from telemetry degradation.</w:t>
      </w:r>
    </w:p>
    <w:p>
      <w:pPr>
        <w:widowControl/>
      </w:pPr>
      <w:r>
        <w:t>The aggregation audit identifies a second problem. Individual heads can reverse the sign within the same checkpoint. The six checkpoint ranges extend from -0.0109 to +0.0089 across the tested reductions. Selecting another head or layer after seeing the data could change the verbal conclusion.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by about 0.0064 for GAT seed 43 and 0.0073 for GAT-Outage seed 43, but changes little for the other four checkpoints. One query-row change therefore cannot be assumed to correct near-zero or negative DEF. An operator-facing attention map needs a declared and tested rule for choosing its query, layer, and heads.</w:t>
      </w:r>
    </w:p>
    <w:p>
      <w:pPr>
        <w:widowControl/>
      </w:pPr>
      <w:r>
        <w:t>The deterministic diagnostic reveals a related policy limitation. All six graph-attention checkpoints choose no-op in all 18 argmax episode evaluations, although their sampled policies outperform the declared lower bounds. This limitation does not invalidate the faithfulness calculations for sampled actions, but it means that the experiment audits stochastic policy decisions rather than a deployable deterministic dispatcher. The audit framework should evaluate the action rule intended for deployment and report any alternative action rule as a separate diagnostic.</w:t>
      </w:r>
    </w:p>
    <w:p>
      <w:pPr>
        <w:pStyle w:val="3"/>
        <w:keepNext/>
      </w:pPr>
      <w:bookmarkStart w:id="82" w:name="nav_heading_5_4_Role_of_the_construct_va"/>
      <w:r>
        <w:t>5.4 Role of the construct-validity audit</w:t>
      </w:r>
      <w:bookmarkEnd w:id="82"/>
    </w:p>
    <w:p>
      <w:pPr>
        <w:widowControl/>
      </w:pPr>
      <w:r>
        <w:t>The construct-validity audit supports the primary experiment. Request nodes are both information and actions; peer taxis are context only. Uniform random deletion therefore creates a large action-removal artifact.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a positive control, not ground truth for the combined comprehensiveness-sufficiency score. Gradient x Input changes sign across checkpoints and is not automatically a stronger explanation in this task.</w:t>
      </w:r>
    </w:p>
    <w:p>
      <w:pPr>
        <w:widowControl/>
      </w:pPr>
      <w:r>
        <w:t>Together, these checks change the conclusion from a simple “attention is near random” statement to a more defensible one. Raw attention remains below the LOO control in all six checkpoints and has positive taxi-only agreement with LOO, but both DEF and rank agreement vary by trained policy. The aggregation and query-row audits add further sensitivity. This provides some evidence of decision relevance, but not enough to treat attention as reliable by default.</w:t>
      </w:r>
    </w:p>
    <w:p>
      <w:pPr>
        <w:widowControl/>
      </w:pPr>
      <w:r>
        <w:t>The top-k diagnostic further limits this interpretation. Attention-LOO overlap is above the expected matched-random overlap at k=1, but it offers no clear advantage over that baseline at k=3. This is consistent with reduced resolution as larger subsets overlap, not proof that the top attention node is the model's true reason or that every three-node display is random.</w:t>
      </w:r>
    </w:p>
    <w:p>
      <w:pPr>
        <w:pStyle w:val="3"/>
        <w:keepNext/>
      </w:pPr>
      <w:bookmarkStart w:id="83" w:name="nav_heading_5_5_Degradation_aware_traini"/>
      <w:r>
        <w:t>5.5 Degradation-aware training</w:t>
      </w:r>
      <w:bookmarkEnd w:id="83"/>
    </w:p>
    <w:p>
      <w:pPr>
        <w:widowControl/>
      </w:pPr>
      <w:r>
        <w:t>Training with 30-second outages does not solve the explanation problem. GAT-Outage shows the same seed-dependent attention and paired DEF directions as GAT. It strengthens the H1 and H4 associations, but does not make the direct degraded-minus-clean response consistent across independently trained policies.</w:t>
      </w:r>
    </w:p>
    <w:p>
      <w:pPr>
        <w:widowControl/>
      </w:pPr>
      <w:r>
        <w:t>These findings apply only to the tested form of robustness training. The reward contains no term for explanation stability or faithfulness, so task-reward optimization alone is not designed to align attention with a human explanation. A future intervention would need an explicit explanation objective and evaluation on independently trained models.</w:t>
      </w:r>
    </w:p>
    <w:p>
      <w:pPr>
        <w:pStyle w:val="3"/>
        <w:keepNext/>
      </w:pPr>
      <w:bookmarkStart w:id="84" w:name="nav_heading_5_6_Proposed_audit_framework"/>
      <w:r>
        <w:t>5.6 Proposed audit framework</w:t>
      </w:r>
      <w:bookmarkEnd w:id="84"/>
    </w:p>
    <w:p>
      <w:pPr>
        <w:pStyle w:val="4"/>
        <w:keepNext/>
      </w:pPr>
      <w:bookmarkStart w:id="85" w:name="nav_heading_5_6_1_Purpose_and_scope"/>
      <w:r>
        <w:t>5.6.1 Purpose and scope</w:t>
      </w:r>
      <w:bookmarkEnd w:id="85"/>
    </w:p>
    <w:p>
      <w:pPr>
        <w:widowControl/>
      </w:pPr>
      <w:r>
        <w:t xml:space="preserve">To address this risk, the thesis proposes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an audited candidate explanation within a stated scope. Table 5.1 links each observed risk to the required evidence and decision rule.</w:t>
      </w:r>
    </w:p>
    <w:p>
      <w:pPr>
        <w:pStyle w:val="12"/>
        <w:keepNext/>
      </w:pPr>
      <w:bookmarkStart w:id="86" w:name="nav_table_Table_5_1"/>
      <w:r>
        <w:rPr>
          <w:b/>
        </w:rPr>
        <w:t>Table 5.1: Freshness-aware explanation audit framework</w:t>
      </w:r>
      <w:bookmarkEnd w:id="8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strata</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stratified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w:t>
      </w:r>
    </w:p>
    <w:p>
      <w:pPr>
        <w:keepNext/>
        <w:keepLines/>
        <w:spacing w:before="120" w:after="40"/>
        <w:jc w:val="center"/>
      </w:pPr>
      <w:r>
        <w:drawing>
          <wp:inline xmlns:a="http://schemas.openxmlformats.org/drawingml/2006/main" xmlns:pic="http://schemas.openxmlformats.org/drawingml/2006/picture">
            <wp:extent cx="5623560" cy="2701176"/>
            <wp:docPr id="19" name="Picture 19"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0"/>
                    <a:stretch>
                      <a:fillRect/>
                    </a:stretch>
                  </pic:blipFill>
                  <pic:spPr>
                    <a:xfrm>
                      <a:off x="0" y="0"/>
                      <a:ext cx="5623560" cy="2701176"/>
                    </a:xfrm>
                    <a:prstGeom prst="rect"/>
                  </pic:spPr>
                </pic:pic>
              </a:graphicData>
            </a:graphic>
          </wp:inline>
        </w:drawing>
      </w:r>
    </w:p>
    <w:p>
      <w:pPr>
        <w:pStyle w:val="12"/>
        <w:keepLines/>
      </w:pPr>
      <w:bookmarkStart w:id="87"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87"/>
    </w:p>
    <w:p>
      <w:pPr>
        <w:pStyle w:val="4"/>
        <w:keepNext/>
      </w:pPr>
      <w:bookmarkStart w:id="88" w:name="nav_heading_5_6_2_Inputs_outputs_and_use"/>
      <w:r>
        <w:t>5.6.2 Inputs, outputs and use</w:t>
      </w:r>
      <w:bookmarkEnd w:id="88"/>
    </w:p>
    <w:p>
      <w:pPr>
        <w:widowControl/>
      </w:pPr>
      <w:r>
        <w:t>The framework accepts evidence rather than raw attention alone.</w:t>
      </w:r>
    </w:p>
    <w:p>
      <w:pPr>
        <w:pStyle w:val="12"/>
        <w:keepNext/>
      </w:pPr>
      <w:bookmarkStart w:id="89" w:name="nav_table_Table_5_2"/>
      <w:r>
        <w:rPr>
          <w:b/>
        </w:rPr>
        <w:t>Table 5.2: Audit framework inputs and outputs</w:t>
      </w:r>
      <w:bookmarkEnd w:id="8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strata,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Lines/>
        <w:numPr>
          <w:ilvl w:val="0"/>
          <w:numId w:val="9"/>
        </w:numPr>
        <w:spacing w:after="40"/>
      </w:pPr>
      <w:r>
        <w:t>freeze the candidate checkpoint and evaluation protocol;</w:t>
      </w:r>
    </w:p>
    <w:p>
      <w:pPr>
        <w:pStyle w:val="14"/>
        <w:keepLines/>
        <w:numPr>
          <w:ilvl w:val="0"/>
          <w:numId w:val="9"/>
        </w:numPr>
        <w:spacing w:after="40"/>
      </w:pPr>
      <w:r>
        <w:t>generate paired freshness, action-aware faithfulness, action-composition, and sensitivity evidence on held-out demand;</w:t>
      </w:r>
    </w:p>
    <w:p>
      <w:pPr>
        <w:pStyle w:val="14"/>
        <w:keepLines/>
        <w:numPr>
          <w:ilvl w:val="0"/>
          <w:numId w:val="9"/>
        </w:numPr>
        <w:spacing w:after="40"/>
      </w:pPr>
      <w:r>
        <w:t>run preflight to establish that the evidence is complete and valid to analyze;</w:t>
      </w:r>
    </w:p>
    <w:p>
      <w:pPr>
        <w:pStyle w:val="14"/>
        <w:keepLines/>
        <w:numPr>
          <w:ilvl w:val="0"/>
          <w:numId w:val="9"/>
        </w:numPr>
        <w:spacing w:after="40"/>
      </w:pPr>
      <w:r>
        <w:t>apply every release check to each checkpoint and then compare independent training runs; and</w:t>
      </w:r>
    </w:p>
    <w:p>
      <w:pPr>
        <w:pStyle w:val="14"/>
        <w:keepLines/>
        <w:numPr>
          <w:ilvl w:val="0"/>
          <w:numId w:val="9"/>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90" w:name="nav_heading_5_6_3_Application_to_this_st"/>
      <w:r>
        <w:t>5.6.3 Application to this study</w:t>
      </w:r>
      <w:bookmarkEnd w:id="90"/>
    </w:p>
    <w:p>
      <w:pPr>
        <w:widowControl/>
      </w:pPr>
      <w:r>
        <w:t>Applying the framework to the completed evidence gives WITHHOLD for GAT and GAT-Outage and for all six individual checkpoints. This is not a failed experiment. The audit has completed and has found that the evidence is insufficient for explanation release. In particular, the dispatch-action decision-relevance intervals do not exceed the matched-random boundary, attention extraction can reverse the stale-attention direction, the stale-attention response changes direction across training seeds, and the tunnel/random comparison is indeterminate because several confidence intervals cross zero. Every argmax diagnostic also produces zero pickups, but this is a descriptive limitation rather than a release gate for the sampled action rule.</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faithfulness-aware model is still needed to validate the eligibility path empirically. The current thresholds must not be weakened after seeing these results simply to obtain a passing model.</w:t>
      </w:r>
    </w:p>
    <w:p>
      <w:pPr>
        <w:pStyle w:val="3"/>
        <w:keepNext/>
      </w:pPr>
      <w:bookmarkStart w:id="91" w:name="nav_heading_5_7_Limitations"/>
      <w:r>
        <w:t>5.7 Limitations</w:t>
      </w:r>
      <w:bookmarkEnd w:id="91"/>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and their stochastic evaluations outperform random and greedy lower bounds. However, every selected GAT checkpoint collapses to no-op under the small deterministic check. The study therefore cannot establish deterministic deployment capability or isolate the contribution of graph edges to sampled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92" w:name="nav_heading_5_8_Future_work"/>
      <w:r>
        <w:t>5.8 Future work</w:t>
      </w:r>
      <w:bookmarkEnd w:id="92"/>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93" w:name="nav_heading_Chapter_6_Conclusion"/>
      <w:r>
        <w:t>Chapter 6: Conclusion</w:t>
      </w:r>
      <w:bookmarkEnd w:id="93"/>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results lead to a clear conclusion: </w:t>
      </w:r>
      <w:r>
        <w:rPr>
          <w:b/>
          <w:i w:val="0"/>
        </w:rPr>
        <w:t>this experiment does not validate raw graph-attention weights as reliable explanations under clean or degraded telemetry</w:t>
      </w:r>
      <w:r>
        <w:t>. This is not a claim that every attention map is wrong. It means that attention cannot be assumed trustworthy by default.</w:t>
      </w:r>
    </w:p>
    <w:p>
      <w:pPr>
        <w:keepNext/>
        <w:widowControl/>
      </w:pPr>
      <w:r>
        <w:t>The four research questions are answered as follows:</w:t>
      </w:r>
    </w:p>
    <w:p>
      <w:pPr>
        <w:pStyle w:val="13"/>
        <w:keepLines/>
        <w:spacing w:after="40"/>
      </w:pPr>
      <w:r>
        <w:rPr>
          <w:b/>
          <w:i w:val="0"/>
        </w:rPr>
        <w:t>RQ1: Is attention faithful under clean telemetry?</w:t>
      </w:r>
      <w:r>
        <w:t xml:space="preserve"> The six checkpoints do not show a consistent result. Raw-attention DEF ranges from -0.0009 to +0.0031 across checkpoints. LOO produces a larger positive result for all six checkpoints, while taxi-only attention-LOO rank correlation ranges from +0.088 to +0.699.</w:t>
      </w:r>
    </w:p>
    <w:p>
      <w:pPr>
        <w:pStyle w:val="13"/>
        <w:keepLines/>
        <w:spacing w:after="40"/>
      </w:pPr>
      <w:r>
        <w:rPr>
          <w:b/>
          <w:i w:val="0"/>
        </w:rPr>
        <w:t>RQ2: Does attention move toward stale vehicle nodes?</w:t>
      </w:r>
      <w:r>
        <w:t xml:space="preserve"> Not consistently. Under the predefined aggregation method, attention shifts toward stale nodes for checkpoints trained with seeds 42 and 43 and away from them for seed 44 under both training regimes. The same attention-shift direction appears under random triggering in five of six checkpoints, while individual heads can still reverse the direction within one checkpoint.</w:t>
      </w:r>
    </w:p>
    <w:p>
      <w:pPr>
        <w:pStyle w:val="13"/>
        <w:keepLines/>
        <w:spacing w:after="40"/>
      </w:pPr>
      <w:r>
        <w:rPr>
          <w:b/>
          <w:i w:val="0"/>
        </w:rPr>
        <w:t>RQ3: Does the explanation remain reliable as outage duration increases?</w:t>
      </w:r>
      <w:r>
        <w:t xml:space="preserve"> The evidence is not consistent across analysis levels or action types. H1 is supported in five of six selected checkpoints and H4 in all six, but the combined direct paired DEF shift is negative for four checkpoints and positive for two. The effect is small and reverses for the checkpoints trained with seed 44. Moreover, 93.0% of scorable decisions with at least one available request are no-op, and the H1/H4 patterns are not reproduced in the dispatch stratum.</w:t>
      </w:r>
    </w:p>
    <w:p>
      <w:pPr>
        <w:pStyle w:val="13"/>
        <w:keepLines/>
        <w:spacing w:after="120"/>
      </w:pPr>
      <w:r>
        <w:rPr>
          <w:b/>
          <w:i w:val="0"/>
        </w:rPr>
        <w:t>RQ4: Does degradation-aware training improve explanation reliability?</w:t>
      </w:r>
      <w:r>
        <w:t xml:space="preserve"> Outage training provides no consistent improvement. GAT-Outage shows the same seed-dependent paired direction as GAT.</w:t>
      </w:r>
    </w:p>
    <w:p>
      <w:pPr>
        <w:widowControl/>
      </w:pPr>
      <w:r>
        <w:t>This interpretation depends on the construct-validity audit. Deleting a request can also delete an action, while deleting a peer taxi only hides context. Type-matched and action-protected controls remove much of this artifact. The positive LOO result shows that DEF has some perturbation sensitivity, but the high expected top-k overlap limits its resolution. The conclusion draws on several checks rather than one near-zero number.</w:t>
      </w:r>
    </w:p>
    <w:p>
      <w:pPr>
        <w:widowControl/>
      </w:pPr>
      <w:r>
        <w:t>The 30-second random-trigger sensitivity analysis reduces concern that the checkpoint-dependent pattern is produced only by the selected tunnel. It does not remove the need for multiple tunnel placements or real telemetry traces, because realized exposure and the stale-node population still differ between trigger mechanisms.</w:t>
      </w:r>
    </w:p>
    <w:p>
      <w:pPr>
        <w:widowControl/>
      </w:pPr>
      <w:r>
        <w:t>The performance results also have an important limit. Sampled policies outperform the basic lower bounds, but all six graph-attention checkpoints choose no-op in 18 of 18 deterministic diagnostic episodes. The study audits explanations for sampled stochastic actions; it does not demonstrate a deployable argmax dispatcher.</w:t>
      </w:r>
    </w:p>
    <w:p>
      <w:pPr>
        <w:widowControl/>
      </w:pPr>
      <w:r>
        <w:t xml:space="preserve">In this thesis, </w:t>
      </w:r>
      <w:r>
        <w:rPr>
          <w:b/>
          <w:i w:val="0"/>
        </w:rPr>
        <w:t>faithfulness decoupling</w:t>
      </w:r>
      <w:r>
        <w:t xml:space="preserve"> refers to the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freshness-aware explanation audit framework addresses this gap. It reports freshness and action composition separately, uses action-aware and type-matched tests, checks the attention extraction rule, audits every candidate checkpoint, and requires consistency across independent training runs. Stable dispatch output is not an explanation test.</w:t>
      </w:r>
    </w:p>
    <w:p>
      <w:pPr>
        <w:widowControl/>
      </w:pPr>
      <w:r>
        <w:t>Its demonstrative application gives WITHHOLD for GAT, GAT-Outage, and all six frozen checkpoints. This means that the audit completed but the attention maps did not meet the release conditions. An ELIGIBLE model is not required to support the present finding: correctly withholding unsupported explanations is the purpose of the framework. However, the study validates only the rejection path on trained models. A future model with an explicit explanation objective is needed to test the eligibility path on held-out evidence.</w:t>
      </w:r>
    </w:p>
    <w:p>
      <w:pPr>
        <w:widowControl/>
      </w:pPr>
      <w:r>
        <w:t>An ELIGIBLE result would permit attention to be shown only as an audited candidate explanation within the stated scope, with freshness displayed separately. It would not prove a complete causal explanation.</w:t>
      </w:r>
    </w:p>
    <w:p>
      <w:pPr>
        <w:widowControl/>
      </w:pPr>
      <w:r>
        <w:t>The framework is designed to reduce operational risk, not to remove faithfulness decoupling from the model. Attention remains an internal diagnostic unless the full audit provides consistent evidence.</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reproduction procedure is provided in docs/REPRODUCE_EXPERIMENTS.md. Compact citable outputs are stored in the version-controlled results directory identified in that guide.</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