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A731AB" w:rsidRPr="00A731AB" w:rsidRDefault="00A731AB" w:rsidP="00A731AB">
      <w:pPr>
        <w:pStyle w:val="NormalWeb"/>
        <w:shd w:val="clear" w:color="auto" w:fill="FFFFFF"/>
        <w:spacing w:before="90" w:beforeAutospacing="0" w:after="90" w:afterAutospacing="0" w:line="290" w:lineRule="atLeast"/>
        <w:jc w:val="center"/>
        <w:rPr>
          <w:rFonts w:ascii="Helvetica" w:hAnsi="Helvetica"/>
          <w:b/>
          <w:color w:val="141823"/>
          <w:sz w:val="21"/>
          <w:szCs w:val="21"/>
          <w:lang w:eastAsia="en-GB"/>
        </w:rPr>
      </w:pPr>
      <w:r w:rsidRPr="00A731AB">
        <w:rPr>
          <w:rFonts w:ascii="Helvetica" w:hAnsi="Helvetica"/>
          <w:b/>
          <w:color w:val="141823"/>
          <w:sz w:val="21"/>
          <w:szCs w:val="21"/>
        </w:rPr>
        <w:t>Peace and Conflict Prevention/Resolution Month</w:t>
      </w:r>
    </w:p>
    <w:p w:rsidR="00B7362E" w:rsidRDefault="00B7362E" w:rsidP="00B7362E"/>
    <w:p w:rsidR="00B84A08" w:rsidRDefault="00B84A08" w:rsidP="00B7362E"/>
    <w:p w:rsidR="00B84A08" w:rsidRPr="00B7362E" w:rsidRDefault="00B84A08" w:rsidP="00B7362E"/>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5034"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gridCol w:w="3977"/>
      </w:tblGrid>
      <w:tr w:rsidR="003D6FBC" w:rsidRPr="00002843" w:rsidTr="001E3470">
        <w:trPr>
          <w:gridAfter w:val="1"/>
          <w:wAfter w:w="3977" w:type="dxa"/>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3951D3" w:rsidRPr="00002843" w:rsidTr="001E3470">
        <w:trPr>
          <w:gridAfter w:val="1"/>
          <w:wAfter w:w="3977" w:type="dxa"/>
          <w:trHeight w:val="257"/>
        </w:trPr>
        <w:tc>
          <w:tcPr>
            <w:tcW w:w="2127" w:type="dxa"/>
          </w:tcPr>
          <w:p w:rsidR="003951D3" w:rsidRPr="00DA70D6" w:rsidRDefault="001749EB" w:rsidP="003951D3">
            <w:pPr>
              <w:ind w:left="80"/>
              <w:rPr>
                <w:rFonts w:cs="Arial"/>
              </w:rPr>
            </w:pPr>
            <w:r>
              <w:rPr>
                <w:rFonts w:cs="Arial"/>
              </w:rPr>
              <w:t xml:space="preserve">19 February </w:t>
            </w:r>
          </w:p>
        </w:tc>
        <w:tc>
          <w:tcPr>
            <w:tcW w:w="3402" w:type="dxa"/>
          </w:tcPr>
          <w:p w:rsidR="003951D3" w:rsidRPr="00BD26E3" w:rsidRDefault="001749EB" w:rsidP="003951D3">
            <w:pPr>
              <w:rPr>
                <w:rFonts w:cs="Arial"/>
              </w:rPr>
            </w:pPr>
            <w:r>
              <w:rPr>
                <w:rFonts w:cs="Calibri"/>
              </w:rPr>
              <w:t xml:space="preserve">Ms. </w:t>
            </w:r>
            <w:proofErr w:type="spellStart"/>
            <w:r>
              <w:rPr>
                <w:rFonts w:cs="Calibri"/>
              </w:rPr>
              <w:t>Rubeena</w:t>
            </w:r>
            <w:proofErr w:type="spellEnd"/>
            <w:r>
              <w:rPr>
                <w:rFonts w:cs="Calibri"/>
              </w:rPr>
              <w:t xml:space="preserve"> </w:t>
            </w:r>
            <w:proofErr w:type="spellStart"/>
            <w:r>
              <w:rPr>
                <w:rFonts w:cs="Calibri"/>
              </w:rPr>
              <w:t>Mahato</w:t>
            </w:r>
            <w:proofErr w:type="spellEnd"/>
            <w:r>
              <w:rPr>
                <w:rFonts w:cs="Calibri"/>
              </w:rPr>
              <w:t>,</w:t>
            </w:r>
          </w:p>
        </w:tc>
        <w:tc>
          <w:tcPr>
            <w:tcW w:w="5528" w:type="dxa"/>
            <w:tcBorders>
              <w:bottom w:val="single" w:sz="12" w:space="0" w:color="4F81BD"/>
            </w:tcBorders>
          </w:tcPr>
          <w:p w:rsidR="004D41B4" w:rsidRDefault="001749EB" w:rsidP="004D41B4">
            <w:pPr>
              <w:widowControl w:val="0"/>
              <w:autoSpaceDE w:val="0"/>
              <w:autoSpaceDN w:val="0"/>
              <w:adjustRightInd w:val="0"/>
              <w:spacing w:after="240"/>
              <w:rPr>
                <w:rFonts w:cs="Calibri"/>
              </w:rPr>
            </w:pPr>
            <w:r>
              <w:rPr>
                <w:rFonts w:cs="Calibri"/>
              </w:rPr>
              <w:t xml:space="preserve"> </w:t>
            </w:r>
            <w:r>
              <w:rPr>
                <w:rFonts w:cs="Calibri"/>
              </w:rPr>
              <w:t xml:space="preserve">As part of the Peace and Conflict Prevention / Resolution month Ms. </w:t>
            </w:r>
            <w:proofErr w:type="spellStart"/>
            <w:r>
              <w:rPr>
                <w:rFonts w:cs="Calibri"/>
              </w:rPr>
              <w:t>Mahato</w:t>
            </w:r>
            <w:proofErr w:type="spellEnd"/>
            <w:r>
              <w:rPr>
                <w:rFonts w:cs="Calibri"/>
              </w:rPr>
              <w:t xml:space="preserve"> will talk about </w:t>
            </w:r>
          </w:p>
          <w:p w:rsidR="00247109" w:rsidRPr="00BD26E3" w:rsidRDefault="001749EB" w:rsidP="004D41B4">
            <w:pPr>
              <w:widowControl w:val="0"/>
              <w:autoSpaceDE w:val="0"/>
              <w:autoSpaceDN w:val="0"/>
              <w:adjustRightInd w:val="0"/>
              <w:spacing w:after="240"/>
              <w:rPr>
                <w:rFonts w:cs="Arial"/>
              </w:rPr>
            </w:pPr>
            <w:r>
              <w:rPr>
                <w:rFonts w:cs="Calibri"/>
              </w:rPr>
              <w:t>“</w:t>
            </w:r>
            <w:r>
              <w:rPr>
                <w:rFonts w:cs="Calibri"/>
                <w:i/>
              </w:rPr>
              <w:t>My Experience as A Rotary Peace Fellow</w:t>
            </w:r>
            <w:r>
              <w:rPr>
                <w:rFonts w:cs="Calibri"/>
              </w:rPr>
              <w:t xml:space="preserve">” </w:t>
            </w:r>
          </w:p>
        </w:tc>
      </w:tr>
      <w:tr w:rsidR="00E62994" w:rsidRPr="00002843" w:rsidTr="001E3470">
        <w:trPr>
          <w:trHeight w:val="743"/>
        </w:trPr>
        <w:tc>
          <w:tcPr>
            <w:tcW w:w="2127" w:type="dxa"/>
          </w:tcPr>
          <w:p w:rsidR="00E62994" w:rsidRPr="00DA70D6" w:rsidRDefault="001749EB" w:rsidP="00E62994">
            <w:pPr>
              <w:ind w:left="80"/>
              <w:rPr>
                <w:rFonts w:cs="Arial"/>
              </w:rPr>
            </w:pPr>
            <w:r>
              <w:rPr>
                <w:rFonts w:cs="Arial"/>
              </w:rPr>
              <w:t>12 February</w:t>
            </w:r>
          </w:p>
        </w:tc>
        <w:tc>
          <w:tcPr>
            <w:tcW w:w="3402" w:type="dxa"/>
          </w:tcPr>
          <w:p w:rsidR="00E62994" w:rsidRPr="00BD26E3" w:rsidRDefault="004D41B4" w:rsidP="00E62994">
            <w:pPr>
              <w:rPr>
                <w:rFonts w:cs="Arial"/>
              </w:rPr>
            </w:pPr>
            <w:r>
              <w:rPr>
                <w:rFonts w:cs="Calibri"/>
              </w:rPr>
              <w:t>G</w:t>
            </w:r>
            <w:r w:rsidR="001749EB">
              <w:rPr>
                <w:rFonts w:cs="Calibri"/>
              </w:rPr>
              <w:t xml:space="preserve">uest speaker, </w:t>
            </w:r>
            <w:r w:rsidR="001749EB" w:rsidRPr="001749EB">
              <w:t>Dr. Milan Maharjan</w:t>
            </w:r>
          </w:p>
        </w:tc>
        <w:tc>
          <w:tcPr>
            <w:tcW w:w="5528" w:type="dxa"/>
            <w:tcBorders>
              <w:right w:val="single" w:sz="4" w:space="0" w:color="auto"/>
            </w:tcBorders>
          </w:tcPr>
          <w:p w:rsidR="00E62994" w:rsidRPr="00565675" w:rsidRDefault="001749EB" w:rsidP="001749EB">
            <w:pPr>
              <w:rPr>
                <w:rFonts w:cs="Arial"/>
                <w:color w:val="4F81BD"/>
              </w:rPr>
            </w:pPr>
            <w:r>
              <w:t>T</w:t>
            </w:r>
            <w:r>
              <w:t>he prevention of deafness and promotion of hearing among school children in Nepal Project being supported by RCMT.</w:t>
            </w:r>
          </w:p>
        </w:tc>
        <w:tc>
          <w:tcPr>
            <w:tcW w:w="3977" w:type="dxa"/>
            <w:tcBorders>
              <w:top w:val="nil"/>
              <w:left w:val="single" w:sz="4" w:space="0" w:color="auto"/>
              <w:bottom w:val="nil"/>
              <w:right w:val="nil"/>
            </w:tcBorders>
          </w:tcPr>
          <w:p w:rsidR="00E62994" w:rsidRPr="00565675" w:rsidRDefault="00E62994" w:rsidP="00E62994">
            <w:pPr>
              <w:rPr>
                <w:rFonts w:cs="Arial"/>
                <w:color w:val="4F81BD"/>
              </w:rPr>
            </w:pPr>
          </w:p>
        </w:tc>
      </w:tr>
      <w:tr w:rsidR="00E62994" w:rsidRPr="00002843" w:rsidTr="001E3470">
        <w:trPr>
          <w:gridAfter w:val="1"/>
          <w:wAfter w:w="3977" w:type="dxa"/>
          <w:trHeight w:val="257"/>
        </w:trPr>
        <w:tc>
          <w:tcPr>
            <w:tcW w:w="2127" w:type="dxa"/>
            <w:shd w:val="clear" w:color="auto" w:fill="4F81BD"/>
          </w:tcPr>
          <w:p w:rsidR="00E62994" w:rsidRPr="00565675" w:rsidRDefault="00E62994" w:rsidP="00E62994">
            <w:pPr>
              <w:ind w:left="80"/>
              <w:jc w:val="center"/>
              <w:rPr>
                <w:rFonts w:cs="Arial"/>
                <w:color w:val="4F81BD"/>
              </w:rPr>
            </w:pPr>
          </w:p>
        </w:tc>
        <w:tc>
          <w:tcPr>
            <w:tcW w:w="3402" w:type="dxa"/>
            <w:shd w:val="clear" w:color="auto" w:fill="4F81BD"/>
          </w:tcPr>
          <w:p w:rsidR="00E62994" w:rsidRPr="00BD26E3" w:rsidRDefault="00E62994" w:rsidP="00E62994">
            <w:pPr>
              <w:rPr>
                <w:rFonts w:cs="Arial"/>
              </w:rPr>
            </w:pPr>
          </w:p>
        </w:tc>
        <w:tc>
          <w:tcPr>
            <w:tcW w:w="5528" w:type="dxa"/>
            <w:shd w:val="clear" w:color="auto" w:fill="4F81BD"/>
          </w:tcPr>
          <w:p w:rsidR="00E62994" w:rsidRPr="00565675" w:rsidRDefault="00E62994" w:rsidP="00E62994">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tbl>
      <w:tblPr>
        <w:tblW w:w="111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672"/>
      </w:tblGrid>
      <w:tr w:rsidR="00DE356C" w:rsidRPr="00002843" w:rsidTr="00504B18">
        <w:tc>
          <w:tcPr>
            <w:tcW w:w="11163" w:type="dxa"/>
            <w:gridSpan w:val="3"/>
          </w:tcPr>
          <w:p w:rsidR="00DE356C" w:rsidRPr="00002843" w:rsidRDefault="00E71DD5" w:rsidP="00636639">
            <w:pPr>
              <w:pStyle w:val="Heading1"/>
            </w:pPr>
            <w:r>
              <w:t>Club News</w:t>
            </w:r>
          </w:p>
        </w:tc>
      </w:tr>
      <w:tr w:rsidR="00DB39B9" w:rsidRPr="00002843" w:rsidTr="00504B18">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tbl>
      <w:tblPr>
        <w:tblStyle w:val="TableGrid"/>
        <w:tblW w:w="11057" w:type="dxa"/>
        <w:tblLayout w:type="fixed"/>
        <w:tblLook w:val="04A0" w:firstRow="1" w:lastRow="0" w:firstColumn="1" w:lastColumn="0" w:noHBand="0" w:noVBand="1"/>
      </w:tblPr>
      <w:tblGrid>
        <w:gridCol w:w="338"/>
        <w:gridCol w:w="7170"/>
        <w:gridCol w:w="3549"/>
      </w:tblGrid>
      <w:tr w:rsidR="00911FB6" w:rsidTr="00D560F2">
        <w:trPr>
          <w:trHeight w:val="4648"/>
        </w:trPr>
        <w:tc>
          <w:tcPr>
            <w:tcW w:w="7508" w:type="dxa"/>
            <w:gridSpan w:val="2"/>
            <w:tcBorders>
              <w:top w:val="nil"/>
              <w:left w:val="nil"/>
              <w:bottom w:val="nil"/>
              <w:right w:val="single" w:sz="4" w:space="0" w:color="auto"/>
            </w:tcBorders>
          </w:tcPr>
          <w:p w:rsidR="00911FB6" w:rsidRDefault="00911FB6" w:rsidP="00B43065">
            <w:pPr>
              <w:rPr>
                <w:rFonts w:cs="Calibri"/>
              </w:rPr>
            </w:pPr>
            <w:bookmarkStart w:id="0" w:name="OLE_LINK1"/>
            <w:bookmarkStart w:id="1" w:name="OLE_LINK2"/>
            <w:r>
              <w:rPr>
                <w:rFonts w:cs="Calibri"/>
              </w:rPr>
              <w:t xml:space="preserve"> </w:t>
            </w:r>
          </w:p>
          <w:p w:rsidR="00911FB6" w:rsidRDefault="00911FB6" w:rsidP="00D560F2">
            <w:r w:rsidRPr="00D560F2">
              <w:drawing>
                <wp:anchor distT="0" distB="0" distL="114300" distR="114300" simplePos="0" relativeHeight="251663360" behindDoc="0" locked="0" layoutInCell="1" allowOverlap="1" wp14:anchorId="67AE7ECE" wp14:editId="2C4396CE">
                  <wp:simplePos x="0" y="0"/>
                  <wp:positionH relativeFrom="column">
                    <wp:posOffset>71120</wp:posOffset>
                  </wp:positionH>
                  <wp:positionV relativeFrom="paragraph">
                    <wp:posOffset>-1905</wp:posOffset>
                  </wp:positionV>
                  <wp:extent cx="2132330" cy="1600200"/>
                  <wp:effectExtent l="0" t="0" r="1270" b="0"/>
                  <wp:wrapSquare wrapText="bothSides"/>
                  <wp:docPr id="7" name="Picture 7" descr="C:\Users\arasmussen\AppData\Local\Microsoft\Windows\INetCache\Content.Outlook\CBTFF60Q\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ag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2330" cy="1600200"/>
                          </a:xfrm>
                          <a:prstGeom prst="rect">
                            <a:avLst/>
                          </a:prstGeom>
                          <a:noFill/>
                          <a:ln>
                            <a:noFill/>
                          </a:ln>
                        </pic:spPr>
                      </pic:pic>
                    </a:graphicData>
                  </a:graphic>
                </wp:anchor>
              </w:drawing>
            </w:r>
            <w:r w:rsidR="00D560F2" w:rsidRPr="00D560F2">
              <w:t>Dr. Milan Maharjan is presented with a token of appreciation</w:t>
            </w:r>
            <w:r w:rsidR="00D560F2">
              <w:rPr>
                <w:rFonts w:ascii="Arial" w:hAnsi="Arial" w:cs="Arial"/>
                <w:color w:val="404040"/>
                <w:sz w:val="22"/>
                <w:szCs w:val="22"/>
              </w:rPr>
              <w:t xml:space="preserve">. </w:t>
            </w:r>
            <w:r>
              <w:t xml:space="preserve">Deafness is an invisible disability and almost 17 % of all people suffer from a hearing impairment. Of that, more than 7 % of this is preventable. Ear Care Nepal is two years old and in that time has provided services to 62 government schools and 34 Buddhist Monastic schools. More than 15,000 children have benefited. All free of cost. Actual cost of surgery is 35,000 but discounted cost is RS 12,000 because of donated services and medicines. This is the amount that needs to be raised/child. Free hearing aids are also provided to children. There are only 115 ENT surgeons in all of Nepal for a population of 28 million. And most are located in Kathmandu. Any help received from Rotary and others goes a long way and is much appreciated.  </w:t>
            </w:r>
          </w:p>
          <w:p w:rsidR="00911FB6" w:rsidRDefault="00911FB6" w:rsidP="001749EB">
            <w:pPr>
              <w:rPr>
                <w:rFonts w:cs="Calibri"/>
              </w:rPr>
            </w:pPr>
          </w:p>
        </w:tc>
        <w:tc>
          <w:tcPr>
            <w:tcW w:w="3549" w:type="dxa"/>
            <w:tcBorders>
              <w:top w:val="nil"/>
              <w:left w:val="single" w:sz="4" w:space="0" w:color="auto"/>
              <w:bottom w:val="nil"/>
              <w:right w:val="nil"/>
            </w:tcBorders>
          </w:tcPr>
          <w:p w:rsidR="00D560F2" w:rsidRDefault="00D560F2" w:rsidP="00D560F2">
            <w:pPr>
              <w:pStyle w:val="ListParagraph"/>
            </w:pPr>
            <w:r w:rsidRPr="00117913">
              <w:rPr>
                <w:noProof/>
                <w:lang w:eastAsia="en-GB"/>
              </w:rPr>
              <w:drawing>
                <wp:anchor distT="0" distB="0" distL="114300" distR="114300" simplePos="0" relativeHeight="251664384" behindDoc="0" locked="0" layoutInCell="1" allowOverlap="1" wp14:anchorId="72FB40B1" wp14:editId="2BEDB2E0">
                  <wp:simplePos x="0" y="0"/>
                  <wp:positionH relativeFrom="column">
                    <wp:posOffset>-16510</wp:posOffset>
                  </wp:positionH>
                  <wp:positionV relativeFrom="paragraph">
                    <wp:posOffset>190500</wp:posOffset>
                  </wp:positionV>
                  <wp:extent cx="2119630" cy="1590675"/>
                  <wp:effectExtent l="0" t="0" r="0" b="9525"/>
                  <wp:wrapSquare wrapText="bothSides"/>
                  <wp:docPr id="2" name="Picture 2" descr="C:\Users\arasmussen\AppData\Local\Microsoft\Windows\INetCache\Content.Outlook\CBTFF60Q\image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age1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963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1FB6" w:rsidRDefault="00D560F2" w:rsidP="00B43065">
            <w:pPr>
              <w:rPr>
                <w:rFonts w:cs="Calibri"/>
              </w:rPr>
            </w:pPr>
            <w:r>
              <w:rPr>
                <w:rFonts w:cs="Calibri"/>
              </w:rPr>
              <w:t xml:space="preserve">A club gift for the wedding of Mr. </w:t>
            </w:r>
            <w:proofErr w:type="spellStart"/>
            <w:r>
              <w:rPr>
                <w:rFonts w:cs="Calibri"/>
              </w:rPr>
              <w:t>Dahal’s</w:t>
            </w:r>
            <w:proofErr w:type="spellEnd"/>
            <w:r>
              <w:rPr>
                <w:rFonts w:cs="Calibri"/>
              </w:rPr>
              <w:t xml:space="preserve"> daughter was presented to him with appreciation and good wishes for his daughter by our Club President Paras SJB Rana</w:t>
            </w:r>
            <w:r w:rsidRPr="00117913">
              <w:rPr>
                <w:noProof/>
                <w:lang w:eastAsia="en-GB"/>
              </w:rPr>
              <w:t xml:space="preserve"> </w:t>
            </w:r>
          </w:p>
        </w:tc>
      </w:tr>
      <w:tr w:rsidR="00911FB6" w:rsidTr="00D560F2">
        <w:trPr>
          <w:gridAfter w:val="2"/>
          <w:wAfter w:w="10719" w:type="dxa"/>
        </w:trPr>
        <w:tc>
          <w:tcPr>
            <w:tcW w:w="338" w:type="dxa"/>
            <w:tcBorders>
              <w:top w:val="nil"/>
              <w:left w:val="nil"/>
              <w:bottom w:val="nil"/>
              <w:right w:val="nil"/>
            </w:tcBorders>
          </w:tcPr>
          <w:p w:rsidR="00911FB6" w:rsidRDefault="00911FB6" w:rsidP="00B43065">
            <w:pPr>
              <w:rPr>
                <w:rFonts w:cs="Calibri"/>
              </w:rPr>
            </w:pPr>
          </w:p>
        </w:tc>
      </w:tr>
    </w:tbl>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0626B1">
              <w:rPr>
                <w:rStyle w:val="hps"/>
                <w:lang w:val="en"/>
              </w:rPr>
              <w:t xml:space="preserve">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C73E67" w:rsidRDefault="00C73E67">
      <w:pPr>
        <w:rPr>
          <w:bCs/>
        </w:rPr>
      </w:pPr>
    </w:p>
    <w:p w:rsidR="006121B9" w:rsidRDefault="006121B9" w:rsidP="00486828">
      <w:pPr>
        <w:rPr>
          <w:bCs/>
        </w:rPr>
      </w:pPr>
    </w:p>
    <w:tbl>
      <w:tblPr>
        <w:tblStyle w:val="TableGrid"/>
        <w:tblW w:w="10910" w:type="dxa"/>
        <w:tblLook w:val="04A0" w:firstRow="1" w:lastRow="0" w:firstColumn="1" w:lastColumn="0" w:noHBand="0" w:noVBand="1"/>
      </w:tblPr>
      <w:tblGrid>
        <w:gridCol w:w="6374"/>
        <w:gridCol w:w="4536"/>
      </w:tblGrid>
      <w:tr w:rsidR="004E2664" w:rsidTr="004E2664">
        <w:tc>
          <w:tcPr>
            <w:tcW w:w="6374" w:type="dxa"/>
            <w:tcBorders>
              <w:top w:val="nil"/>
              <w:left w:val="nil"/>
              <w:bottom w:val="nil"/>
              <w:right w:val="nil"/>
            </w:tcBorders>
          </w:tcPr>
          <w:p w:rsidR="004E2664" w:rsidRDefault="004E2664">
            <w:pPr>
              <w:rPr>
                <w:bCs/>
              </w:rPr>
            </w:pPr>
            <w:r>
              <w:rPr>
                <w:bCs/>
                <w:noProof/>
                <w:lang w:eastAsia="en-GB"/>
              </w:rPr>
              <w:drawing>
                <wp:inline distT="0" distB="0" distL="0" distR="0" wp14:anchorId="4C625E34" wp14:editId="74C4D1D8">
                  <wp:extent cx="223837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ace2.jpg"/>
                          <pic:cNvPicPr/>
                        </pic:nvPicPr>
                        <pic:blipFill>
                          <a:blip r:embed="rId12">
                            <a:extLst>
                              <a:ext uri="{28A0092B-C50C-407E-A947-70E740481C1C}">
                                <a14:useLocalDpi xmlns:a14="http://schemas.microsoft.com/office/drawing/2010/main" val="0"/>
                              </a:ext>
                            </a:extLst>
                          </a:blip>
                          <a:stretch>
                            <a:fillRect/>
                          </a:stretch>
                        </pic:blipFill>
                        <pic:spPr>
                          <a:xfrm>
                            <a:off x="0" y="0"/>
                            <a:ext cx="2246882" cy="2007852"/>
                          </a:xfrm>
                          <a:prstGeom prst="rect">
                            <a:avLst/>
                          </a:prstGeom>
                        </pic:spPr>
                      </pic:pic>
                    </a:graphicData>
                  </a:graphic>
                </wp:inline>
              </w:drawing>
            </w:r>
          </w:p>
        </w:tc>
        <w:tc>
          <w:tcPr>
            <w:tcW w:w="4536" w:type="dxa"/>
            <w:tcBorders>
              <w:top w:val="nil"/>
              <w:left w:val="nil"/>
              <w:bottom w:val="nil"/>
              <w:right w:val="nil"/>
            </w:tcBorders>
          </w:tcPr>
          <w:p w:rsidR="004E2664" w:rsidRDefault="004E2664">
            <w:pPr>
              <w:rPr>
                <w:bCs/>
              </w:rPr>
            </w:pPr>
            <w:r>
              <w:rPr>
                <w:bCs/>
                <w:noProof/>
                <w:lang w:eastAsia="en-GB"/>
              </w:rPr>
              <w:drawing>
                <wp:inline distT="0" distB="0" distL="0" distR="0" wp14:anchorId="3DB34D52" wp14:editId="22AA1463">
                  <wp:extent cx="246697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ace.jpg"/>
                          <pic:cNvPicPr/>
                        </pic:nvPicPr>
                        <pic:blipFill>
                          <a:blip r:embed="rId13">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tc>
      </w:tr>
    </w:tbl>
    <w:p w:rsidR="006121B9" w:rsidRDefault="006121B9">
      <w:pPr>
        <w:rPr>
          <w:bCs/>
        </w:rPr>
      </w:pPr>
    </w:p>
    <w:p w:rsidR="006121B9" w:rsidRDefault="006121B9">
      <w:pPr>
        <w:rPr>
          <w:bCs/>
        </w:rPr>
      </w:pPr>
    </w:p>
    <w:tbl>
      <w:tblPr>
        <w:tblStyle w:val="TableGrid"/>
        <w:tblW w:w="0" w:type="auto"/>
        <w:tblLook w:val="04A0" w:firstRow="1" w:lastRow="0" w:firstColumn="1" w:lastColumn="0" w:noHBand="0" w:noVBand="1"/>
      </w:tblPr>
      <w:tblGrid>
        <w:gridCol w:w="5395"/>
        <w:gridCol w:w="5395"/>
      </w:tblGrid>
      <w:tr w:rsidR="00256449" w:rsidTr="00061986">
        <w:tc>
          <w:tcPr>
            <w:tcW w:w="5395" w:type="dxa"/>
            <w:tcBorders>
              <w:top w:val="single" w:sz="4" w:space="0" w:color="auto"/>
              <w:left w:val="nil"/>
              <w:bottom w:val="nil"/>
              <w:right w:val="nil"/>
            </w:tcBorders>
          </w:tcPr>
          <w:p w:rsidR="00256449" w:rsidRDefault="00256449">
            <w:pPr>
              <w:rPr>
                <w:bCs/>
              </w:rPr>
            </w:pPr>
          </w:p>
        </w:tc>
        <w:tc>
          <w:tcPr>
            <w:tcW w:w="5395" w:type="dxa"/>
            <w:tcBorders>
              <w:top w:val="single" w:sz="4" w:space="0" w:color="auto"/>
              <w:left w:val="nil"/>
              <w:bottom w:val="nil"/>
              <w:right w:val="nil"/>
            </w:tcBorders>
          </w:tcPr>
          <w:p w:rsidR="00256449" w:rsidRDefault="00256449">
            <w:pPr>
              <w:rPr>
                <w:bCs/>
              </w:rPr>
            </w:pPr>
          </w:p>
        </w:tc>
      </w:tr>
    </w:tbl>
    <w:p w:rsidR="006121B9" w:rsidRDefault="006121B9">
      <w:pPr>
        <w:rPr>
          <w:bCs/>
        </w:rPr>
      </w:pPr>
    </w:p>
    <w:p w:rsidR="00C73E67" w:rsidRDefault="00FE73F1" w:rsidP="00A31C5C">
      <w:pPr>
        <w:pStyle w:val="Heading1"/>
        <w:pBdr>
          <w:right w:val="single" w:sz="12" w:space="14" w:color="4F81BD"/>
        </w:pBdr>
      </w:pPr>
      <w:r>
        <w:t>Rotary International News</w:t>
      </w:r>
    </w:p>
    <w:p w:rsidR="00FC3C0C" w:rsidRDefault="00FC3C0C" w:rsidP="00FC3C0C"/>
    <w:p w:rsidR="00835F0F" w:rsidRDefault="00835F0F" w:rsidP="00835F0F">
      <w:pPr>
        <w:pStyle w:val="Heading3"/>
        <w:shd w:val="clear" w:color="auto" w:fill="FFFFFF"/>
        <w:rPr>
          <w:bCs w:val="0"/>
          <w:color w:val="000000"/>
          <w:sz w:val="33"/>
          <w:szCs w:val="33"/>
          <w:lang w:eastAsia="en-GB"/>
        </w:rPr>
      </w:pPr>
      <w:r>
        <w:rPr>
          <w:b/>
          <w:bCs w:val="0"/>
          <w:caps w:val="0"/>
          <w:color w:val="000000"/>
          <w:sz w:val="33"/>
          <w:szCs w:val="33"/>
        </w:rPr>
        <w:t>WHAT ARE ROTARY PEACE FELLOWSHIPS?</w:t>
      </w:r>
    </w:p>
    <w:p w:rsidR="00835F0F" w:rsidRDefault="00835F0F" w:rsidP="004D41B4">
      <w:r>
        <w:t>Each year, Rotary selects up to 100 individuals from around the world to receive fully funded academic fellow</w:t>
      </w:r>
      <w:r>
        <w:t>ships at one of our peace centre</w:t>
      </w:r>
      <w:r>
        <w:t>s. These fellowships cover tuition and fees, room and board, round-trip transportation, and all internship and field-study expenses. </w:t>
      </w:r>
    </w:p>
    <w:p w:rsidR="00835F0F" w:rsidRDefault="00835F0F" w:rsidP="004D41B4"/>
    <w:p w:rsidR="00835F0F" w:rsidRDefault="00835F0F" w:rsidP="004D41B4">
      <w:r>
        <w:t>In just over a decade, the Rotary Peace Centers have trained more than 900 fellows for careers in peace building. Many of them go on to serve as leaders in national governments, NGOs, the military, law enforcement, and international organizations like the United Nations and World Bank.</w:t>
      </w:r>
    </w:p>
    <w:p w:rsidR="00835F0F" w:rsidRDefault="00835F0F" w:rsidP="004D41B4"/>
    <w:p w:rsidR="00835F0F" w:rsidRDefault="00835F0F" w:rsidP="00835F0F">
      <w:hyperlink r:id="rId14" w:tgtFrame="_blank" w:history="1">
        <w:r>
          <w:rPr>
            <w:rStyle w:val="Hyperlink"/>
            <w:rFonts w:ascii="Georgia" w:hAnsi="Georgia"/>
            <w:color w:val="005DAA"/>
            <w:sz w:val="21"/>
            <w:szCs w:val="21"/>
          </w:rPr>
          <w:t>Check out the Rotary Peace Map</w:t>
        </w:r>
      </w:hyperlink>
      <w:r>
        <w:rPr>
          <w:rStyle w:val="apple-converted-space"/>
          <w:rFonts w:ascii="Georgia" w:hAnsi="Georgia"/>
          <w:color w:val="000000"/>
          <w:sz w:val="21"/>
          <w:szCs w:val="21"/>
        </w:rPr>
        <w:t> </w:t>
      </w:r>
      <w:r>
        <w:t xml:space="preserve">to see where </w:t>
      </w:r>
      <w:r>
        <w:t>alumni are creating positive change.</w:t>
      </w:r>
    </w:p>
    <w:p w:rsidR="00835F0F" w:rsidRDefault="00835F0F" w:rsidP="00835F0F">
      <w:r>
        <w:t>Two types of peace fellowships are available.</w:t>
      </w:r>
    </w:p>
    <w:p w:rsidR="00835F0F" w:rsidRDefault="00835F0F" w:rsidP="00835F0F">
      <w:pPr>
        <w:rPr>
          <w:rFonts w:ascii="FrutigerLTW01-77BlackCn" w:hAnsi="FrutigerLTW01-77BlackCn"/>
          <w:b/>
          <w:bCs/>
          <w:caps/>
        </w:rPr>
      </w:pPr>
    </w:p>
    <w:p w:rsidR="00835F0F" w:rsidRDefault="00835F0F" w:rsidP="00835F0F">
      <w:pPr>
        <w:rPr>
          <w:rFonts w:ascii="FrutigerLTW01-77BlackCn" w:hAnsi="FrutigerLTW01-77BlackCn"/>
          <w:caps/>
        </w:rPr>
      </w:pPr>
      <w:r>
        <w:rPr>
          <w:rFonts w:ascii="FrutigerLTW01-77BlackCn" w:hAnsi="FrutigerLTW01-77BlackCn"/>
          <w:b/>
          <w:bCs/>
          <w:caps/>
        </w:rPr>
        <w:t>MASTER'S DEGREE</w:t>
      </w:r>
    </w:p>
    <w:p w:rsidR="00835F0F" w:rsidRDefault="00835F0F" w:rsidP="00835F0F">
      <w:r>
        <w:t xml:space="preserve">Rotary </w:t>
      </w:r>
      <w:r>
        <w:t>offer</w:t>
      </w:r>
      <w:r>
        <w:t>s</w:t>
      </w:r>
      <w:r>
        <w:t xml:space="preserve"> master’s degree fellowships at premier universities in fields related to peace and conflict prevention and resolution. Programs last 15 to 24 months and require a practical internship of two to three months during the acad</w:t>
      </w:r>
      <w:r>
        <w:t xml:space="preserve">emic break. Each </w:t>
      </w:r>
      <w:proofErr w:type="spellStart"/>
      <w:r>
        <w:t>year</w:t>
      </w:r>
      <w:proofErr w:type="gramStart"/>
      <w:r>
        <w:t>,</w:t>
      </w:r>
      <w:r>
        <w:t>up</w:t>
      </w:r>
      <w:proofErr w:type="spellEnd"/>
      <w:proofErr w:type="gramEnd"/>
      <w:r>
        <w:t xml:space="preserve"> to 50 master’s degree fellowships </w:t>
      </w:r>
      <w:r>
        <w:t xml:space="preserve">are awarded </w:t>
      </w:r>
      <w:r>
        <w:t>at these institutions:</w:t>
      </w:r>
    </w:p>
    <w:p w:rsidR="00835F0F" w:rsidRDefault="00835F0F" w:rsidP="00835F0F">
      <w:hyperlink r:id="rId15" w:tgtFrame="_blank" w:history="1">
        <w:r>
          <w:rPr>
            <w:rStyle w:val="Hyperlink"/>
            <w:rFonts w:ascii="Georgia" w:hAnsi="Georgia"/>
            <w:color w:val="005DAA"/>
            <w:sz w:val="21"/>
            <w:szCs w:val="21"/>
          </w:rPr>
          <w:t>Duke University and University of North Carolina at Chapel Hill</w:t>
        </w:r>
      </w:hyperlink>
      <w:r>
        <w:t>, USA (</w:t>
      </w:r>
      <w:hyperlink r:id="rId16" w:tgtFrame="_blank" w:history="1">
        <w:r>
          <w:rPr>
            <w:rStyle w:val="Hyperlink"/>
            <w:rFonts w:ascii="Georgia" w:hAnsi="Georgia"/>
            <w:color w:val="005DAA"/>
            <w:sz w:val="21"/>
            <w:szCs w:val="21"/>
          </w:rPr>
          <w:t>fact sheet</w:t>
        </w:r>
      </w:hyperlink>
      <w:r>
        <w:t>)</w:t>
      </w:r>
    </w:p>
    <w:p w:rsidR="00835F0F" w:rsidRDefault="00835F0F" w:rsidP="00835F0F">
      <w:hyperlink r:id="rId17" w:tgtFrame="_blank" w:history="1">
        <w:r>
          <w:rPr>
            <w:rStyle w:val="Hyperlink"/>
            <w:rFonts w:ascii="Georgia" w:hAnsi="Georgia"/>
            <w:color w:val="005DAA"/>
            <w:sz w:val="21"/>
            <w:szCs w:val="21"/>
          </w:rPr>
          <w:t>International Christian University</w:t>
        </w:r>
      </w:hyperlink>
      <w:r>
        <w:t>, Japan (</w:t>
      </w:r>
      <w:hyperlink r:id="rId18" w:tgtFrame="_blank" w:history="1">
        <w:r>
          <w:rPr>
            <w:rStyle w:val="Hyperlink"/>
            <w:rFonts w:ascii="Georgia" w:hAnsi="Georgia"/>
            <w:color w:val="005DAA"/>
            <w:sz w:val="21"/>
            <w:szCs w:val="21"/>
          </w:rPr>
          <w:t>fact sheet</w:t>
        </w:r>
      </w:hyperlink>
      <w:r>
        <w:t>)</w:t>
      </w:r>
    </w:p>
    <w:p w:rsidR="00835F0F" w:rsidRDefault="00835F0F" w:rsidP="00835F0F">
      <w:hyperlink r:id="rId19" w:tgtFrame="_blank" w:history="1">
        <w:r>
          <w:rPr>
            <w:rStyle w:val="Hyperlink"/>
            <w:rFonts w:ascii="Georgia" w:hAnsi="Georgia"/>
            <w:color w:val="005DAA"/>
            <w:sz w:val="21"/>
            <w:szCs w:val="21"/>
          </w:rPr>
          <w:t>University of Bradford</w:t>
        </w:r>
      </w:hyperlink>
      <w:r>
        <w:t>, England (</w:t>
      </w:r>
      <w:hyperlink r:id="rId20" w:tgtFrame="_blank" w:history="1">
        <w:r>
          <w:rPr>
            <w:rStyle w:val="Hyperlink"/>
            <w:rFonts w:ascii="Georgia" w:hAnsi="Georgia"/>
            <w:color w:val="005DAA"/>
            <w:sz w:val="21"/>
            <w:szCs w:val="21"/>
          </w:rPr>
          <w:t>fact sheet</w:t>
        </w:r>
      </w:hyperlink>
      <w:r>
        <w:t>)</w:t>
      </w:r>
    </w:p>
    <w:p w:rsidR="00835F0F" w:rsidRDefault="00835F0F" w:rsidP="00835F0F">
      <w:hyperlink r:id="rId21" w:tgtFrame="_blank" w:history="1">
        <w:r>
          <w:rPr>
            <w:rStyle w:val="Hyperlink"/>
            <w:rFonts w:ascii="Georgia" w:hAnsi="Georgia"/>
            <w:color w:val="005DAA"/>
            <w:sz w:val="21"/>
            <w:szCs w:val="21"/>
          </w:rPr>
          <w:t>University of Queensland</w:t>
        </w:r>
      </w:hyperlink>
      <w:r>
        <w:t>, Australia (</w:t>
      </w:r>
      <w:hyperlink r:id="rId22" w:tgtFrame="_blank" w:history="1">
        <w:r>
          <w:rPr>
            <w:rStyle w:val="Hyperlink"/>
            <w:rFonts w:ascii="Georgia" w:hAnsi="Georgia"/>
            <w:color w:val="005DAA"/>
            <w:sz w:val="21"/>
            <w:szCs w:val="21"/>
          </w:rPr>
          <w:t>fact sheet</w:t>
        </w:r>
      </w:hyperlink>
      <w:r>
        <w:t>)</w:t>
      </w:r>
    </w:p>
    <w:p w:rsidR="00835F0F" w:rsidRDefault="00835F0F" w:rsidP="00835F0F">
      <w:hyperlink r:id="rId23" w:tgtFrame="_blank" w:history="1">
        <w:r>
          <w:rPr>
            <w:rStyle w:val="Hyperlink"/>
            <w:rFonts w:ascii="Georgia" w:hAnsi="Georgia"/>
            <w:color w:val="005DAA"/>
            <w:sz w:val="21"/>
            <w:szCs w:val="21"/>
          </w:rPr>
          <w:t>Uppsala University</w:t>
        </w:r>
      </w:hyperlink>
      <w:r>
        <w:t>, Sweden (</w:t>
      </w:r>
      <w:hyperlink r:id="rId24" w:tgtFrame="_blank" w:history="1">
        <w:r>
          <w:rPr>
            <w:rStyle w:val="Hyperlink"/>
            <w:rFonts w:ascii="Georgia" w:hAnsi="Georgia"/>
            <w:color w:val="005DAA"/>
            <w:sz w:val="21"/>
            <w:szCs w:val="21"/>
          </w:rPr>
          <w:t>fact sheet</w:t>
        </w:r>
      </w:hyperlink>
      <w:r>
        <w:t>)</w:t>
      </w:r>
    </w:p>
    <w:p w:rsidR="00835F0F" w:rsidRDefault="00835F0F" w:rsidP="00835F0F">
      <w:pPr>
        <w:rPr>
          <w:rFonts w:ascii="FrutigerLTW01-77BlackCn" w:hAnsi="FrutigerLTW01-77BlackCn"/>
          <w:b/>
          <w:bCs/>
          <w:caps/>
        </w:rPr>
      </w:pPr>
    </w:p>
    <w:p w:rsidR="00835F0F" w:rsidRDefault="00835F0F" w:rsidP="00835F0F">
      <w:pPr>
        <w:rPr>
          <w:rFonts w:ascii="FrutigerLTW01-77BlackCn" w:hAnsi="FrutigerLTW01-77BlackCn"/>
          <w:caps/>
        </w:rPr>
      </w:pPr>
      <w:r>
        <w:rPr>
          <w:rFonts w:ascii="FrutigerLTW01-77BlackCn" w:hAnsi="FrutigerLTW01-77BlackCn"/>
          <w:b/>
          <w:bCs/>
          <w:caps/>
        </w:rPr>
        <w:t>PROFESSIONAL DEVELOPMENT CERTIFICATE</w:t>
      </w:r>
    </w:p>
    <w:p w:rsidR="00835F0F" w:rsidRDefault="00835F0F" w:rsidP="00835F0F">
      <w:r>
        <w:t>For experienced professionals working in peace-related fields who want to enhance their professional skills, we offer a three-month program in peace and conflict prevention and resolution at</w:t>
      </w:r>
      <w:r>
        <w:rPr>
          <w:rStyle w:val="apple-converted-space"/>
          <w:rFonts w:ascii="Georgia" w:hAnsi="Georgia"/>
          <w:color w:val="000000"/>
          <w:sz w:val="21"/>
          <w:szCs w:val="21"/>
        </w:rPr>
        <w:t> </w:t>
      </w:r>
      <w:hyperlink r:id="rId25" w:tgtFrame="_blank" w:history="1">
        <w:proofErr w:type="spellStart"/>
        <w:r>
          <w:rPr>
            <w:rStyle w:val="Hyperlink"/>
            <w:rFonts w:ascii="Georgia" w:hAnsi="Georgia"/>
            <w:color w:val="005DAA"/>
            <w:sz w:val="21"/>
            <w:szCs w:val="21"/>
          </w:rPr>
          <w:t>Chulalongkorn</w:t>
        </w:r>
        <w:proofErr w:type="spellEnd"/>
        <w:r>
          <w:rPr>
            <w:rStyle w:val="Hyperlink"/>
            <w:rFonts w:ascii="Georgia" w:hAnsi="Georgia"/>
            <w:color w:val="005DAA"/>
            <w:sz w:val="21"/>
            <w:szCs w:val="21"/>
          </w:rPr>
          <w:t xml:space="preserve"> University</w:t>
        </w:r>
      </w:hyperlink>
      <w:r>
        <w:rPr>
          <w:rStyle w:val="apple-converted-space"/>
          <w:rFonts w:ascii="Georgia" w:hAnsi="Georgia"/>
          <w:color w:val="000000"/>
          <w:sz w:val="21"/>
          <w:szCs w:val="21"/>
        </w:rPr>
        <w:t> </w:t>
      </w:r>
      <w:r>
        <w:t>in Thailand (</w:t>
      </w:r>
      <w:hyperlink r:id="rId26" w:tgtFrame="_blank" w:history="1">
        <w:r>
          <w:rPr>
            <w:rStyle w:val="Hyperlink"/>
            <w:rFonts w:ascii="Georgia" w:hAnsi="Georgia"/>
            <w:color w:val="005DAA"/>
            <w:sz w:val="21"/>
            <w:szCs w:val="21"/>
          </w:rPr>
          <w:t>fact sheet</w:t>
        </w:r>
      </w:hyperlink>
      <w:r>
        <w:t>). This program incorporates two to</w:t>
      </w:r>
      <w:r>
        <w:t xml:space="preserve"> three weeks of field study. Rotary </w:t>
      </w:r>
      <w:r>
        <w:t>award</w:t>
      </w:r>
      <w:r>
        <w:t>s</w:t>
      </w:r>
      <w:r>
        <w:t xml:space="preserve"> up to 50 certificates each year.</w:t>
      </w:r>
    </w:p>
    <w:p w:rsidR="00835F0F" w:rsidRDefault="00835F0F" w:rsidP="00FC3C0C"/>
    <w:p w:rsidR="00835F0F" w:rsidRDefault="00835F0F" w:rsidP="00835F0F">
      <w:pPr>
        <w:rPr>
          <w:shd w:val="clear" w:color="auto" w:fill="FFFFFF"/>
        </w:rPr>
      </w:pPr>
      <w:r>
        <w:rPr>
          <w:shd w:val="clear" w:color="auto" w:fill="FFFFFF"/>
        </w:rPr>
        <w:t xml:space="preserve">Rotary </w:t>
      </w:r>
      <w:r w:rsidR="00DA1C9E">
        <w:rPr>
          <w:shd w:val="clear" w:color="auto" w:fill="FFFFFF"/>
        </w:rPr>
        <w:t xml:space="preserve">is </w:t>
      </w:r>
      <w:r>
        <w:rPr>
          <w:shd w:val="clear" w:color="auto" w:fill="FFFFFF"/>
        </w:rPr>
        <w:t>now accepting applications for the 2017-18 Rotary Peace Fellowships program. Candidates have until 31 May to submit applications to their district. Districts must submit endorsed applications to The Rotary Foundation by 1 July.</w:t>
      </w:r>
    </w:p>
    <w:p w:rsidR="00835F0F" w:rsidRDefault="00835F0F" w:rsidP="00835F0F">
      <w:pPr>
        <w:rPr>
          <w:shd w:val="clear" w:color="auto" w:fill="FFFFFF"/>
        </w:rPr>
      </w:pPr>
    </w:p>
    <w:p w:rsidR="00835F0F" w:rsidRDefault="00835F0F" w:rsidP="00835F0F">
      <w:hyperlink r:id="rId27" w:tooltip="Peace Fellowship Application" w:history="1">
        <w:r>
          <w:rPr>
            <w:rStyle w:val="Hyperlink"/>
            <w:rFonts w:ascii="Georgia" w:hAnsi="Georgia"/>
            <w:color w:val="005DAA"/>
            <w:sz w:val="21"/>
            <w:szCs w:val="21"/>
            <w:shd w:val="clear" w:color="auto" w:fill="FFFFFF"/>
          </w:rPr>
          <w:t>Find everything you need to complete the application process.</w:t>
        </w:r>
      </w:hyperlink>
    </w:p>
    <w:p w:rsidR="00DA1C9E" w:rsidRDefault="00DA1C9E" w:rsidP="00DA1C9E">
      <w:pPr>
        <w:rPr>
          <w:lang w:eastAsia="en-GB"/>
        </w:rPr>
      </w:pPr>
      <w:r>
        <w:t xml:space="preserve"> Or j</w:t>
      </w:r>
      <w:r>
        <w:t>oin Rotary Peace Centers on</w:t>
      </w:r>
      <w:r>
        <w:rPr>
          <w:rStyle w:val="apple-converted-space"/>
          <w:rFonts w:ascii="Georgia" w:hAnsi="Georgia"/>
          <w:color w:val="000000"/>
          <w:sz w:val="21"/>
          <w:szCs w:val="21"/>
        </w:rPr>
        <w:t> </w:t>
      </w:r>
      <w:hyperlink r:id="rId28" w:history="1">
        <w:r>
          <w:rPr>
            <w:rStyle w:val="Hyperlink"/>
            <w:rFonts w:ascii="Georgia" w:hAnsi="Georgia"/>
            <w:color w:val="005DAA"/>
            <w:sz w:val="21"/>
            <w:szCs w:val="21"/>
          </w:rPr>
          <w:t>Facebook</w:t>
        </w:r>
      </w:hyperlink>
      <w:r>
        <w:rPr>
          <w:rStyle w:val="apple-converted-space"/>
          <w:rFonts w:ascii="Georgia" w:hAnsi="Georgia"/>
          <w:color w:val="000000"/>
          <w:sz w:val="21"/>
          <w:szCs w:val="21"/>
        </w:rPr>
        <w:t> </w:t>
      </w:r>
      <w:r>
        <w:t>and</w:t>
      </w:r>
      <w:r>
        <w:rPr>
          <w:rStyle w:val="apple-converted-space"/>
          <w:rFonts w:ascii="Georgia" w:hAnsi="Georgia"/>
          <w:color w:val="000000"/>
          <w:sz w:val="21"/>
          <w:szCs w:val="21"/>
        </w:rPr>
        <w:t> </w:t>
      </w:r>
      <w:hyperlink r:id="rId29" w:tgtFrame="_blank" w:history="1">
        <w:r>
          <w:rPr>
            <w:rStyle w:val="Hyperlink"/>
            <w:rFonts w:ascii="Georgia" w:hAnsi="Georgia"/>
            <w:color w:val="005DAA"/>
            <w:sz w:val="21"/>
            <w:szCs w:val="21"/>
          </w:rPr>
          <w:t>LinkedIn</w:t>
        </w:r>
      </w:hyperlink>
    </w:p>
    <w:p w:rsidR="00DA1C9E" w:rsidRDefault="00DA1C9E" w:rsidP="00835F0F"/>
    <w:p w:rsidR="00DA1C9E" w:rsidRDefault="004D41B4" w:rsidP="003A448E">
      <w:pPr>
        <w:pStyle w:val="Heading3"/>
      </w:pPr>
      <w:r>
        <w:t>Calendar</w:t>
      </w:r>
      <w:r w:rsidR="00DA1C9E">
        <w:t>:</w:t>
      </w:r>
    </w:p>
    <w:p w:rsidR="003A448E" w:rsidRDefault="003A448E" w:rsidP="005B711C">
      <w:pPr>
        <w:pStyle w:val="NormalWeb"/>
        <w:shd w:val="clear" w:color="auto" w:fill="FFFFFF"/>
        <w:spacing w:before="274" w:beforeAutospacing="0" w:after="274" w:afterAutospacing="0" w:line="343" w:lineRule="atLeast"/>
        <w:rPr>
          <w:rFonts w:ascii="Georgia" w:hAnsi="Georgia"/>
          <w:color w:val="000000"/>
          <w:sz w:val="21"/>
          <w:szCs w:val="21"/>
        </w:rPr>
      </w:pPr>
    </w:p>
    <w:p w:rsidR="003A448E" w:rsidRPr="003A448E" w:rsidRDefault="003A448E" w:rsidP="005B711C">
      <w:pPr>
        <w:pStyle w:val="NormalWeb"/>
        <w:shd w:val="clear" w:color="auto" w:fill="FFFFFF"/>
        <w:spacing w:before="274" w:beforeAutospacing="0" w:after="274" w:afterAutospacing="0" w:line="343" w:lineRule="atLeast"/>
      </w:pPr>
      <w:r>
        <w:rPr>
          <w:rFonts w:ascii="Georgia" w:hAnsi="Georgia"/>
          <w:color w:val="000000"/>
          <w:sz w:val="21"/>
          <w:szCs w:val="21"/>
        </w:rPr>
        <w:t xml:space="preserve">19 February - </w:t>
      </w:r>
      <w:proofErr w:type="spellStart"/>
      <w:r w:rsidRPr="003A448E">
        <w:t>Rastraya</w:t>
      </w:r>
      <w:proofErr w:type="spellEnd"/>
      <w:r w:rsidRPr="003A448E">
        <w:t xml:space="preserve"> Prajatantra </w:t>
      </w:r>
      <w:proofErr w:type="spellStart"/>
      <w:r w:rsidRPr="003A448E">
        <w:t>Dibas</w:t>
      </w:r>
      <w:proofErr w:type="spellEnd"/>
      <w:r w:rsidRPr="003A448E">
        <w:t xml:space="preserve"> (Democracy Day)</w:t>
      </w:r>
      <w:bookmarkStart w:id="2" w:name="_GoBack"/>
      <w:bookmarkEnd w:id="2"/>
    </w:p>
    <w:p w:rsidR="005B711C" w:rsidRDefault="005B711C" w:rsidP="005B711C">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23</w:t>
      </w:r>
      <w:r w:rsidR="007D4063">
        <w:rPr>
          <w:rFonts w:ascii="Georgia" w:hAnsi="Georgia"/>
          <w:color w:val="000000"/>
          <w:sz w:val="21"/>
          <w:szCs w:val="21"/>
        </w:rPr>
        <w:t xml:space="preserve"> February — </w:t>
      </w:r>
      <w:r w:rsidR="007D4063" w:rsidRPr="007D4063">
        <w:t>Celebrating Rotary’s 111 anniversary</w:t>
      </w:r>
      <w:r w:rsidR="007D4063">
        <w:rPr>
          <w:rFonts w:ascii="Georgia" w:hAnsi="Georgia"/>
          <w:color w:val="000000"/>
          <w:sz w:val="21"/>
          <w:szCs w:val="21"/>
        </w:rPr>
        <w:t xml:space="preserve"> </w:t>
      </w:r>
    </w:p>
    <w:p w:rsidR="005B711C" w:rsidRDefault="005B711C" w:rsidP="005B711C">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27 February —</w:t>
      </w:r>
      <w:r>
        <w:rPr>
          <w:rStyle w:val="apple-converted-space"/>
          <w:rFonts w:ascii="Georgia" w:hAnsi="Georgia"/>
          <w:color w:val="000000"/>
          <w:sz w:val="21"/>
          <w:szCs w:val="21"/>
        </w:rPr>
        <w:t> </w:t>
      </w:r>
      <w:hyperlink r:id="rId30" w:tgtFrame="_blank" w:history="1">
        <w:r>
          <w:rPr>
            <w:rStyle w:val="Hyperlink"/>
            <w:rFonts w:ascii="Georgia" w:hAnsi="Georgia"/>
            <w:color w:val="005DAA"/>
            <w:sz w:val="21"/>
            <w:szCs w:val="21"/>
          </w:rPr>
          <w:t>Presidential Conference: Economic Development</w:t>
        </w:r>
      </w:hyperlink>
      <w:r>
        <w:rPr>
          <w:rFonts w:ascii="Georgia" w:hAnsi="Georgia"/>
          <w:color w:val="000000"/>
          <w:sz w:val="21"/>
          <w:szCs w:val="21"/>
        </w:rPr>
        <w:t>, Cape Town, South Africa</w:t>
      </w:r>
    </w:p>
    <w:p w:rsidR="005B711C" w:rsidRDefault="005B711C" w:rsidP="00A731AB"/>
    <w:p w:rsidR="00101B59" w:rsidRPr="00690AF7" w:rsidRDefault="00E2383E" w:rsidP="00E2383E">
      <w:pPr>
        <w:pStyle w:val="Heading3"/>
      </w:pPr>
      <w:r>
        <w:t>Rotary Story of the week</w:t>
      </w:r>
    </w:p>
    <w:tbl>
      <w:tblPr>
        <w:tblW w:w="11199" w:type="dxa"/>
        <w:tblInd w:w="-142" w:type="dxa"/>
        <w:tblLook w:val="04A0" w:firstRow="1" w:lastRow="0" w:firstColumn="1" w:lastColumn="0" w:noHBand="0" w:noVBand="1"/>
      </w:tblPr>
      <w:tblGrid>
        <w:gridCol w:w="11199"/>
      </w:tblGrid>
      <w:tr w:rsidR="00B8328F" w:rsidRPr="00CF080C" w:rsidTr="00A31C5C">
        <w:tc>
          <w:tcPr>
            <w:tcW w:w="11199" w:type="dxa"/>
          </w:tcPr>
          <w:p w:rsidR="00A31C5C" w:rsidRPr="00CF080C" w:rsidRDefault="00A31C5C" w:rsidP="00536901">
            <w:pPr>
              <w:rPr>
                <w:bCs/>
              </w:rPr>
            </w:pPr>
          </w:p>
        </w:tc>
      </w:tr>
    </w:tbl>
    <w:bookmarkEnd w:id="0"/>
    <w:bookmarkEnd w:id="1"/>
    <w:p w:rsidR="00690AF7" w:rsidRDefault="00690AF7" w:rsidP="00690AF7">
      <w:pPr>
        <w:rPr>
          <w:rFonts w:ascii="Georgia" w:hAnsi="Georgia"/>
        </w:rPr>
      </w:pPr>
      <w:r>
        <w:rPr>
          <w:rFonts w:ascii="Georgia" w:hAnsi="Georgia"/>
        </w:rP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A6182B" w:rsidRDefault="00A6182B" w:rsidP="00A6182B">
      <w:pPr>
        <w:jc w:val="center"/>
      </w:pPr>
    </w:p>
    <w:p w:rsidR="000F7FC6" w:rsidRDefault="000F7FC6" w:rsidP="000F7FC6">
      <w:pPr>
        <w:jc w:val="center"/>
        <w:rPr>
          <w:rFonts w:ascii="Arial" w:hAnsi="Arial" w:cs="Arial"/>
          <w:color w:val="222222"/>
          <w:sz w:val="45"/>
          <w:szCs w:val="45"/>
          <w:shd w:val="clear" w:color="auto" w:fill="FFFFFF"/>
        </w:rPr>
      </w:pPr>
      <w:r>
        <w:rPr>
          <w:rFonts w:ascii="Arial" w:hAnsi="Arial" w:cs="Arial"/>
          <w:color w:val="222222"/>
          <w:sz w:val="45"/>
          <w:szCs w:val="45"/>
          <w:shd w:val="clear" w:color="auto" w:fill="FFFFFF"/>
        </w:rPr>
        <w:t>“Peace is the only battle worth waging”</w:t>
      </w:r>
    </w:p>
    <w:p w:rsidR="003E3877" w:rsidRDefault="000F7FC6" w:rsidP="000F7FC6">
      <w:pPr>
        <w:jc w:val="center"/>
        <w:rPr>
          <w:rFonts w:ascii="Arial" w:hAnsi="Arial" w:cs="Arial"/>
          <w:color w:val="888888"/>
          <w:sz w:val="45"/>
          <w:szCs w:val="45"/>
        </w:rPr>
      </w:pPr>
      <w:r>
        <w:rPr>
          <w:rFonts w:ascii="Arial" w:hAnsi="Arial" w:cs="Arial"/>
          <w:color w:val="888888"/>
          <w:sz w:val="45"/>
          <w:szCs w:val="45"/>
        </w:rPr>
        <w:lastRenderedPageBreak/>
        <w:t>- Albert Camus</w:t>
      </w:r>
    </w:p>
    <w:p w:rsidR="000F7FC6" w:rsidRDefault="000F7FC6" w:rsidP="000F7FC6">
      <w:pPr>
        <w:jc w:val="center"/>
        <w:rPr>
          <w:rFonts w:ascii="Arial" w:hAnsi="Arial" w:cs="Arial"/>
          <w:color w:val="888888"/>
          <w:sz w:val="45"/>
          <w:szCs w:val="45"/>
        </w:rPr>
      </w:pPr>
    </w:p>
    <w:p w:rsidR="000F7FC6" w:rsidRDefault="000F7FC6" w:rsidP="000F7FC6">
      <w:pPr>
        <w:jc w:val="center"/>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31"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32"/>
      <w:footerReference w:type="default" r:id="rId33"/>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0BB" w:rsidRDefault="00AD30BB">
      <w:r>
        <w:separator/>
      </w:r>
    </w:p>
  </w:endnote>
  <w:endnote w:type="continuationSeparator" w:id="0">
    <w:p w:rsidR="00AD30BB" w:rsidRDefault="00AD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3A448E">
          <w:rPr>
            <w:noProof/>
          </w:rPr>
          <w:t>3</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0BB" w:rsidRDefault="00AD30BB">
      <w:r>
        <w:separator/>
      </w:r>
    </w:p>
  </w:footnote>
  <w:footnote w:type="continuationSeparator" w:id="0">
    <w:p w:rsidR="00AD30BB" w:rsidRDefault="00AD30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5">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6">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5">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8">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1">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4">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7"/>
  </w:num>
  <w:num w:numId="2">
    <w:abstractNumId w:val="7"/>
  </w:num>
  <w:num w:numId="3">
    <w:abstractNumId w:val="11"/>
  </w:num>
  <w:num w:numId="4">
    <w:abstractNumId w:val="16"/>
  </w:num>
  <w:num w:numId="5">
    <w:abstractNumId w:val="2"/>
  </w:num>
  <w:num w:numId="6">
    <w:abstractNumId w:val="14"/>
  </w:num>
  <w:num w:numId="7">
    <w:abstractNumId w:val="8"/>
  </w:num>
  <w:num w:numId="8">
    <w:abstractNumId w:val="3"/>
  </w:num>
  <w:num w:numId="9">
    <w:abstractNumId w:val="23"/>
  </w:num>
  <w:num w:numId="10">
    <w:abstractNumId w:val="25"/>
  </w:num>
  <w:num w:numId="11">
    <w:abstractNumId w:val="5"/>
  </w:num>
  <w:num w:numId="12">
    <w:abstractNumId w:val="19"/>
  </w:num>
  <w:num w:numId="13">
    <w:abstractNumId w:val="32"/>
  </w:num>
  <w:num w:numId="14">
    <w:abstractNumId w:val="20"/>
  </w:num>
  <w:num w:numId="15">
    <w:abstractNumId w:val="29"/>
  </w:num>
  <w:num w:numId="16">
    <w:abstractNumId w:val="12"/>
  </w:num>
  <w:num w:numId="17">
    <w:abstractNumId w:val="24"/>
  </w:num>
  <w:num w:numId="18">
    <w:abstractNumId w:val="1"/>
  </w:num>
  <w:num w:numId="19">
    <w:abstractNumId w:val="18"/>
  </w:num>
  <w:num w:numId="20">
    <w:abstractNumId w:val="9"/>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6"/>
  </w:num>
  <w:num w:numId="24">
    <w:abstractNumId w:val="1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6"/>
  </w:num>
  <w:num w:numId="28">
    <w:abstractNumId w:val="15"/>
  </w:num>
  <w:num w:numId="29">
    <w:abstractNumId w:val="22"/>
  </w:num>
  <w:num w:numId="30">
    <w:abstractNumId w:val="15"/>
  </w:num>
  <w:num w:numId="31">
    <w:abstractNumId w:val="27"/>
  </w:num>
  <w:num w:numId="32">
    <w:abstractNumId w:val="30"/>
  </w:num>
  <w:num w:numId="33">
    <w:abstractNumId w:val="33"/>
  </w:num>
  <w:num w:numId="34">
    <w:abstractNumId w:val="4"/>
  </w:num>
  <w:num w:numId="35">
    <w:abstractNumId w:val="28"/>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20EA"/>
    <w:rsid w:val="000125D7"/>
    <w:rsid w:val="00012871"/>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8AA"/>
    <w:rsid w:val="0002784F"/>
    <w:rsid w:val="00027AD2"/>
    <w:rsid w:val="00027C6D"/>
    <w:rsid w:val="000309B4"/>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468C"/>
    <w:rsid w:val="000B62F9"/>
    <w:rsid w:val="000B6764"/>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4105"/>
    <w:rsid w:val="000D5FE7"/>
    <w:rsid w:val="000D65CF"/>
    <w:rsid w:val="000D6E27"/>
    <w:rsid w:val="000D7951"/>
    <w:rsid w:val="000D7D8C"/>
    <w:rsid w:val="000D7EEC"/>
    <w:rsid w:val="000E065B"/>
    <w:rsid w:val="000E2A83"/>
    <w:rsid w:val="000E3336"/>
    <w:rsid w:val="000E505D"/>
    <w:rsid w:val="000E5A1E"/>
    <w:rsid w:val="000E6F46"/>
    <w:rsid w:val="000E7C49"/>
    <w:rsid w:val="000E7C65"/>
    <w:rsid w:val="000F0737"/>
    <w:rsid w:val="000F09EC"/>
    <w:rsid w:val="000F0B75"/>
    <w:rsid w:val="000F1048"/>
    <w:rsid w:val="000F124D"/>
    <w:rsid w:val="000F1E63"/>
    <w:rsid w:val="000F29D3"/>
    <w:rsid w:val="000F3740"/>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238"/>
    <w:rsid w:val="0015736F"/>
    <w:rsid w:val="001578F2"/>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9EB"/>
    <w:rsid w:val="00174C46"/>
    <w:rsid w:val="00175DE8"/>
    <w:rsid w:val="00180AC1"/>
    <w:rsid w:val="00181AD3"/>
    <w:rsid w:val="001821D5"/>
    <w:rsid w:val="001826C7"/>
    <w:rsid w:val="001834E1"/>
    <w:rsid w:val="00183D2E"/>
    <w:rsid w:val="00183ED4"/>
    <w:rsid w:val="00184329"/>
    <w:rsid w:val="00184C81"/>
    <w:rsid w:val="00185DB5"/>
    <w:rsid w:val="00185EF3"/>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3C62"/>
    <w:rsid w:val="001C5297"/>
    <w:rsid w:val="001C61D9"/>
    <w:rsid w:val="001C634E"/>
    <w:rsid w:val="001C74C2"/>
    <w:rsid w:val="001D132B"/>
    <w:rsid w:val="001D155A"/>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202E"/>
    <w:rsid w:val="001E3470"/>
    <w:rsid w:val="001E369F"/>
    <w:rsid w:val="001E3CE6"/>
    <w:rsid w:val="001E3E72"/>
    <w:rsid w:val="001E4667"/>
    <w:rsid w:val="001E47BC"/>
    <w:rsid w:val="001E6981"/>
    <w:rsid w:val="001F009E"/>
    <w:rsid w:val="001F00F0"/>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309"/>
    <w:rsid w:val="00263386"/>
    <w:rsid w:val="0026584B"/>
    <w:rsid w:val="00266244"/>
    <w:rsid w:val="0026633A"/>
    <w:rsid w:val="002668F1"/>
    <w:rsid w:val="00267823"/>
    <w:rsid w:val="00271C48"/>
    <w:rsid w:val="00272B35"/>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D52"/>
    <w:rsid w:val="00312606"/>
    <w:rsid w:val="0031313B"/>
    <w:rsid w:val="003136BD"/>
    <w:rsid w:val="00313BEC"/>
    <w:rsid w:val="00313CFF"/>
    <w:rsid w:val="00314540"/>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6288"/>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04B18"/>
    <w:rsid w:val="00507A9F"/>
    <w:rsid w:val="0051022C"/>
    <w:rsid w:val="00510D6D"/>
    <w:rsid w:val="00510FDD"/>
    <w:rsid w:val="00511E96"/>
    <w:rsid w:val="0051250E"/>
    <w:rsid w:val="00512D57"/>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FA5"/>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144A"/>
    <w:rsid w:val="005C161D"/>
    <w:rsid w:val="005C2337"/>
    <w:rsid w:val="005C3FEC"/>
    <w:rsid w:val="005C51D9"/>
    <w:rsid w:val="005C6454"/>
    <w:rsid w:val="005C66CD"/>
    <w:rsid w:val="005C73E4"/>
    <w:rsid w:val="005C783E"/>
    <w:rsid w:val="005D14BE"/>
    <w:rsid w:val="005D170B"/>
    <w:rsid w:val="005D324E"/>
    <w:rsid w:val="005D3D7A"/>
    <w:rsid w:val="005D4ED2"/>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BEB"/>
    <w:rsid w:val="00601D43"/>
    <w:rsid w:val="006024C3"/>
    <w:rsid w:val="0060291F"/>
    <w:rsid w:val="00602DD8"/>
    <w:rsid w:val="0060399F"/>
    <w:rsid w:val="006042A2"/>
    <w:rsid w:val="00606BC9"/>
    <w:rsid w:val="00607307"/>
    <w:rsid w:val="006076A2"/>
    <w:rsid w:val="00607B45"/>
    <w:rsid w:val="00610944"/>
    <w:rsid w:val="00611A3E"/>
    <w:rsid w:val="00611DA7"/>
    <w:rsid w:val="006121B9"/>
    <w:rsid w:val="0061273C"/>
    <w:rsid w:val="00612826"/>
    <w:rsid w:val="00614636"/>
    <w:rsid w:val="00616D39"/>
    <w:rsid w:val="0062056B"/>
    <w:rsid w:val="00620CE4"/>
    <w:rsid w:val="00621213"/>
    <w:rsid w:val="0062168D"/>
    <w:rsid w:val="00622AD1"/>
    <w:rsid w:val="00623640"/>
    <w:rsid w:val="006256B3"/>
    <w:rsid w:val="00625729"/>
    <w:rsid w:val="00625BD2"/>
    <w:rsid w:val="00626CB1"/>
    <w:rsid w:val="00626E25"/>
    <w:rsid w:val="006307A2"/>
    <w:rsid w:val="00630919"/>
    <w:rsid w:val="00630D68"/>
    <w:rsid w:val="00631D46"/>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4F12"/>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35C"/>
    <w:rsid w:val="0076649E"/>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46F"/>
    <w:rsid w:val="007E1721"/>
    <w:rsid w:val="007E1DEA"/>
    <w:rsid w:val="007E44B9"/>
    <w:rsid w:val="007E4785"/>
    <w:rsid w:val="007E4FF5"/>
    <w:rsid w:val="007E54DC"/>
    <w:rsid w:val="007E565C"/>
    <w:rsid w:val="007E69B7"/>
    <w:rsid w:val="007E70E1"/>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7043"/>
    <w:rsid w:val="0083705C"/>
    <w:rsid w:val="00837BAE"/>
    <w:rsid w:val="00837BEA"/>
    <w:rsid w:val="008402EF"/>
    <w:rsid w:val="008407F5"/>
    <w:rsid w:val="008412E2"/>
    <w:rsid w:val="00841A93"/>
    <w:rsid w:val="00842118"/>
    <w:rsid w:val="008424A2"/>
    <w:rsid w:val="008429D4"/>
    <w:rsid w:val="0084349C"/>
    <w:rsid w:val="0084596C"/>
    <w:rsid w:val="0084610F"/>
    <w:rsid w:val="00847295"/>
    <w:rsid w:val="008501C6"/>
    <w:rsid w:val="00850207"/>
    <w:rsid w:val="0085147F"/>
    <w:rsid w:val="008536E1"/>
    <w:rsid w:val="008542A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B77"/>
    <w:rsid w:val="00A16BA1"/>
    <w:rsid w:val="00A2031D"/>
    <w:rsid w:val="00A21D3C"/>
    <w:rsid w:val="00A21E14"/>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2AF1"/>
    <w:rsid w:val="00A731AB"/>
    <w:rsid w:val="00A73843"/>
    <w:rsid w:val="00A74255"/>
    <w:rsid w:val="00A7457B"/>
    <w:rsid w:val="00A76285"/>
    <w:rsid w:val="00A76501"/>
    <w:rsid w:val="00A77F50"/>
    <w:rsid w:val="00A82399"/>
    <w:rsid w:val="00A82FFC"/>
    <w:rsid w:val="00A83053"/>
    <w:rsid w:val="00A8364B"/>
    <w:rsid w:val="00A83E96"/>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2625"/>
    <w:rsid w:val="00AC30A5"/>
    <w:rsid w:val="00AC4608"/>
    <w:rsid w:val="00AC5B8C"/>
    <w:rsid w:val="00AC6779"/>
    <w:rsid w:val="00AC69D8"/>
    <w:rsid w:val="00AC7240"/>
    <w:rsid w:val="00AC7C77"/>
    <w:rsid w:val="00AD0A20"/>
    <w:rsid w:val="00AD0D38"/>
    <w:rsid w:val="00AD0DE1"/>
    <w:rsid w:val="00AD26FB"/>
    <w:rsid w:val="00AD30BB"/>
    <w:rsid w:val="00AD37F6"/>
    <w:rsid w:val="00AD3EFB"/>
    <w:rsid w:val="00AD3FC5"/>
    <w:rsid w:val="00AD677E"/>
    <w:rsid w:val="00AD6BA7"/>
    <w:rsid w:val="00AE0266"/>
    <w:rsid w:val="00AE12AF"/>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15EB"/>
    <w:rsid w:val="00B34314"/>
    <w:rsid w:val="00B344C0"/>
    <w:rsid w:val="00B34C34"/>
    <w:rsid w:val="00B358B5"/>
    <w:rsid w:val="00B37464"/>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2C7"/>
    <w:rsid w:val="00B50AE8"/>
    <w:rsid w:val="00B51DC6"/>
    <w:rsid w:val="00B528F7"/>
    <w:rsid w:val="00B54954"/>
    <w:rsid w:val="00B549BD"/>
    <w:rsid w:val="00B54E8C"/>
    <w:rsid w:val="00B55A79"/>
    <w:rsid w:val="00B55FBE"/>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64B2"/>
    <w:rsid w:val="00C06AD9"/>
    <w:rsid w:val="00C07A16"/>
    <w:rsid w:val="00C07AF4"/>
    <w:rsid w:val="00C07F24"/>
    <w:rsid w:val="00C10171"/>
    <w:rsid w:val="00C10992"/>
    <w:rsid w:val="00C11962"/>
    <w:rsid w:val="00C11C05"/>
    <w:rsid w:val="00C12305"/>
    <w:rsid w:val="00C12528"/>
    <w:rsid w:val="00C12B52"/>
    <w:rsid w:val="00C13198"/>
    <w:rsid w:val="00C13F2D"/>
    <w:rsid w:val="00C148C3"/>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302E"/>
    <w:rsid w:val="00C347C3"/>
    <w:rsid w:val="00C3497D"/>
    <w:rsid w:val="00C3533B"/>
    <w:rsid w:val="00C365F7"/>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73F9"/>
    <w:rsid w:val="00CE12DD"/>
    <w:rsid w:val="00CE2E5E"/>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A14"/>
    <w:rsid w:val="00D05AB0"/>
    <w:rsid w:val="00D0641D"/>
    <w:rsid w:val="00D06CED"/>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10A"/>
    <w:rsid w:val="00E53DBD"/>
    <w:rsid w:val="00E543C1"/>
    <w:rsid w:val="00E54B4A"/>
    <w:rsid w:val="00E551A2"/>
    <w:rsid w:val="00E554CB"/>
    <w:rsid w:val="00E5609F"/>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A97"/>
    <w:rsid w:val="00F02D5E"/>
    <w:rsid w:val="00F03660"/>
    <w:rsid w:val="00F03F2D"/>
    <w:rsid w:val="00F04F3F"/>
    <w:rsid w:val="00F06190"/>
    <w:rsid w:val="00F07A76"/>
    <w:rsid w:val="00F11CC0"/>
    <w:rsid w:val="00F12716"/>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6BBA"/>
    <w:rsid w:val="00F67D2E"/>
    <w:rsid w:val="00F701E2"/>
    <w:rsid w:val="00F70C19"/>
    <w:rsid w:val="00F71D01"/>
    <w:rsid w:val="00F72C77"/>
    <w:rsid w:val="00F72DFE"/>
    <w:rsid w:val="00F76019"/>
    <w:rsid w:val="00F77861"/>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3A198A"/>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FFFFFF" w:themeColor="background1"/>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www.rotary.org/myrotary/en/document/rotary-peace-center-international-christian-university-fact-sheet" TargetMode="External"/><Relationship Id="rId26" Type="http://schemas.openxmlformats.org/officeDocument/2006/relationships/hyperlink" Target="https://www.rotary.org/myrotary/en/document/rotary-peace-center-chulalongkorn-university-fact-sheet" TargetMode="External"/><Relationship Id="rId3" Type="http://schemas.openxmlformats.org/officeDocument/2006/relationships/styles" Target="styles.xml"/><Relationship Id="rId21" Type="http://schemas.openxmlformats.org/officeDocument/2006/relationships/hyperlink" Target="http://www.polsis.uq.edu.au/rotary/index.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ubsite.icu.ac.jp/rotary/index.htm" TargetMode="External"/><Relationship Id="rId25" Type="http://schemas.openxmlformats.org/officeDocument/2006/relationships/hyperlink" Target="http://www.rotarychula.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otary.org/myrotary/en/document/duke-unc-rotary-peace-center-duke-university-and-unc-chapel-hill-fact-sheet" TargetMode="External"/><Relationship Id="rId20" Type="http://schemas.openxmlformats.org/officeDocument/2006/relationships/hyperlink" Target="https://www.rotary.org/myrotary/en/document/rotary-peace-centre-university-bradford-fact-sheet" TargetMode="External"/><Relationship Id="rId29" Type="http://schemas.openxmlformats.org/officeDocument/2006/relationships/hyperlink" Target="http://www.linkedin.com/groups?trk=groups_most_popular-h-logo&amp;gid=4859910&amp;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otary.org/myrotary/en/document/uppsala-rotary-peace-center-fact-shee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rotarypeacecenternc.org/" TargetMode="External"/><Relationship Id="rId23" Type="http://schemas.openxmlformats.org/officeDocument/2006/relationships/hyperlink" Target="http://www.pcr.uu.se/education/uppsala_rotary_peace_center/" TargetMode="External"/><Relationship Id="rId28" Type="http://schemas.openxmlformats.org/officeDocument/2006/relationships/hyperlink" Target="https://www.facebook.com/Rotarycenters?ref=profile" TargetMode="External"/><Relationship Id="rId10" Type="http://schemas.openxmlformats.org/officeDocument/2006/relationships/image" Target="media/image3.jpeg"/><Relationship Id="rId19" Type="http://schemas.openxmlformats.org/officeDocument/2006/relationships/hyperlink" Target="http://www.brad.ac.uk/acad/peace/rotary/" TargetMode="External"/><Relationship Id="rId31" Type="http://schemas.openxmlformats.org/officeDocument/2006/relationships/hyperlink" Target="https://www.facebook.com/RotaryClubOfKathmanduMidtow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rotarianactiongroupforpeace.org/" TargetMode="External"/><Relationship Id="rId22" Type="http://schemas.openxmlformats.org/officeDocument/2006/relationships/hyperlink" Target="https://www.rotary.org/myrotary/en/document/university-queensland-rotary-peace-centre-fact-sheet" TargetMode="External"/><Relationship Id="rId27" Type="http://schemas.openxmlformats.org/officeDocument/2006/relationships/hyperlink" Target="https://www.rotary.org/myrotary/en/get-involved/exchange-ideas/peace-fellowship-application" TargetMode="External"/><Relationship Id="rId30" Type="http://schemas.openxmlformats.org/officeDocument/2006/relationships/hyperlink" Target="http://www.rotarycapetown2016.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57B659-ED60-4F36-ACC9-65A96987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6671</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13</cp:revision>
  <dcterms:created xsi:type="dcterms:W3CDTF">2016-02-18T02:57:00Z</dcterms:created>
  <dcterms:modified xsi:type="dcterms:W3CDTF">2016-02-18T07:32:00Z</dcterms:modified>
</cp:coreProperties>
</file>