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7E54DC" w:rsidRPr="00B7362E" w:rsidRDefault="00B7362E" w:rsidP="00B7362E">
      <w:pPr>
        <w:pStyle w:val="Heading5"/>
        <w:shd w:val="clear" w:color="auto" w:fill="FFFFFF"/>
        <w:spacing w:before="48" w:after="120" w:line="343" w:lineRule="atLeast"/>
        <w:rPr>
          <w:rFonts w:ascii="FrutigerLTW01-77BlackCn" w:hAnsi="FrutigerLTW01-77BlackCn"/>
          <w:b w:val="0"/>
          <w:bCs w:val="0"/>
          <w:sz w:val="21"/>
          <w:szCs w:val="21"/>
          <w:lang w:eastAsia="en-GB"/>
        </w:rPr>
      </w:pPr>
      <w:r>
        <w:rPr>
          <w:rFonts w:ascii="FrutigerLTW01-77BlackCn" w:hAnsi="FrutigerLTW01-77BlackCn"/>
          <w:b w:val="0"/>
          <w:bCs w:val="0"/>
          <w:sz w:val="21"/>
          <w:szCs w:val="21"/>
        </w:rPr>
        <w:t>Vocational Service Month</w:t>
      </w:r>
    </w:p>
    <w:p w:rsidR="00B7362E" w:rsidRPr="00B7362E" w:rsidRDefault="00B7362E"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gridCol w:w="3977"/>
      </w:tblGrid>
      <w:tr w:rsidR="003D6FBC" w:rsidRPr="00002843" w:rsidTr="001E3470">
        <w:trPr>
          <w:gridAfter w:val="1"/>
          <w:wAfter w:w="3977" w:type="dxa"/>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3951D3" w:rsidRPr="00002843" w:rsidTr="001E3470">
        <w:trPr>
          <w:gridAfter w:val="1"/>
          <w:wAfter w:w="3977" w:type="dxa"/>
          <w:trHeight w:val="257"/>
        </w:trPr>
        <w:tc>
          <w:tcPr>
            <w:tcW w:w="2127" w:type="dxa"/>
          </w:tcPr>
          <w:p w:rsidR="003951D3" w:rsidRPr="00DA70D6" w:rsidRDefault="003951D3" w:rsidP="003951D3">
            <w:pPr>
              <w:ind w:left="80"/>
              <w:rPr>
                <w:rFonts w:cs="Arial"/>
              </w:rPr>
            </w:pPr>
            <w:r>
              <w:rPr>
                <w:rFonts w:cs="Arial"/>
              </w:rPr>
              <w:t>29 January</w:t>
            </w:r>
          </w:p>
        </w:tc>
        <w:tc>
          <w:tcPr>
            <w:tcW w:w="3402" w:type="dxa"/>
          </w:tcPr>
          <w:p w:rsidR="003951D3" w:rsidRPr="00BD26E3" w:rsidRDefault="003951D3" w:rsidP="003951D3">
            <w:pPr>
              <w:rPr>
                <w:rFonts w:cs="Arial"/>
              </w:rPr>
            </w:pPr>
            <w:r>
              <w:rPr>
                <w:rFonts w:cs="Calibri"/>
              </w:rPr>
              <w:t>Mr. Somesh Verma</w:t>
            </w:r>
          </w:p>
        </w:tc>
        <w:tc>
          <w:tcPr>
            <w:tcW w:w="5528" w:type="dxa"/>
            <w:tcBorders>
              <w:bottom w:val="single" w:sz="12" w:space="0" w:color="4F81BD"/>
            </w:tcBorders>
          </w:tcPr>
          <w:p w:rsidR="003951D3" w:rsidRDefault="003951D3" w:rsidP="003951D3">
            <w:pPr>
              <w:rPr>
                <w:rFonts w:cs="Calibri"/>
              </w:rPr>
            </w:pPr>
            <w:r>
              <w:rPr>
                <w:rFonts w:cs="Calibri"/>
              </w:rPr>
              <w:t xml:space="preserve">Why Social Media? </w:t>
            </w:r>
          </w:p>
          <w:p w:rsidR="00733573" w:rsidRDefault="00733573" w:rsidP="00247109">
            <w:pPr>
              <w:widowControl w:val="0"/>
              <w:autoSpaceDE w:val="0"/>
              <w:autoSpaceDN w:val="0"/>
              <w:adjustRightInd w:val="0"/>
              <w:spacing w:after="240" w:line="360" w:lineRule="atLeast"/>
              <w:rPr>
                <w:rFonts w:cs="Calibri"/>
              </w:rPr>
            </w:pPr>
            <w:r>
              <w:rPr>
                <w:rFonts w:cs="Calibri"/>
              </w:rPr>
              <w:t>Mr. Somesh</w:t>
            </w:r>
            <w:r w:rsidRPr="005A6485">
              <w:rPr>
                <w:rFonts w:cs="Calibri"/>
              </w:rPr>
              <w:t xml:space="preserve"> Verma prefers to be called a Communication Practitioner, rather than a journalist. In a career spanning 15 years plus, he has worked in Newspapers, Television, Web, corporate communication and public relations.</w:t>
            </w:r>
            <w:r>
              <w:rPr>
                <w:rFonts w:cs="Calibri"/>
              </w:rPr>
              <w:t xml:space="preserve"> </w:t>
            </w:r>
            <w:r w:rsidRPr="005A6485">
              <w:rPr>
                <w:rFonts w:cs="Calibri"/>
              </w:rPr>
              <w:t>Presently, Somesh works as freelance Communication Consultant and trainer in multimedia storytelling and social media</w:t>
            </w:r>
            <w:r w:rsidR="00247109">
              <w:rPr>
                <w:rFonts w:cs="Calibri"/>
              </w:rPr>
              <w:t>.</w:t>
            </w:r>
          </w:p>
          <w:p w:rsidR="00247109" w:rsidRDefault="00247109" w:rsidP="00247109">
            <w:pPr>
              <w:widowControl w:val="0"/>
              <w:autoSpaceDE w:val="0"/>
              <w:autoSpaceDN w:val="0"/>
              <w:adjustRightInd w:val="0"/>
              <w:spacing w:after="240" w:line="360" w:lineRule="atLeast"/>
              <w:rPr>
                <w:rFonts w:cs="Calibri"/>
              </w:rPr>
            </w:pPr>
            <w:r>
              <w:rPr>
                <w:rFonts w:cs="Calibri"/>
              </w:rPr>
              <w:t>For more please have a look at his side:</w:t>
            </w:r>
          </w:p>
          <w:p w:rsidR="00247109" w:rsidRDefault="00880930" w:rsidP="00247109">
            <w:pPr>
              <w:widowControl w:val="0"/>
              <w:autoSpaceDE w:val="0"/>
              <w:autoSpaceDN w:val="0"/>
              <w:adjustRightInd w:val="0"/>
              <w:spacing w:after="240" w:line="360" w:lineRule="atLeast"/>
              <w:rPr>
                <w:rFonts w:cs="Arial"/>
              </w:rPr>
            </w:pPr>
            <w:hyperlink r:id="rId10" w:history="1">
              <w:r w:rsidR="00247109" w:rsidRPr="003C4C36">
                <w:rPr>
                  <w:rStyle w:val="Hyperlink"/>
                  <w:rFonts w:cs="Arial"/>
                </w:rPr>
                <w:t>http://someshverma.com/</w:t>
              </w:r>
            </w:hyperlink>
          </w:p>
          <w:p w:rsidR="00247109" w:rsidRDefault="00247109" w:rsidP="00247109">
            <w:pPr>
              <w:widowControl w:val="0"/>
              <w:autoSpaceDE w:val="0"/>
              <w:autoSpaceDN w:val="0"/>
              <w:adjustRightInd w:val="0"/>
              <w:spacing w:after="240" w:line="360" w:lineRule="atLeast"/>
              <w:rPr>
                <w:rFonts w:cs="Arial"/>
              </w:rPr>
            </w:pPr>
            <w:r>
              <w:rPr>
                <w:rFonts w:cs="Arial"/>
              </w:rPr>
              <w:t>One definition of Social Media:</w:t>
            </w:r>
          </w:p>
          <w:p w:rsidR="00247109" w:rsidRDefault="00247109" w:rsidP="00247109">
            <w:r>
              <w:rPr>
                <w:shd w:val="clear" w:color="auto" w:fill="FFFFFF"/>
              </w:rPr>
              <w:t>Websites and applications that enable users to create and share content or to participate in social networking.</w:t>
            </w:r>
          </w:p>
          <w:p w:rsidR="00247109" w:rsidRPr="00BD26E3" w:rsidRDefault="00247109" w:rsidP="00247109">
            <w:pPr>
              <w:widowControl w:val="0"/>
              <w:autoSpaceDE w:val="0"/>
              <w:autoSpaceDN w:val="0"/>
              <w:adjustRightInd w:val="0"/>
              <w:spacing w:after="240" w:line="360" w:lineRule="atLeast"/>
              <w:rPr>
                <w:rFonts w:cs="Arial"/>
              </w:rPr>
            </w:pPr>
          </w:p>
        </w:tc>
      </w:tr>
      <w:tr w:rsidR="003951D3" w:rsidRPr="00002843" w:rsidTr="001E3470">
        <w:trPr>
          <w:trHeight w:val="743"/>
        </w:trPr>
        <w:tc>
          <w:tcPr>
            <w:tcW w:w="2127" w:type="dxa"/>
          </w:tcPr>
          <w:p w:rsidR="003951D3" w:rsidRPr="00DA70D6" w:rsidRDefault="00644302" w:rsidP="003951D3">
            <w:pPr>
              <w:ind w:left="80"/>
              <w:rPr>
                <w:rFonts w:cs="Arial"/>
              </w:rPr>
            </w:pPr>
            <w:r>
              <w:rPr>
                <w:rFonts w:cs="Arial"/>
              </w:rPr>
              <w:t xml:space="preserve">22 January </w:t>
            </w:r>
          </w:p>
        </w:tc>
        <w:tc>
          <w:tcPr>
            <w:tcW w:w="3402" w:type="dxa"/>
          </w:tcPr>
          <w:p w:rsidR="003951D3" w:rsidRPr="00BD26E3" w:rsidRDefault="00563C5F" w:rsidP="003951D3">
            <w:pPr>
              <w:spacing w:after="200" w:line="276" w:lineRule="auto"/>
              <w:rPr>
                <w:rFonts w:cs="Arial"/>
              </w:rPr>
            </w:pPr>
            <w:r w:rsidRPr="00EB2D07">
              <w:t>Bhairaja Panday</w:t>
            </w:r>
          </w:p>
        </w:tc>
        <w:tc>
          <w:tcPr>
            <w:tcW w:w="5528" w:type="dxa"/>
            <w:tcBorders>
              <w:right w:val="single" w:sz="4" w:space="0" w:color="auto"/>
            </w:tcBorders>
          </w:tcPr>
          <w:p w:rsidR="003951D3" w:rsidRPr="00565675" w:rsidRDefault="00644302" w:rsidP="003951D3">
            <w:pPr>
              <w:rPr>
                <w:rFonts w:cs="Arial"/>
                <w:color w:val="4F81BD"/>
              </w:rPr>
            </w:pPr>
            <w:r>
              <w:rPr>
                <w:rFonts w:cs="Arial"/>
                <w:color w:val="4F81BD"/>
              </w:rPr>
              <w:t xml:space="preserve">Refugees </w:t>
            </w:r>
          </w:p>
        </w:tc>
        <w:tc>
          <w:tcPr>
            <w:tcW w:w="3977" w:type="dxa"/>
            <w:tcBorders>
              <w:top w:val="nil"/>
              <w:left w:val="single" w:sz="4" w:space="0" w:color="auto"/>
              <w:bottom w:val="nil"/>
              <w:right w:val="nil"/>
            </w:tcBorders>
          </w:tcPr>
          <w:p w:rsidR="003951D3" w:rsidRPr="00565675" w:rsidRDefault="003951D3" w:rsidP="003951D3">
            <w:pPr>
              <w:rPr>
                <w:rFonts w:cs="Arial"/>
                <w:color w:val="4F81BD"/>
              </w:rPr>
            </w:pPr>
          </w:p>
        </w:tc>
      </w:tr>
      <w:tr w:rsidR="003951D3" w:rsidRPr="00002843" w:rsidTr="001E3470">
        <w:trPr>
          <w:gridAfter w:val="1"/>
          <w:wAfter w:w="3977" w:type="dxa"/>
          <w:trHeight w:val="257"/>
        </w:trPr>
        <w:tc>
          <w:tcPr>
            <w:tcW w:w="2127" w:type="dxa"/>
            <w:shd w:val="clear" w:color="auto" w:fill="4F81BD"/>
          </w:tcPr>
          <w:p w:rsidR="003951D3" w:rsidRPr="00565675" w:rsidRDefault="003951D3" w:rsidP="003951D3">
            <w:pPr>
              <w:ind w:left="80"/>
              <w:jc w:val="center"/>
              <w:rPr>
                <w:rFonts w:cs="Arial"/>
                <w:color w:val="4F81BD"/>
              </w:rPr>
            </w:pPr>
          </w:p>
        </w:tc>
        <w:tc>
          <w:tcPr>
            <w:tcW w:w="3402" w:type="dxa"/>
            <w:shd w:val="clear" w:color="auto" w:fill="4F81BD"/>
          </w:tcPr>
          <w:p w:rsidR="003951D3" w:rsidRPr="00565675" w:rsidRDefault="003951D3" w:rsidP="003951D3">
            <w:pPr>
              <w:rPr>
                <w:rFonts w:cs="Arial"/>
                <w:color w:val="4F81BD"/>
              </w:rPr>
            </w:pPr>
          </w:p>
        </w:tc>
        <w:tc>
          <w:tcPr>
            <w:tcW w:w="5528" w:type="dxa"/>
            <w:shd w:val="clear" w:color="auto" w:fill="4F81BD"/>
          </w:tcPr>
          <w:p w:rsidR="003951D3" w:rsidRPr="00565675" w:rsidRDefault="003951D3" w:rsidP="003951D3">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C516C8" w:rsidRDefault="00C516C8" w:rsidP="00C516C8">
      <w:pPr>
        <w:ind w:left="360"/>
        <w:rPr>
          <w:rFonts w:cs="Calibri"/>
        </w:rPr>
      </w:pPr>
      <w:bookmarkStart w:id="0" w:name="OLE_LINK1"/>
      <w:bookmarkStart w:id="1" w:name="OLE_LINK2"/>
      <w:r>
        <w:rPr>
          <w:rFonts w:cs="Calibri"/>
        </w:rPr>
        <w:lastRenderedPageBreak/>
        <w:t xml:space="preserve">Our Club Secretary </w:t>
      </w:r>
      <w:r w:rsidRPr="00EB2D07">
        <w:t>Bhairaja Panday</w:t>
      </w:r>
      <w:r>
        <w:rPr>
          <w:rFonts w:cs="Calibri"/>
        </w:rPr>
        <w:t xml:space="preserve"> </w:t>
      </w:r>
      <w:r w:rsidR="001E4667">
        <w:rPr>
          <w:rFonts w:cs="Calibri"/>
        </w:rPr>
        <w:t xml:space="preserve">former </w:t>
      </w:r>
      <w:r w:rsidRPr="001E4667">
        <w:t>Deputy Resident Representative,</w:t>
      </w:r>
      <w:r w:rsidR="001E4667">
        <w:t xml:space="preserve"> </w:t>
      </w:r>
      <w:r w:rsidRPr="001E4667">
        <w:t>UNHCR,</w:t>
      </w:r>
      <w:r w:rsidR="001E4667">
        <w:t xml:space="preserve"> </w:t>
      </w:r>
      <w:r w:rsidRPr="001E4667">
        <w:t>Thailand</w:t>
      </w:r>
      <w:r>
        <w:rPr>
          <w:rFonts w:cs="Calibri"/>
        </w:rPr>
        <w:t xml:space="preserve"> gave an inspiriting and participatory talk on the understanding of refugees. The speaker, introduced by PE Shankar Sharma, talked about the concept and definition of refugees and the importance of international legal protection to those recognized as such.  The members engaged in a lively debate about the complications in relation to the protection of refugees and their economic/political impact. </w:t>
      </w:r>
      <w:r w:rsidR="001E4667">
        <w:rPr>
          <w:rFonts w:cs="Calibri"/>
        </w:rPr>
        <w:t>Please below find the link requested to the Refugee Convention of 1951</w:t>
      </w:r>
    </w:p>
    <w:p w:rsidR="0076635C" w:rsidRDefault="00E5310A" w:rsidP="001E4667">
      <w:pPr>
        <w:widowControl w:val="0"/>
        <w:autoSpaceDE w:val="0"/>
        <w:autoSpaceDN w:val="0"/>
        <w:adjustRightInd w:val="0"/>
        <w:spacing w:before="120" w:after="120"/>
        <w:ind w:firstLine="360"/>
        <w:jc w:val="both"/>
        <w:rPr>
          <w:rFonts w:ascii="Arial" w:hAnsi="Arial" w:cs="Arial"/>
          <w:bCs/>
          <w:sz w:val="20"/>
          <w:szCs w:val="20"/>
        </w:rPr>
      </w:pPr>
      <w:hyperlink r:id="rId11" w:history="1">
        <w:r w:rsidRPr="00BB14F1">
          <w:rPr>
            <w:rStyle w:val="Hyperlink"/>
            <w:rFonts w:ascii="Arial" w:hAnsi="Arial" w:cs="Arial"/>
            <w:bCs/>
            <w:sz w:val="20"/>
            <w:szCs w:val="20"/>
          </w:rPr>
          <w:t>http://www.unhcr.org/pages/49da0e466.html</w:t>
        </w:r>
      </w:hyperlink>
    </w:p>
    <w:p w:rsidR="00E5310A" w:rsidRDefault="00E5310A" w:rsidP="001E4667">
      <w:pPr>
        <w:widowControl w:val="0"/>
        <w:autoSpaceDE w:val="0"/>
        <w:autoSpaceDN w:val="0"/>
        <w:adjustRightInd w:val="0"/>
        <w:spacing w:before="120" w:after="120"/>
        <w:ind w:firstLine="360"/>
        <w:jc w:val="both"/>
        <w:rPr>
          <w:rFonts w:ascii="Arial" w:hAnsi="Arial" w:cs="Arial"/>
          <w:bCs/>
          <w:sz w:val="20"/>
          <w:szCs w:val="20"/>
        </w:rPr>
      </w:pPr>
    </w:p>
    <w:p w:rsidR="00C516C8" w:rsidRDefault="00E5310A" w:rsidP="00E5310A">
      <w:pPr>
        <w:widowControl w:val="0"/>
        <w:autoSpaceDE w:val="0"/>
        <w:autoSpaceDN w:val="0"/>
        <w:adjustRightInd w:val="0"/>
        <w:spacing w:before="120" w:after="120"/>
        <w:ind w:left="360"/>
        <w:jc w:val="both"/>
        <w:rPr>
          <w:rFonts w:ascii="Arial" w:hAnsi="Arial" w:cs="Arial"/>
          <w:bCs/>
          <w:sz w:val="20"/>
          <w:szCs w:val="20"/>
        </w:rPr>
      </w:pPr>
      <w:r>
        <w:rPr>
          <w:rFonts w:ascii="Arial" w:hAnsi="Arial" w:cs="Arial"/>
          <w:bCs/>
          <w:sz w:val="20"/>
          <w:szCs w:val="20"/>
        </w:rPr>
        <w:t>January is the month of vocational training and with two interaction presentations by club members we have used January for internal training.</w:t>
      </w:r>
      <w:bookmarkStart w:id="2" w:name="_GoBack"/>
      <w:bookmarkEnd w:id="2"/>
    </w:p>
    <w:tbl>
      <w:tblPr>
        <w:tblStyle w:val="TableGrid"/>
        <w:tblW w:w="0" w:type="auto"/>
        <w:tblLook w:val="04A0" w:firstRow="1" w:lastRow="0" w:firstColumn="1" w:lastColumn="0" w:noHBand="0" w:noVBand="1"/>
      </w:tblPr>
      <w:tblGrid>
        <w:gridCol w:w="3417"/>
        <w:gridCol w:w="3522"/>
        <w:gridCol w:w="222"/>
        <w:gridCol w:w="3417"/>
        <w:gridCol w:w="222"/>
      </w:tblGrid>
      <w:tr w:rsidR="008942F3" w:rsidTr="00CE6C50">
        <w:trPr>
          <w:gridAfter w:val="1"/>
          <w:wAfter w:w="356" w:type="dxa"/>
        </w:trPr>
        <w:tc>
          <w:tcPr>
            <w:tcW w:w="3758" w:type="dxa"/>
            <w:tcBorders>
              <w:top w:val="nil"/>
              <w:left w:val="nil"/>
              <w:bottom w:val="nil"/>
              <w:right w:val="nil"/>
            </w:tcBorders>
          </w:tcPr>
          <w:p w:rsidR="00256449" w:rsidRDefault="00CE6C50" w:rsidP="00B43065">
            <w:pPr>
              <w:rPr>
                <w:rFonts w:cs="Calibri"/>
              </w:rPr>
            </w:pPr>
            <w:r w:rsidRPr="00AE1C0F">
              <w:rPr>
                <w:noProof/>
                <w:lang w:eastAsia="en-GB"/>
              </w:rPr>
              <w:drawing>
                <wp:inline distT="0" distB="0" distL="0" distR="0" wp14:anchorId="25175714" wp14:editId="0B745101">
                  <wp:extent cx="2195396" cy="1647190"/>
                  <wp:effectExtent l="0" t="0" r="0" b="0"/>
                  <wp:docPr id="2" name="Picture 2" descr="C:\Users\arasmussen\AppData\Local\Microsoft\Windows\INetCache\Content.Outlook\CBTFF60Q\imag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1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5266" cy="1669601"/>
                          </a:xfrm>
                          <a:prstGeom prst="rect">
                            <a:avLst/>
                          </a:prstGeom>
                          <a:noFill/>
                          <a:ln>
                            <a:noFill/>
                          </a:ln>
                        </pic:spPr>
                      </pic:pic>
                    </a:graphicData>
                  </a:graphic>
                </wp:inline>
              </w:drawing>
            </w:r>
          </w:p>
          <w:p w:rsidR="00F4649A" w:rsidRDefault="00F4649A" w:rsidP="00CE6C50">
            <w:pPr>
              <w:rPr>
                <w:rFonts w:cs="Calibri"/>
              </w:rPr>
            </w:pPr>
            <w:r>
              <w:rPr>
                <w:rFonts w:ascii="Arial" w:hAnsi="Arial" w:cs="Arial"/>
                <w:color w:val="404040"/>
                <w:sz w:val="22"/>
                <w:szCs w:val="22"/>
              </w:rPr>
              <w:t>.</w:t>
            </w:r>
            <w:r w:rsidR="0013253A" w:rsidRPr="00A91BE5">
              <w:rPr>
                <w:noProof/>
                <w:lang w:eastAsia="en-GB"/>
              </w:rPr>
              <w:t xml:space="preserve"> </w:t>
            </w:r>
          </w:p>
        </w:tc>
        <w:tc>
          <w:tcPr>
            <w:tcW w:w="4277" w:type="dxa"/>
            <w:tcBorders>
              <w:top w:val="nil"/>
              <w:left w:val="nil"/>
              <w:bottom w:val="nil"/>
              <w:right w:val="nil"/>
            </w:tcBorders>
          </w:tcPr>
          <w:p w:rsidR="00256449" w:rsidRDefault="00CE6C50" w:rsidP="00B43065">
            <w:pPr>
              <w:rPr>
                <w:rFonts w:cs="Calibri"/>
              </w:rPr>
            </w:pPr>
            <w:r w:rsidRPr="00AE1C0F">
              <w:rPr>
                <w:noProof/>
                <w:lang w:eastAsia="en-GB"/>
              </w:rPr>
              <w:drawing>
                <wp:inline distT="0" distB="0" distL="0" distR="0" wp14:anchorId="08544E13" wp14:editId="2543DB4D">
                  <wp:extent cx="2259330" cy="1647190"/>
                  <wp:effectExtent l="0" t="0" r="7620" b="0"/>
                  <wp:docPr id="6" name="Picture 6" descr="C:\Users\arasmussen\AppData\Local\Microsoft\Windows\INetCache\Content.Outlook\CBTFF60Q\IMG_0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58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1966" cy="1656402"/>
                          </a:xfrm>
                          <a:prstGeom prst="rect">
                            <a:avLst/>
                          </a:prstGeom>
                          <a:noFill/>
                          <a:ln>
                            <a:noFill/>
                          </a:ln>
                        </pic:spPr>
                      </pic:pic>
                    </a:graphicData>
                  </a:graphic>
                </wp:inline>
              </w:drawing>
            </w:r>
          </w:p>
        </w:tc>
        <w:tc>
          <w:tcPr>
            <w:tcW w:w="236" w:type="dxa"/>
            <w:tcBorders>
              <w:top w:val="nil"/>
              <w:left w:val="nil"/>
              <w:bottom w:val="nil"/>
              <w:right w:val="nil"/>
            </w:tcBorders>
          </w:tcPr>
          <w:p w:rsidR="00256449" w:rsidRDefault="00256449" w:rsidP="00B43065">
            <w:pPr>
              <w:rPr>
                <w:rFonts w:cs="Calibri"/>
              </w:rPr>
            </w:pPr>
          </w:p>
        </w:tc>
        <w:tc>
          <w:tcPr>
            <w:tcW w:w="2173" w:type="dxa"/>
            <w:tcBorders>
              <w:top w:val="nil"/>
              <w:left w:val="nil"/>
              <w:bottom w:val="nil"/>
              <w:right w:val="nil"/>
            </w:tcBorders>
          </w:tcPr>
          <w:p w:rsidR="00256449" w:rsidRDefault="008942F3" w:rsidP="00B43065">
            <w:pPr>
              <w:rPr>
                <w:rFonts w:cs="Calibri"/>
              </w:rPr>
            </w:pPr>
            <w:r w:rsidRPr="00EB2D07">
              <w:rPr>
                <w:rFonts w:cs="Calibri"/>
                <w:noProof/>
                <w:lang w:eastAsia="en-GB"/>
              </w:rPr>
              <w:drawing>
                <wp:inline distT="0" distB="0" distL="0" distR="0" wp14:anchorId="3740D122" wp14:editId="4CA3D15E">
                  <wp:extent cx="2195395" cy="1647190"/>
                  <wp:effectExtent l="0" t="0" r="0" b="0"/>
                  <wp:docPr id="14" name="Picture 14" descr="C:\Users\arasmussen\AppData\Local\Microsoft\Windows\INetCache\Content.Outlook\CBTFF60Q\image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1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5466" cy="1654746"/>
                          </a:xfrm>
                          <a:prstGeom prst="rect">
                            <a:avLst/>
                          </a:prstGeom>
                          <a:noFill/>
                          <a:ln>
                            <a:noFill/>
                          </a:ln>
                        </pic:spPr>
                      </pic:pic>
                    </a:graphicData>
                  </a:graphic>
                </wp:inline>
              </w:drawing>
            </w:r>
          </w:p>
        </w:tc>
      </w:tr>
      <w:tr w:rsidR="0076635C" w:rsidTr="0013253A">
        <w:tc>
          <w:tcPr>
            <w:tcW w:w="10444" w:type="dxa"/>
            <w:gridSpan w:val="4"/>
            <w:tcBorders>
              <w:top w:val="nil"/>
              <w:left w:val="nil"/>
              <w:bottom w:val="nil"/>
              <w:right w:val="nil"/>
            </w:tcBorders>
          </w:tcPr>
          <w:p w:rsidR="00184329" w:rsidRDefault="00184329" w:rsidP="008942F3">
            <w:pPr>
              <w:spacing w:after="200" w:line="276" w:lineRule="auto"/>
              <w:rPr>
                <w:rFonts w:cs="Calibri"/>
              </w:rPr>
            </w:pPr>
            <w:r>
              <w:rPr>
                <w:rFonts w:cs="Calibri"/>
              </w:rPr>
              <w:t xml:space="preserve">Rtn. Sangita Shrestha thanked the speaker for his engaging talk and mentioned the economic and social impact of large scale movement of population that’s taking place currently from Middle East to Europe as an example of huge refugee crises. </w:t>
            </w:r>
          </w:p>
          <w:p w:rsidR="00644302" w:rsidRPr="008942F3" w:rsidRDefault="00644302" w:rsidP="008942F3">
            <w:pPr>
              <w:spacing w:after="200" w:line="276" w:lineRule="auto"/>
              <w:rPr>
                <w:rFonts w:asciiTheme="minorHAnsi" w:hAnsiTheme="minorHAnsi" w:cs="Calibri"/>
                <w:color w:val="auto"/>
                <w:sz w:val="22"/>
                <w:szCs w:val="22"/>
              </w:rPr>
            </w:pPr>
            <w:r w:rsidRPr="008942F3">
              <w:rPr>
                <w:rFonts w:cs="Calibri"/>
              </w:rPr>
              <w:t>PP Dr. Lekha briefed the meeting on the progress of the toilet project she has been following</w:t>
            </w:r>
          </w:p>
          <w:p w:rsidR="00492A84" w:rsidRDefault="00492A84" w:rsidP="00061986">
            <w:r>
              <w:t xml:space="preserve">8th District Conference Dhulikhel, Kavre (February 12, 13 and 14, 2016) </w:t>
            </w:r>
            <w:r>
              <w:br/>
            </w:r>
            <w:hyperlink r:id="rId15" w:history="1">
              <w:r w:rsidR="00D45CF3" w:rsidRPr="003C4C36">
                <w:rPr>
                  <w:rStyle w:val="Hyperlink"/>
                </w:rPr>
                <w:t>http://www.rotary3292.org/wp-content/uploads/2015/07/Brochure-imposed.pdf</w:t>
              </w:r>
            </w:hyperlink>
          </w:p>
          <w:p w:rsidR="00D45CF3" w:rsidRDefault="00D45CF3" w:rsidP="00061986">
            <w:pPr>
              <w:rPr>
                <w:rFonts w:cs="Calibri"/>
              </w:rPr>
            </w:pPr>
            <w:r>
              <w:t xml:space="preserve">Please sign up and participate to support our candidate </w:t>
            </w:r>
            <w:r w:rsidR="000A40C8">
              <w:t xml:space="preserve">PP </w:t>
            </w:r>
            <w:r w:rsidR="00AC69D8">
              <w:t>Dr Chandra L</w:t>
            </w:r>
            <w:r>
              <w:t>ekha Tuladhar</w:t>
            </w:r>
          </w:p>
        </w:tc>
        <w:tc>
          <w:tcPr>
            <w:tcW w:w="356" w:type="dxa"/>
            <w:tcBorders>
              <w:top w:val="nil"/>
              <w:left w:val="nil"/>
              <w:bottom w:val="nil"/>
              <w:right w:val="nil"/>
            </w:tcBorders>
          </w:tcPr>
          <w:p w:rsidR="0076635C" w:rsidRDefault="0076635C" w:rsidP="00B43065">
            <w:pPr>
              <w:rPr>
                <w:rFonts w:cs="Calibri"/>
              </w:rPr>
            </w:pP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121B9" w:rsidRDefault="00486828" w:rsidP="00486828">
      <w:pPr>
        <w:rPr>
          <w:bCs/>
        </w:rPr>
      </w:pPr>
      <w:r>
        <w:rPr>
          <w:noProof/>
          <w:lang w:eastAsia="en-GB"/>
        </w:rPr>
        <w:drawing>
          <wp:inline distT="0" distB="0" distL="0" distR="0" wp14:anchorId="43A3D45F" wp14:editId="7F171673">
            <wp:extent cx="2390775" cy="17930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Quotes-RCB-mtg-July-8-2015,-Dalai-Lama.jpg"/>
                    <pic:cNvPicPr/>
                  </pic:nvPicPr>
                  <pic:blipFill>
                    <a:blip r:embed="rId16">
                      <a:extLst>
                        <a:ext uri="{28A0092B-C50C-407E-A947-70E740481C1C}">
                          <a14:useLocalDpi xmlns:a14="http://schemas.microsoft.com/office/drawing/2010/main" val="0"/>
                        </a:ext>
                      </a:extLst>
                    </a:blip>
                    <a:stretch>
                      <a:fillRect/>
                    </a:stretch>
                  </pic:blipFill>
                  <pic:spPr>
                    <a:xfrm>
                      <a:off x="0" y="0"/>
                      <a:ext cx="2395147" cy="1796360"/>
                    </a:xfrm>
                    <a:prstGeom prst="rect">
                      <a:avLst/>
                    </a:prstGeom>
                  </pic:spPr>
                </pic:pic>
              </a:graphicData>
            </a:graphic>
          </wp:inline>
        </w:drawing>
      </w:r>
      <w:r>
        <w:rPr>
          <w:noProof/>
          <w:lang w:eastAsia="en-GB"/>
        </w:rPr>
        <w:drawing>
          <wp:inline distT="0" distB="0" distL="0" distR="0" wp14:anchorId="33C54718" wp14:editId="32452D60">
            <wp:extent cx="2173811" cy="166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174674" cy="1667537"/>
                    </a:xfrm>
                    <a:prstGeom prst="rect">
                      <a:avLst/>
                    </a:prstGeom>
                  </pic:spPr>
                </pic:pic>
              </a:graphicData>
            </a:graphic>
          </wp:inline>
        </w:drawing>
      </w:r>
      <w:r>
        <w:rPr>
          <w:noProof/>
          <w:lang w:eastAsia="en-GB"/>
        </w:rPr>
        <w:drawing>
          <wp:inline distT="0" distB="0" distL="0" distR="0" wp14:anchorId="22EA848F" wp14:editId="19EC1CC5">
            <wp:extent cx="2226251" cy="16662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a8ca620f51e54244c7d17822a1c795.jpg"/>
                    <pic:cNvPicPr/>
                  </pic:nvPicPr>
                  <pic:blipFill>
                    <a:blip r:embed="rId18">
                      <a:extLst>
                        <a:ext uri="{28A0092B-C50C-407E-A947-70E740481C1C}">
                          <a14:useLocalDpi xmlns:a14="http://schemas.microsoft.com/office/drawing/2010/main" val="0"/>
                        </a:ext>
                      </a:extLst>
                    </a:blip>
                    <a:stretch>
                      <a:fillRect/>
                    </a:stretch>
                  </pic:blipFill>
                  <pic:spPr>
                    <a:xfrm>
                      <a:off x="0" y="0"/>
                      <a:ext cx="2261239" cy="1692427"/>
                    </a:xfrm>
                    <a:prstGeom prst="rect">
                      <a:avLst/>
                    </a:prstGeom>
                  </pic:spPr>
                </pic:pic>
              </a:graphicData>
            </a:graphic>
          </wp:inline>
        </w:drawing>
      </w:r>
    </w:p>
    <w:p w:rsidR="006121B9" w:rsidRDefault="006121B9">
      <w:pPr>
        <w:rPr>
          <w:bCs/>
        </w:rPr>
      </w:pPr>
    </w:p>
    <w:p w:rsidR="006121B9" w:rsidRDefault="006121B9">
      <w:pPr>
        <w:rPr>
          <w:bCs/>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D10142" w:rsidRPr="00690AF7" w:rsidRDefault="00D10142" w:rsidP="00E2383E">
      <w:pPr>
        <w:pStyle w:val="Heading3"/>
      </w:pPr>
    </w:p>
    <w:p w:rsidR="00E36B07" w:rsidRDefault="00E36B07" w:rsidP="00690AF7"/>
    <w:p w:rsidR="000D4105" w:rsidRDefault="00FE6106" w:rsidP="00C24799">
      <w:pPr>
        <w:rPr>
          <w:shd w:val="clear" w:color="auto" w:fill="FFFFFF"/>
        </w:rPr>
      </w:pPr>
      <w:r w:rsidRPr="00C24799">
        <w:rPr>
          <w:rFonts w:asciiTheme="minorHAnsi" w:hAnsiTheme="minorHAnsi"/>
        </w:rPr>
        <w:t>17-23 January</w:t>
      </w:r>
      <w:r>
        <w:rPr>
          <w:shd w:val="clear" w:color="auto" w:fill="FFFFFF"/>
        </w:rPr>
        <w:t xml:space="preserve"> —</w:t>
      </w:r>
      <w:r>
        <w:rPr>
          <w:rStyle w:val="apple-converted-space"/>
          <w:rFonts w:ascii="Georgia" w:hAnsi="Georgia"/>
          <w:color w:val="000000"/>
          <w:sz w:val="21"/>
          <w:szCs w:val="21"/>
          <w:shd w:val="clear" w:color="auto" w:fill="FFFFFF"/>
        </w:rPr>
        <w:t> </w:t>
      </w:r>
      <w:hyperlink r:id="rId19" w:tooltip="International Assembly" w:history="1">
        <w:r>
          <w:rPr>
            <w:rStyle w:val="Hyperlink"/>
            <w:rFonts w:ascii="Georgia" w:hAnsi="Georgia"/>
            <w:color w:val="005DAA"/>
            <w:sz w:val="21"/>
            <w:szCs w:val="21"/>
            <w:shd w:val="clear" w:color="auto" w:fill="FFFFFF"/>
          </w:rPr>
          <w:t>International Assembly</w:t>
        </w:r>
      </w:hyperlink>
      <w:r>
        <w:rPr>
          <w:shd w:val="clear" w:color="auto" w:fill="FFFFFF"/>
        </w:rPr>
        <w:t>, San Diego, California, USA</w:t>
      </w:r>
    </w:p>
    <w:p w:rsidR="00FE6106" w:rsidRDefault="00FE6106" w:rsidP="00C24799"/>
    <w:p w:rsidR="00FE6106" w:rsidRDefault="00880930" w:rsidP="00FE6106">
      <w:hyperlink r:id="rId20" w:history="1">
        <w:r w:rsidR="00FE6106" w:rsidRPr="00FE6106">
          <w:t>Rotary</w:t>
        </w:r>
      </w:hyperlink>
      <w:r w:rsidR="00FE6106">
        <w:rPr>
          <w:rFonts w:ascii="Arial" w:hAnsi="Arial" w:cs="Arial"/>
          <w:color w:val="292F33"/>
          <w:sz w:val="21"/>
          <w:szCs w:val="21"/>
          <w:shd w:val="clear" w:color="auto" w:fill="F5F8FA"/>
        </w:rPr>
        <w:t xml:space="preserve"> </w:t>
      </w:r>
      <w:r w:rsidR="00FE6106" w:rsidRPr="00FE6106">
        <w:t>President-elect John Germ announces his 2016-2017 theme of "Rotary Serving Humanity."</w:t>
      </w:r>
    </w:p>
    <w:p w:rsidR="000F1048" w:rsidRDefault="000F1048" w:rsidP="00FE6106"/>
    <w:p w:rsidR="000F1048" w:rsidRDefault="00880930" w:rsidP="000F1048">
      <w:pPr>
        <w:pStyle w:val="Heading4"/>
        <w:shd w:val="clear" w:color="auto" w:fill="FFFFFF"/>
        <w:spacing w:before="30" w:after="0"/>
        <w:rPr>
          <w:rFonts w:ascii="FrutigerLTW01-77BlackCn" w:hAnsi="FrutigerLTW01-77BlackCn"/>
          <w:b/>
          <w:bCs w:val="0"/>
          <w:caps/>
          <w:color w:val="000000"/>
          <w:sz w:val="21"/>
          <w:szCs w:val="21"/>
        </w:rPr>
      </w:pPr>
      <w:hyperlink r:id="rId21" w:history="1">
        <w:r w:rsidR="000F1048">
          <w:rPr>
            <w:rStyle w:val="Hyperlink"/>
            <w:rFonts w:ascii="FrutigerLTW01-77BlackCn" w:hAnsi="FrutigerLTW01-77BlackCn"/>
            <w:b/>
            <w:bCs w:val="0"/>
            <w:caps/>
            <w:color w:val="00246C"/>
            <w:sz w:val="21"/>
            <w:szCs w:val="21"/>
          </w:rPr>
          <w:t>DISTRICT LEADERS SET TO CELEBRATE FOUNDATION’S CENTENNIAL</w:t>
        </w:r>
      </w:hyperlink>
    </w:p>
    <w:p w:rsidR="000F1048" w:rsidRDefault="000F1048" w:rsidP="00E2383E">
      <w:pPr>
        <w:pStyle w:val="Heading3"/>
        <w:rPr>
          <w:lang w:eastAsia="en-GB"/>
        </w:rPr>
      </w:pPr>
      <w:r>
        <w:t>THE ROTARY FOUNDATION IS TURNING 100!</w:t>
      </w:r>
    </w:p>
    <w:p w:rsidR="000F1048" w:rsidRPr="000F1048" w:rsidRDefault="000F1048" w:rsidP="000F1048"/>
    <w:p w:rsidR="000F1048" w:rsidRDefault="000F1048" w:rsidP="000F1048">
      <w:pPr>
        <w:pStyle w:val="NormalWeb"/>
        <w:shd w:val="clear" w:color="auto" w:fill="FFFFFF"/>
        <w:spacing w:before="0" w:beforeAutospacing="0" w:after="0" w:afterAutospacing="0" w:line="343" w:lineRule="atLeast"/>
        <w:rPr>
          <w:rFonts w:ascii="Georgia" w:hAnsi="Georgia"/>
          <w:color w:val="000000"/>
          <w:sz w:val="21"/>
          <w:szCs w:val="21"/>
        </w:rPr>
      </w:pPr>
      <w:r w:rsidRPr="000F1048">
        <w:t xml:space="preserve">Rotary Foundation Trustee Chair Ray </w:t>
      </w:r>
      <w:proofErr w:type="spellStart"/>
      <w:r w:rsidRPr="000F1048">
        <w:t>Klinginsmith</w:t>
      </w:r>
      <w:proofErr w:type="spellEnd"/>
      <w:r w:rsidRPr="000F1048">
        <w:t xml:space="preserve"> asked district governors in training at the International Assembly to lead the celebration of the </w:t>
      </w:r>
      <w:hyperlink r:id="rId22" w:tooltip="Foundation Centennial" w:history="1">
        <w:r w:rsidRPr="000F1048">
          <w:t>Foundat...</w:t>
        </w:r>
      </w:hyperlink>
      <w:r w:rsidR="00A2592C">
        <w:t xml:space="preserve"> please see more here:</w:t>
      </w:r>
      <w:r w:rsidRPr="000F1048">
        <w:t xml:space="preserve"> </w:t>
      </w:r>
      <w:hyperlink r:id="rId23" w:history="1">
        <w:r w:rsidRPr="003C4C36">
          <w:rPr>
            <w:rStyle w:val="Hyperlink"/>
            <w:rFonts w:ascii="Georgia" w:hAnsi="Georgia"/>
            <w:sz w:val="21"/>
            <w:szCs w:val="21"/>
          </w:rPr>
          <w:t>https://www.rotary.org/myrotary/en/rotary-foundation/foundation-centennial</w:t>
        </w:r>
      </w:hyperlink>
    </w:p>
    <w:p w:rsidR="00E2383E" w:rsidRPr="00E2383E" w:rsidRDefault="00E2383E" w:rsidP="00E2383E">
      <w:pPr>
        <w:pStyle w:val="Heading3"/>
        <w:rPr>
          <w:sz w:val="27"/>
          <w:szCs w:val="27"/>
          <w:lang w:eastAsia="en-GB"/>
        </w:rPr>
      </w:pPr>
      <w:r w:rsidRPr="00E2383E">
        <w:t>DOING GOOD IN THE WORLD</w:t>
      </w:r>
    </w:p>
    <w:tbl>
      <w:tblPr>
        <w:tblStyle w:val="TableGrid"/>
        <w:tblW w:w="0" w:type="auto"/>
        <w:tblLook w:val="04A0" w:firstRow="1" w:lastRow="0" w:firstColumn="1" w:lastColumn="0" w:noHBand="0" w:noVBand="1"/>
      </w:tblPr>
      <w:tblGrid>
        <w:gridCol w:w="2547"/>
        <w:gridCol w:w="8243"/>
      </w:tblGrid>
      <w:tr w:rsidR="006F1524" w:rsidTr="006F1524">
        <w:tc>
          <w:tcPr>
            <w:tcW w:w="2547" w:type="dxa"/>
            <w:tcBorders>
              <w:top w:val="nil"/>
              <w:left w:val="nil"/>
              <w:bottom w:val="nil"/>
              <w:right w:val="nil"/>
            </w:tcBorders>
          </w:tcPr>
          <w:p w:rsidR="006F1524" w:rsidRDefault="006F1524" w:rsidP="000F1048">
            <w:pPr>
              <w:pStyle w:val="NormalWeb"/>
              <w:spacing w:before="0" w:beforeAutospacing="0" w:after="0" w:afterAutospacing="0" w:line="343" w:lineRule="atLeast"/>
              <w:rPr>
                <w:rFonts w:ascii="Georgia" w:hAnsi="Georgia"/>
                <w:color w:val="000000"/>
                <w:sz w:val="21"/>
                <w:szCs w:val="21"/>
              </w:rPr>
            </w:pPr>
            <w:r>
              <w:rPr>
                <w:noProof/>
                <w:lang w:eastAsia="en-GB"/>
              </w:rPr>
              <w:drawing>
                <wp:inline distT="0" distB="0" distL="0" distR="0" wp14:anchorId="12187B99" wp14:editId="504A61BD">
                  <wp:extent cx="1476375" cy="2172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9EN15_dustjacket.jpg"/>
                          <pic:cNvPicPr/>
                        </pic:nvPicPr>
                        <pic:blipFill>
                          <a:blip r:embed="rId24">
                            <a:extLst>
                              <a:ext uri="{28A0092B-C50C-407E-A947-70E740481C1C}">
                                <a14:useLocalDpi xmlns:a14="http://schemas.microsoft.com/office/drawing/2010/main" val="0"/>
                              </a:ext>
                            </a:extLst>
                          </a:blip>
                          <a:stretch>
                            <a:fillRect/>
                          </a:stretch>
                        </pic:blipFill>
                        <pic:spPr>
                          <a:xfrm>
                            <a:off x="0" y="0"/>
                            <a:ext cx="1479679" cy="2177241"/>
                          </a:xfrm>
                          <a:prstGeom prst="rect">
                            <a:avLst/>
                          </a:prstGeom>
                        </pic:spPr>
                      </pic:pic>
                    </a:graphicData>
                  </a:graphic>
                </wp:inline>
              </w:drawing>
            </w:r>
          </w:p>
        </w:tc>
        <w:tc>
          <w:tcPr>
            <w:tcW w:w="8243" w:type="dxa"/>
            <w:tcBorders>
              <w:top w:val="nil"/>
              <w:left w:val="nil"/>
              <w:bottom w:val="nil"/>
              <w:right w:val="nil"/>
            </w:tcBorders>
          </w:tcPr>
          <w:p w:rsidR="006F1524" w:rsidRDefault="006F1524" w:rsidP="006F1524">
            <w:pPr>
              <w:spacing w:line="240" w:lineRule="atLeast"/>
              <w:jc w:val="center"/>
              <w:rPr>
                <w:rFonts w:ascii="FrutigerLTW01-77BlackCn" w:hAnsi="FrutigerLTW01-77BlackCn"/>
                <w:b/>
                <w:bCs/>
                <w:color w:val="58585A"/>
                <w:sz w:val="21"/>
                <w:szCs w:val="21"/>
              </w:rPr>
            </w:pPr>
          </w:p>
          <w:p w:rsidR="006F1524" w:rsidRDefault="006F1524" w:rsidP="006F1524">
            <w:pPr>
              <w:spacing w:line="240" w:lineRule="atLeast"/>
              <w:jc w:val="center"/>
              <w:rPr>
                <w:rFonts w:ascii="FrutigerLTW01-77BlackCn" w:hAnsi="FrutigerLTW01-77BlackCn"/>
                <w:b/>
                <w:bCs/>
                <w:color w:val="58585A"/>
                <w:sz w:val="21"/>
                <w:szCs w:val="21"/>
              </w:rPr>
            </w:pPr>
          </w:p>
          <w:p w:rsidR="006F1524" w:rsidRDefault="006F1524" w:rsidP="006F1524">
            <w:pPr>
              <w:spacing w:line="240" w:lineRule="atLeast"/>
              <w:jc w:val="center"/>
              <w:rPr>
                <w:rFonts w:ascii="FrutigerLTW01-77BlackCn" w:hAnsi="FrutigerLTW01-77BlackCn"/>
                <w:b/>
                <w:bCs/>
                <w:color w:val="58585A"/>
                <w:sz w:val="21"/>
                <w:szCs w:val="21"/>
              </w:rPr>
            </w:pPr>
          </w:p>
          <w:p w:rsidR="006F1524" w:rsidRDefault="006F1524" w:rsidP="006F1524">
            <w:pPr>
              <w:spacing w:line="240" w:lineRule="atLeast"/>
              <w:jc w:val="center"/>
              <w:rPr>
                <w:rFonts w:ascii="FrutigerLTW01-77BlackCn" w:hAnsi="FrutigerLTW01-77BlackCn"/>
                <w:b/>
                <w:bCs/>
                <w:color w:val="58585A"/>
                <w:sz w:val="21"/>
                <w:szCs w:val="21"/>
              </w:rPr>
            </w:pPr>
          </w:p>
          <w:p w:rsidR="006F1524" w:rsidRDefault="006F1524" w:rsidP="006F1524">
            <w:pPr>
              <w:spacing w:line="240" w:lineRule="atLeast"/>
              <w:jc w:val="center"/>
              <w:rPr>
                <w:rFonts w:ascii="FrutigerLTW01-77BlackCn" w:hAnsi="FrutigerLTW01-77BlackCn"/>
                <w:color w:val="58585A"/>
                <w:sz w:val="21"/>
                <w:szCs w:val="21"/>
              </w:rPr>
            </w:pPr>
            <w:r>
              <w:rPr>
                <w:rFonts w:ascii="FrutigerLTW01-77BlackCn" w:hAnsi="FrutigerLTW01-77BlackCn"/>
                <w:b/>
                <w:bCs/>
                <w:color w:val="58585A"/>
                <w:sz w:val="21"/>
                <w:szCs w:val="21"/>
              </w:rPr>
              <w:t>The Inspiring Story of The Foundation's First 100 Years</w:t>
            </w:r>
          </w:p>
          <w:p w:rsidR="006F1524" w:rsidRDefault="006F1524" w:rsidP="006F1524">
            <w:pPr>
              <w:pStyle w:val="NormalWeb"/>
              <w:spacing w:before="0" w:beforeAutospacing="0" w:after="274" w:afterAutospacing="0" w:line="343" w:lineRule="atLeast"/>
              <w:rPr>
                <w:rFonts w:ascii="inherit" w:hAnsi="inherit"/>
                <w:color w:val="000000"/>
                <w:sz w:val="21"/>
                <w:szCs w:val="21"/>
              </w:rPr>
            </w:pPr>
            <w:r>
              <w:rPr>
                <w:rFonts w:ascii="inherit" w:hAnsi="inherit"/>
                <w:color w:val="000000"/>
                <w:sz w:val="21"/>
                <w:szCs w:val="21"/>
              </w:rPr>
              <w:t>From Rotary’s battle against the poliovirus to establishing the Rotary Peace Centers, The Rotary Foundation has a rich history.</w:t>
            </w:r>
          </w:p>
          <w:p w:rsidR="006F1524" w:rsidRDefault="006F1524" w:rsidP="006F1524">
            <w:pPr>
              <w:pStyle w:val="NormalWeb"/>
              <w:spacing w:before="0" w:beforeAutospacing="0" w:after="0" w:afterAutospacing="0" w:line="343" w:lineRule="atLeast"/>
              <w:rPr>
                <w:rFonts w:ascii="inherit" w:hAnsi="inherit"/>
                <w:color w:val="000000"/>
                <w:sz w:val="21"/>
                <w:szCs w:val="21"/>
              </w:rPr>
            </w:pPr>
            <w:r>
              <w:rPr>
                <w:rFonts w:ascii="inherit" w:hAnsi="inherit"/>
                <w:color w:val="000000"/>
                <w:sz w:val="21"/>
                <w:szCs w:val="21"/>
              </w:rPr>
              <w:t>Buy now on</w:t>
            </w:r>
            <w:r>
              <w:rPr>
                <w:rStyle w:val="apple-converted-space"/>
                <w:rFonts w:ascii="inherit" w:hAnsi="inherit"/>
                <w:color w:val="000000"/>
                <w:sz w:val="21"/>
                <w:szCs w:val="21"/>
              </w:rPr>
              <w:t> </w:t>
            </w:r>
            <w:hyperlink r:id="rId25" w:history="1">
              <w:r>
                <w:rPr>
                  <w:rStyle w:val="Hyperlink"/>
                  <w:rFonts w:ascii="inherit" w:hAnsi="inherit"/>
                  <w:color w:val="00246C"/>
                  <w:sz w:val="21"/>
                  <w:szCs w:val="21"/>
                  <w:u w:val="none"/>
                </w:rPr>
                <w:t>shop.rotary.org</w:t>
              </w:r>
            </w:hyperlink>
          </w:p>
          <w:p w:rsidR="006F1524" w:rsidRDefault="006F1524" w:rsidP="000F1048">
            <w:pPr>
              <w:pStyle w:val="NormalWeb"/>
              <w:spacing w:before="0" w:beforeAutospacing="0" w:after="0" w:afterAutospacing="0" w:line="343" w:lineRule="atLeast"/>
              <w:rPr>
                <w:rFonts w:ascii="Georgia" w:hAnsi="Georgia"/>
                <w:color w:val="000000"/>
                <w:sz w:val="21"/>
                <w:szCs w:val="21"/>
              </w:rPr>
            </w:pPr>
          </w:p>
        </w:tc>
      </w:tr>
    </w:tbl>
    <w:p w:rsidR="000F1048" w:rsidRDefault="000F1048" w:rsidP="000F1048">
      <w:pPr>
        <w:pStyle w:val="NormalWeb"/>
        <w:shd w:val="clear" w:color="auto" w:fill="FFFFFF"/>
        <w:spacing w:before="0" w:beforeAutospacing="0" w:after="0" w:afterAutospacing="0" w:line="343" w:lineRule="atLeast"/>
        <w:rPr>
          <w:rFonts w:ascii="Georgia" w:hAnsi="Georgia"/>
          <w:color w:val="000000"/>
          <w:sz w:val="21"/>
          <w:szCs w:val="21"/>
        </w:rPr>
      </w:pPr>
    </w:p>
    <w:p w:rsidR="000F1048" w:rsidRPr="00FE6106" w:rsidRDefault="00E2383E" w:rsidP="00E2383E">
      <w:pPr>
        <w:pStyle w:val="Heading3"/>
      </w:pPr>
      <w:r>
        <w:t>Rotary Story of the week</w:t>
      </w:r>
    </w:p>
    <w:p w:rsidR="00D20FEA" w:rsidRDefault="00D20FEA" w:rsidP="00D20FEA">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Style w:val="Emphasis"/>
          <w:rFonts w:ascii="Georgia" w:hAnsi="Georgia"/>
          <w:color w:val="000000"/>
          <w:sz w:val="21"/>
          <w:szCs w:val="21"/>
        </w:rPr>
        <w:t>From the</w:t>
      </w:r>
      <w:r>
        <w:rPr>
          <w:rStyle w:val="apple-converted-space"/>
          <w:rFonts w:ascii="Georgia" w:hAnsi="Georgia"/>
          <w:i/>
          <w:iCs/>
          <w:color w:val="000000"/>
          <w:sz w:val="21"/>
          <w:szCs w:val="21"/>
        </w:rPr>
        <w:t> </w:t>
      </w:r>
      <w:hyperlink r:id="rId26" w:history="1">
        <w:r>
          <w:rPr>
            <w:rStyle w:val="Hyperlink"/>
            <w:rFonts w:ascii="Georgia" w:hAnsi="Georgia"/>
            <w:i/>
            <w:iCs/>
            <w:color w:val="005DAA"/>
            <w:sz w:val="21"/>
            <w:szCs w:val="21"/>
          </w:rPr>
          <w:t>January 2016 issue</w:t>
        </w:r>
      </w:hyperlink>
      <w:r>
        <w:rPr>
          <w:rStyle w:val="apple-converted-space"/>
          <w:rFonts w:ascii="Georgia" w:hAnsi="Georgia"/>
          <w:i/>
          <w:iCs/>
          <w:color w:val="000000"/>
          <w:sz w:val="21"/>
          <w:szCs w:val="21"/>
        </w:rPr>
        <w:t> </w:t>
      </w:r>
      <w:r>
        <w:rPr>
          <w:rStyle w:val="Emphasis"/>
          <w:rFonts w:ascii="Georgia" w:hAnsi="Georgia"/>
          <w:color w:val="000000"/>
          <w:sz w:val="21"/>
          <w:szCs w:val="21"/>
        </w:rPr>
        <w:t>of</w:t>
      </w:r>
      <w:r>
        <w:rPr>
          <w:rStyle w:val="apple-converted-space"/>
          <w:rFonts w:ascii="Georgia" w:hAnsi="Georgia"/>
          <w:i/>
          <w:iCs/>
          <w:color w:val="000000"/>
          <w:sz w:val="21"/>
          <w:szCs w:val="21"/>
        </w:rPr>
        <w:t> </w:t>
      </w:r>
      <w:r>
        <w:rPr>
          <w:rFonts w:ascii="Georgia" w:hAnsi="Georgia"/>
          <w:color w:val="000000"/>
          <w:sz w:val="21"/>
          <w:szCs w:val="21"/>
        </w:rPr>
        <w:t>The Rotarian</w:t>
      </w:r>
    </w:p>
    <w:p w:rsidR="00D20FEA" w:rsidRDefault="00D20FEA" w:rsidP="00D20FEA">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In 2008, Kenton Lee was a new college graduate volunteering at an orphanage in Nairobi, Kenya, when he noticed how many children were barefoot or wearing shoes that were too small and had been cut open to let their toes stick out. He remembers thinking, “Wouldn’t it be great if there were a shoe that could adjust and expand so that kids always had a pair of shoes that fit?”</w:t>
      </w:r>
    </w:p>
    <w:p w:rsidR="00D20FEA" w:rsidRDefault="00D20FEA" w:rsidP="00D20FEA">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lastRenderedPageBreak/>
        <w:t>Six years later, that idea led to “The Shoe That Grows.” Since 2014, charity groups have distributed 8,000 pairs of the sturdy leather and rubber sandals that can be adjusted to fit five foot sizes to children across Africa, Asia, and South America.</w:t>
      </w:r>
    </w:p>
    <w:p w:rsidR="00D20FEA" w:rsidRDefault="00D20FEA" w:rsidP="00D20FEA">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“I didn’t think shoes were that important until I saw how people live in places where there’s not adequate sanitation or hygiene,” says Lee, a member of the Rotary Club of Nampa, Idaho. “Over 2 billion people have some kind of a soil-transmitted disease – hookworm is common – that enters the body through the feet. So something as simple as a pair of shoes can help kids stay healthier and stay in school.”</w:t>
      </w:r>
    </w:p>
    <w:p w:rsidR="00D20FEA" w:rsidRDefault="00D20FEA" w:rsidP="00D20FEA">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Lee says he felt enormously supported by his fellow Rotarians early on when he was feeling discouraged. After he shared his idea at a weekly meeting, “everybody loved it, and my club president got up and said, ‘We believe in you and this idea so much that we’re going to give you a donation today,’</w:t>
      </w:r>
      <w:r>
        <w:rPr>
          <w:rFonts w:ascii="Times New Roman" w:hAnsi="Times New Roman"/>
          <w:color w:val="000000"/>
          <w:sz w:val="21"/>
          <w:szCs w:val="21"/>
        </w:rPr>
        <w:t> </w:t>
      </w:r>
      <w:r>
        <w:rPr>
          <w:rFonts w:ascii="Georgia" w:hAnsi="Georgia" w:cs="Georgia"/>
          <w:color w:val="000000"/>
          <w:sz w:val="21"/>
          <w:szCs w:val="21"/>
        </w:rPr>
        <w:t>”</w:t>
      </w:r>
      <w:r>
        <w:rPr>
          <w:rFonts w:ascii="Georgia" w:hAnsi="Georgia"/>
          <w:color w:val="000000"/>
          <w:sz w:val="21"/>
          <w:szCs w:val="21"/>
        </w:rPr>
        <w:t xml:space="preserve"> he remembers. </w:t>
      </w:r>
      <w:r>
        <w:rPr>
          <w:rFonts w:ascii="Georgia" w:hAnsi="Georgia" w:cs="Georgia"/>
          <w:color w:val="000000"/>
          <w:sz w:val="21"/>
          <w:szCs w:val="21"/>
        </w:rPr>
        <w:t>“</w:t>
      </w:r>
      <w:r>
        <w:rPr>
          <w:rFonts w:ascii="Georgia" w:hAnsi="Georgia"/>
          <w:color w:val="000000"/>
          <w:sz w:val="21"/>
          <w:szCs w:val="21"/>
        </w:rPr>
        <w:t>If they would have responded differently, I don</w:t>
      </w:r>
      <w:r>
        <w:rPr>
          <w:rFonts w:ascii="Georgia" w:hAnsi="Georgia" w:cs="Georgia"/>
          <w:color w:val="000000"/>
          <w:sz w:val="21"/>
          <w:szCs w:val="21"/>
        </w:rPr>
        <w:t>’</w:t>
      </w:r>
      <w:r>
        <w:rPr>
          <w:rFonts w:ascii="Georgia" w:hAnsi="Georgia"/>
          <w:color w:val="000000"/>
          <w:sz w:val="21"/>
          <w:szCs w:val="21"/>
        </w:rPr>
        <w:t>t know if we would be here today. I got so much confidence from that.</w:t>
      </w:r>
      <w:r>
        <w:rPr>
          <w:rFonts w:ascii="Georgia" w:hAnsi="Georgia" w:cs="Georgia"/>
          <w:color w:val="000000"/>
          <w:sz w:val="21"/>
          <w:szCs w:val="21"/>
        </w:rPr>
        <w:t>”</w:t>
      </w:r>
    </w:p>
    <w:p w:rsidR="00101B59" w:rsidRPr="00690AF7" w:rsidRDefault="00101B59" w:rsidP="00E2383E">
      <w:pPr>
        <w:pStyle w:val="Heading3"/>
      </w:pP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0"/>
    <w:bookmarkEnd w:id="1"/>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392260" w:rsidRDefault="00392260" w:rsidP="00392260">
      <w:pPr>
        <w:pStyle w:val="PlainText"/>
      </w:pPr>
    </w:p>
    <w:p w:rsidR="00E2383E" w:rsidRDefault="00E2383E" w:rsidP="00E2383E">
      <w:pPr>
        <w:jc w:val="center"/>
        <w:rPr>
          <w:rFonts w:ascii="Times New Roman" w:hAnsi="Times New Roman"/>
          <w:lang w:eastAsia="en-GB"/>
        </w:rPr>
      </w:pPr>
      <w:r>
        <w:t>It is not always the same thing to be a good man and a good citizen.</w:t>
      </w:r>
    </w:p>
    <w:p w:rsidR="00E2383E" w:rsidRDefault="00E2383E" w:rsidP="00E2383E">
      <w:pPr>
        <w:jc w:val="center"/>
      </w:pPr>
      <w:r>
        <w:t>-Aristotle, philosopher (384-322 BCE)</w:t>
      </w:r>
    </w:p>
    <w:p w:rsidR="003E3877" w:rsidRDefault="003E3877"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7"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p w:rsidR="006256B3" w:rsidRDefault="00A07D65" w:rsidP="00E2383E">
      <w:pPr>
        <w:pStyle w:val="Heading3"/>
      </w:pPr>
      <w:r w:rsidRPr="004A0F16">
        <w:t>Just for the laugh</w:t>
      </w:r>
    </w:p>
    <w:p w:rsidR="00836644" w:rsidRPr="00836644" w:rsidRDefault="00836644" w:rsidP="00836644"/>
    <w:sectPr w:rsidR="00836644" w:rsidRPr="00836644" w:rsidSect="007A712A">
      <w:headerReference w:type="even" r:id="rId28"/>
      <w:footerReference w:type="default" r:id="rId29"/>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30" w:rsidRDefault="00880930">
      <w:r>
        <w:separator/>
      </w:r>
    </w:p>
  </w:endnote>
  <w:endnote w:type="continuationSeparator" w:id="0">
    <w:p w:rsidR="00880930" w:rsidRDefault="00880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E5310A">
          <w:rPr>
            <w:noProof/>
          </w:rPr>
          <w:t>4</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30" w:rsidRDefault="00880930">
      <w:r>
        <w:separator/>
      </w:r>
    </w:p>
  </w:footnote>
  <w:footnote w:type="continuationSeparator" w:id="0">
    <w:p w:rsidR="00880930" w:rsidRDefault="00880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7">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9">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1">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5"/>
  </w:num>
  <w:num w:numId="5">
    <w:abstractNumId w:val="2"/>
  </w:num>
  <w:num w:numId="6">
    <w:abstractNumId w:val="13"/>
  </w:num>
  <w:num w:numId="7">
    <w:abstractNumId w:val="7"/>
  </w:num>
  <w:num w:numId="8">
    <w:abstractNumId w:val="3"/>
  </w:num>
  <w:num w:numId="9">
    <w:abstractNumId w:val="22"/>
  </w:num>
  <w:num w:numId="10">
    <w:abstractNumId w:val="24"/>
  </w:num>
  <w:num w:numId="11">
    <w:abstractNumId w:val="4"/>
  </w:num>
  <w:num w:numId="12">
    <w:abstractNumId w:val="18"/>
  </w:num>
  <w:num w:numId="13">
    <w:abstractNumId w:val="29"/>
  </w:num>
  <w:num w:numId="14">
    <w:abstractNumId w:val="19"/>
  </w:num>
  <w:num w:numId="15">
    <w:abstractNumId w:val="27"/>
  </w:num>
  <w:num w:numId="16">
    <w:abstractNumId w:val="11"/>
  </w:num>
  <w:num w:numId="17">
    <w:abstractNumId w:val="23"/>
  </w:num>
  <w:num w:numId="18">
    <w:abstractNumId w:val="1"/>
  </w:num>
  <w:num w:numId="19">
    <w:abstractNumId w:val="17"/>
  </w:num>
  <w:num w:numId="20">
    <w:abstractNumId w:val="8"/>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4"/>
  </w:num>
  <w:num w:numId="29">
    <w:abstractNumId w:val="21"/>
  </w:num>
  <w:num w:numId="30">
    <w:abstractNumId w:val="14"/>
  </w:num>
  <w:num w:numId="31">
    <w:abstractNumId w:val="26"/>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5D7"/>
    <w:rsid w:val="00012871"/>
    <w:rsid w:val="00014329"/>
    <w:rsid w:val="00014D21"/>
    <w:rsid w:val="00015A62"/>
    <w:rsid w:val="00017B69"/>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B75"/>
    <w:rsid w:val="000F1048"/>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329"/>
    <w:rsid w:val="00184C81"/>
    <w:rsid w:val="00185DB5"/>
    <w:rsid w:val="00185EF3"/>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470"/>
    <w:rsid w:val="001E369F"/>
    <w:rsid w:val="001E3CE6"/>
    <w:rsid w:val="001E3E72"/>
    <w:rsid w:val="001E4667"/>
    <w:rsid w:val="001E47BC"/>
    <w:rsid w:val="001E6981"/>
    <w:rsid w:val="001F009E"/>
    <w:rsid w:val="001F00F0"/>
    <w:rsid w:val="001F0B2D"/>
    <w:rsid w:val="001F0BAA"/>
    <w:rsid w:val="001F0C7B"/>
    <w:rsid w:val="001F1D45"/>
    <w:rsid w:val="001F2CFD"/>
    <w:rsid w:val="001F383D"/>
    <w:rsid w:val="001F3CA1"/>
    <w:rsid w:val="001F3FA9"/>
    <w:rsid w:val="001F43B3"/>
    <w:rsid w:val="001F4677"/>
    <w:rsid w:val="001F5BBF"/>
    <w:rsid w:val="001F607D"/>
    <w:rsid w:val="00200148"/>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60BE"/>
    <w:rsid w:val="00256449"/>
    <w:rsid w:val="00256931"/>
    <w:rsid w:val="002579EB"/>
    <w:rsid w:val="00261453"/>
    <w:rsid w:val="00262309"/>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6BD"/>
    <w:rsid w:val="00313BEC"/>
    <w:rsid w:val="00313CFF"/>
    <w:rsid w:val="00314540"/>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221C"/>
    <w:rsid w:val="003A28C9"/>
    <w:rsid w:val="003A3731"/>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D7513"/>
    <w:rsid w:val="005E01CD"/>
    <w:rsid w:val="005E0D35"/>
    <w:rsid w:val="005E1D4A"/>
    <w:rsid w:val="005E20A7"/>
    <w:rsid w:val="005E2B85"/>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1B9"/>
    <w:rsid w:val="0061273C"/>
    <w:rsid w:val="00612826"/>
    <w:rsid w:val="00614636"/>
    <w:rsid w:val="00616D3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6644"/>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2A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208D"/>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4C0"/>
    <w:rsid w:val="00B34C34"/>
    <w:rsid w:val="00B358B5"/>
    <w:rsid w:val="00B37464"/>
    <w:rsid w:val="00B4027E"/>
    <w:rsid w:val="00B40507"/>
    <w:rsid w:val="00B4079E"/>
    <w:rsid w:val="00B416EF"/>
    <w:rsid w:val="00B418C8"/>
    <w:rsid w:val="00B427B3"/>
    <w:rsid w:val="00B4303C"/>
    <w:rsid w:val="00B43065"/>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315B"/>
    <w:rsid w:val="00BF429D"/>
    <w:rsid w:val="00BF4E59"/>
    <w:rsid w:val="00BF5D63"/>
    <w:rsid w:val="00BF62D9"/>
    <w:rsid w:val="00BF63A0"/>
    <w:rsid w:val="00BF79C7"/>
    <w:rsid w:val="00BF7D3A"/>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E6C50"/>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383E"/>
    <w:rsid w:val="00E247CA"/>
    <w:rsid w:val="00E24D6B"/>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609F"/>
    <w:rsid w:val="00E576E6"/>
    <w:rsid w:val="00E57D71"/>
    <w:rsid w:val="00E602BC"/>
    <w:rsid w:val="00E61A54"/>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E2383E"/>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yperlink" Target="https://www.rotary.org/myrotary/en/node/228186" TargetMode="External"/><Relationship Id="rId3" Type="http://schemas.openxmlformats.org/officeDocument/2006/relationships/styles" Target="styles.xml"/><Relationship Id="rId21" Type="http://schemas.openxmlformats.org/officeDocument/2006/relationships/hyperlink" Target="https://www.rotary.org/myrotary/en/news-media/district-leaders-set-celebrate-foundations-centennia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g"/><Relationship Id="rId25" Type="http://schemas.openxmlformats.org/officeDocument/2006/relationships/hyperlink" Target="http://shop.rotary.org/"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twitter.com/hashtag/Rotary?src=has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hcr.org/pages/49da0e466.html"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www.rotary3292.org/wp-content/uploads/2015/07/Brochure-imposed.pdf" TargetMode="External"/><Relationship Id="rId23" Type="http://schemas.openxmlformats.org/officeDocument/2006/relationships/hyperlink" Target="https://www.rotary.org/myrotary/en/rotary-foundation/foundation-centennial" TargetMode="External"/><Relationship Id="rId28" Type="http://schemas.openxmlformats.org/officeDocument/2006/relationships/header" Target="header1.xml"/><Relationship Id="rId10" Type="http://schemas.openxmlformats.org/officeDocument/2006/relationships/hyperlink" Target="http://someshverma.com/" TargetMode="External"/><Relationship Id="rId19" Type="http://schemas.openxmlformats.org/officeDocument/2006/relationships/hyperlink" Target="https://www.rotary.org/myrotary/en/exchange-ideas/events/international-assembl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www.rotary.org/myrotary/en/rotary-foundation/foundation-centennial" TargetMode="External"/><Relationship Id="rId27" Type="http://schemas.openxmlformats.org/officeDocument/2006/relationships/hyperlink" Target="https://www.facebook.com/RotaryClubOfKathmanduMidtow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FA2D2E-2A8A-4D60-9CC0-9BA797C6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6508</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22</cp:revision>
  <dcterms:created xsi:type="dcterms:W3CDTF">2016-01-27T09:01:00Z</dcterms:created>
  <dcterms:modified xsi:type="dcterms:W3CDTF">2016-01-28T12:03:00Z</dcterms:modified>
</cp:coreProperties>
</file>