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7E54DC" w:rsidRPr="00B7362E" w:rsidRDefault="00B7362E" w:rsidP="00B7362E">
      <w:pPr>
        <w:pStyle w:val="Heading5"/>
        <w:shd w:val="clear" w:color="auto" w:fill="FFFFFF"/>
        <w:spacing w:before="48" w:after="120" w:line="343" w:lineRule="atLeast"/>
        <w:rPr>
          <w:rFonts w:ascii="FrutigerLTW01-77BlackCn" w:hAnsi="FrutigerLTW01-77BlackCn"/>
          <w:b w:val="0"/>
          <w:bCs w:val="0"/>
          <w:sz w:val="21"/>
          <w:szCs w:val="21"/>
          <w:lang w:eastAsia="en-GB"/>
        </w:rPr>
      </w:pPr>
      <w:r>
        <w:rPr>
          <w:rFonts w:ascii="FrutigerLTW01-77BlackCn" w:hAnsi="FrutigerLTW01-77BlackCn"/>
          <w:b w:val="0"/>
          <w:bCs w:val="0"/>
          <w:sz w:val="21"/>
          <w:szCs w:val="21"/>
        </w:rPr>
        <w:t>Vocational Service Month</w:t>
      </w:r>
    </w:p>
    <w:p w:rsidR="00B7362E" w:rsidRPr="00B7362E" w:rsidRDefault="00B7362E"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gridCol w:w="3977"/>
      </w:tblGrid>
      <w:tr w:rsidR="003D6FBC" w:rsidRPr="00002843" w:rsidTr="001E3470">
        <w:trPr>
          <w:gridAfter w:val="1"/>
          <w:wAfter w:w="3977" w:type="dxa"/>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9C19AD" w:rsidRPr="00002843" w:rsidTr="001E3470">
        <w:trPr>
          <w:gridAfter w:val="1"/>
          <w:wAfter w:w="3977" w:type="dxa"/>
          <w:trHeight w:val="257"/>
        </w:trPr>
        <w:tc>
          <w:tcPr>
            <w:tcW w:w="2127" w:type="dxa"/>
          </w:tcPr>
          <w:p w:rsidR="009C19AD" w:rsidRPr="00DA70D6" w:rsidRDefault="001E3470" w:rsidP="00E7162E">
            <w:pPr>
              <w:ind w:left="80"/>
              <w:rPr>
                <w:rFonts w:cs="Arial"/>
              </w:rPr>
            </w:pPr>
            <w:r>
              <w:rPr>
                <w:rFonts w:cs="Arial"/>
              </w:rPr>
              <w:t>15 January 2016</w:t>
            </w:r>
          </w:p>
        </w:tc>
        <w:tc>
          <w:tcPr>
            <w:tcW w:w="3402" w:type="dxa"/>
          </w:tcPr>
          <w:p w:rsidR="006E21EE" w:rsidRPr="00BD26E3" w:rsidRDefault="006E21EE" w:rsidP="002D394C">
            <w:pPr>
              <w:rPr>
                <w:rFonts w:cs="Arial"/>
              </w:rPr>
            </w:pPr>
          </w:p>
        </w:tc>
        <w:tc>
          <w:tcPr>
            <w:tcW w:w="5528" w:type="dxa"/>
            <w:tcBorders>
              <w:bottom w:val="single" w:sz="12" w:space="0" w:color="4F81BD"/>
            </w:tcBorders>
          </w:tcPr>
          <w:p w:rsidR="009C19AD" w:rsidRPr="001E3470" w:rsidRDefault="001E3470" w:rsidP="002D394C">
            <w:pPr>
              <w:rPr>
                <w:rFonts w:cs="Arial"/>
                <w:b/>
                <w:color w:val="4F81BD"/>
              </w:rPr>
            </w:pPr>
            <w:r w:rsidRPr="001E3470">
              <w:rPr>
                <w:rFonts w:cs="Calibri"/>
                <w:b/>
              </w:rPr>
              <w:t>Homage to late PP Niranjan Pradhan</w:t>
            </w:r>
            <w:r w:rsidR="00130D94">
              <w:rPr>
                <w:rFonts w:cs="Calibri"/>
                <w:b/>
              </w:rPr>
              <w:t xml:space="preserve">, </w:t>
            </w:r>
            <w:r w:rsidR="00130D94">
              <w:t xml:space="preserve">Charter Member and </w:t>
            </w:r>
            <w:r w:rsidR="00130D94">
              <w:t>Past President</w:t>
            </w:r>
          </w:p>
        </w:tc>
      </w:tr>
      <w:tr w:rsidR="00BB3863" w:rsidRPr="00002843" w:rsidTr="001E3470">
        <w:trPr>
          <w:trHeight w:val="743"/>
        </w:trPr>
        <w:tc>
          <w:tcPr>
            <w:tcW w:w="2127" w:type="dxa"/>
          </w:tcPr>
          <w:p w:rsidR="00BB3863" w:rsidRPr="00DA70D6" w:rsidRDefault="00130D94" w:rsidP="00130D94">
            <w:pPr>
              <w:ind w:left="80"/>
              <w:rPr>
                <w:rFonts w:cs="Arial"/>
              </w:rPr>
            </w:pPr>
            <w:r>
              <w:rPr>
                <w:rFonts w:cs="Arial"/>
              </w:rPr>
              <w:t>08 January 2016</w:t>
            </w:r>
          </w:p>
        </w:tc>
        <w:tc>
          <w:tcPr>
            <w:tcW w:w="3402" w:type="dxa"/>
          </w:tcPr>
          <w:p w:rsidR="00BB3863" w:rsidRDefault="00130D94" w:rsidP="00130D94">
            <w:pPr>
              <w:rPr>
                <w:rFonts w:cs="Calibri"/>
              </w:rPr>
            </w:pPr>
            <w:r>
              <w:rPr>
                <w:rFonts w:cs="Calibri"/>
              </w:rPr>
              <w:t>In-house speaker Rtn. Dr Buddha Basnyat</w:t>
            </w:r>
            <w:r>
              <w:rPr>
                <w:rFonts w:cs="Calibri"/>
              </w:rPr>
              <w:t xml:space="preserve"> with very little notice gave a both knowable and funny talk on High Altitude Sickness, the Indian-Chinese war and pilgrims issues on altitude sickness. A few highlights:</w:t>
            </w:r>
          </w:p>
          <w:p w:rsidR="00130D94" w:rsidRPr="00130D94" w:rsidRDefault="00130D94" w:rsidP="00130D94">
            <w:pPr>
              <w:spacing w:after="200" w:line="276" w:lineRule="auto"/>
              <w:rPr>
                <w:rFonts w:asciiTheme="minorHAnsi" w:hAnsiTheme="minorHAnsi" w:cs="Calibri"/>
                <w:color w:val="auto"/>
                <w:sz w:val="22"/>
                <w:szCs w:val="22"/>
              </w:rPr>
            </w:pPr>
            <w:r w:rsidRPr="00130D94">
              <w:rPr>
                <w:rFonts w:cs="Calibri"/>
              </w:rPr>
              <w:t xml:space="preserve">“Listen to your body” while attempting high altitudes </w:t>
            </w:r>
          </w:p>
          <w:p w:rsidR="00130D94" w:rsidRPr="00130D94" w:rsidRDefault="00130D94" w:rsidP="00130D94">
            <w:pPr>
              <w:spacing w:after="200" w:line="276" w:lineRule="auto"/>
              <w:rPr>
                <w:rFonts w:cs="Calibri"/>
              </w:rPr>
            </w:pPr>
            <w:r w:rsidRPr="00130D94">
              <w:rPr>
                <w:rFonts w:cs="Calibri"/>
              </w:rPr>
              <w:t>Going up too fast can be extremely dangerous as also discovered by the Indian soldiers during the India/China war in the 60s.</w:t>
            </w:r>
          </w:p>
          <w:p w:rsidR="00130D94" w:rsidRPr="00130D94" w:rsidRDefault="00130D94" w:rsidP="00130D94">
            <w:pPr>
              <w:spacing w:after="200" w:line="276" w:lineRule="auto"/>
              <w:rPr>
                <w:rFonts w:cs="Calibri"/>
              </w:rPr>
            </w:pPr>
            <w:r w:rsidRPr="00130D94">
              <w:rPr>
                <w:rFonts w:cs="Calibri"/>
              </w:rPr>
              <w:t>Altitude sickness often misdiagnosed as pneumonia</w:t>
            </w:r>
          </w:p>
          <w:p w:rsidR="00130D94" w:rsidRPr="00BD26E3" w:rsidRDefault="00130D94" w:rsidP="00130D94">
            <w:pPr>
              <w:spacing w:after="200" w:line="276" w:lineRule="auto"/>
              <w:rPr>
                <w:rFonts w:cs="Arial"/>
              </w:rPr>
            </w:pPr>
            <w:r w:rsidRPr="00130D94">
              <w:rPr>
                <w:rFonts w:cs="Calibri"/>
              </w:rPr>
              <w:t xml:space="preserve">The problem is huge since millions of people go on pilgrimage to high altitudes (above 2500-3000 meters) like Kailash </w:t>
            </w:r>
          </w:p>
        </w:tc>
        <w:tc>
          <w:tcPr>
            <w:tcW w:w="5528" w:type="dxa"/>
            <w:tcBorders>
              <w:right w:val="single" w:sz="4" w:space="0" w:color="auto"/>
            </w:tcBorders>
          </w:tcPr>
          <w:p w:rsidR="00BB3863" w:rsidRPr="00565675" w:rsidRDefault="00BC7D46" w:rsidP="00BB3863">
            <w:pPr>
              <w:rPr>
                <w:rFonts w:cs="Arial"/>
                <w:color w:val="4F81BD"/>
              </w:rPr>
            </w:pPr>
            <w:r w:rsidRPr="00514E32">
              <w:rPr>
                <w:noProof/>
                <w:lang w:eastAsia="en-GB"/>
              </w:rPr>
              <w:drawing>
                <wp:inline distT="0" distB="0" distL="0" distR="0" wp14:anchorId="78B66B35" wp14:editId="093BCD9D">
                  <wp:extent cx="3448050" cy="2584019"/>
                  <wp:effectExtent l="0" t="0" r="0" b="6985"/>
                  <wp:docPr id="10" name="Picture 10" descr="C:\Users\arasmussen\AppData\Local\Microsoft\Windows\INetCache\Content.Outlook\CBTFF60Q\IMG_0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5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889" cy="2604133"/>
                          </a:xfrm>
                          <a:prstGeom prst="rect">
                            <a:avLst/>
                          </a:prstGeom>
                          <a:noFill/>
                          <a:ln>
                            <a:noFill/>
                          </a:ln>
                        </pic:spPr>
                      </pic:pic>
                    </a:graphicData>
                  </a:graphic>
                </wp:inline>
              </w:drawing>
            </w:r>
          </w:p>
        </w:tc>
        <w:tc>
          <w:tcPr>
            <w:tcW w:w="3977" w:type="dxa"/>
            <w:tcBorders>
              <w:top w:val="nil"/>
              <w:left w:val="single" w:sz="4" w:space="0" w:color="auto"/>
              <w:bottom w:val="nil"/>
              <w:right w:val="nil"/>
            </w:tcBorders>
          </w:tcPr>
          <w:p w:rsidR="00BB3863" w:rsidRPr="00565675" w:rsidRDefault="00BB3863" w:rsidP="00BB3863">
            <w:pPr>
              <w:rPr>
                <w:rFonts w:cs="Arial"/>
                <w:color w:val="4F81BD"/>
              </w:rPr>
            </w:pPr>
          </w:p>
        </w:tc>
      </w:tr>
      <w:tr w:rsidR="00BB3863" w:rsidRPr="00002843" w:rsidTr="001E3470">
        <w:trPr>
          <w:gridAfter w:val="1"/>
          <w:wAfter w:w="3977" w:type="dxa"/>
          <w:trHeight w:val="257"/>
        </w:trPr>
        <w:tc>
          <w:tcPr>
            <w:tcW w:w="2127" w:type="dxa"/>
            <w:shd w:val="clear" w:color="auto" w:fill="4F81BD"/>
          </w:tcPr>
          <w:p w:rsidR="00BB3863" w:rsidRPr="00565675" w:rsidRDefault="00BB3863" w:rsidP="00BB3863">
            <w:pPr>
              <w:ind w:left="80"/>
              <w:jc w:val="center"/>
              <w:rPr>
                <w:rFonts w:cs="Arial"/>
                <w:color w:val="4F81BD"/>
              </w:rPr>
            </w:pPr>
          </w:p>
        </w:tc>
        <w:tc>
          <w:tcPr>
            <w:tcW w:w="3402" w:type="dxa"/>
            <w:shd w:val="clear" w:color="auto" w:fill="4F81BD"/>
          </w:tcPr>
          <w:p w:rsidR="00BB3863" w:rsidRPr="00565675" w:rsidRDefault="00BB3863" w:rsidP="00BB3863">
            <w:pPr>
              <w:rPr>
                <w:rFonts w:cs="Arial"/>
                <w:color w:val="4F81BD"/>
              </w:rPr>
            </w:pPr>
          </w:p>
        </w:tc>
        <w:tc>
          <w:tcPr>
            <w:tcW w:w="5528" w:type="dxa"/>
            <w:shd w:val="clear" w:color="auto" w:fill="4F81BD"/>
          </w:tcPr>
          <w:p w:rsidR="00BB3863" w:rsidRPr="00565675" w:rsidRDefault="00BB3863" w:rsidP="00BB3863">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lastRenderedPageBreak/>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76635C" w:rsidRDefault="0076635C" w:rsidP="00B43065">
      <w:pPr>
        <w:widowControl w:val="0"/>
        <w:autoSpaceDE w:val="0"/>
        <w:autoSpaceDN w:val="0"/>
        <w:adjustRightInd w:val="0"/>
        <w:spacing w:before="120" w:after="120"/>
        <w:ind w:hanging="142"/>
        <w:jc w:val="both"/>
        <w:rPr>
          <w:rFonts w:ascii="Arial" w:hAnsi="Arial" w:cs="Arial"/>
          <w:bCs/>
          <w:sz w:val="20"/>
          <w:szCs w:val="20"/>
        </w:rPr>
      </w:pPr>
      <w:bookmarkStart w:id="0" w:name="OLE_LINK1"/>
      <w:bookmarkStart w:id="1" w:name="OLE_LINK2"/>
    </w:p>
    <w:tbl>
      <w:tblPr>
        <w:tblStyle w:val="TableGrid"/>
        <w:tblW w:w="0" w:type="auto"/>
        <w:tblLook w:val="04A0" w:firstRow="1" w:lastRow="0" w:firstColumn="1" w:lastColumn="0" w:noHBand="0" w:noVBand="1"/>
      </w:tblPr>
      <w:tblGrid>
        <w:gridCol w:w="3186"/>
        <w:gridCol w:w="3186"/>
        <w:gridCol w:w="3186"/>
        <w:gridCol w:w="249"/>
        <w:gridCol w:w="739"/>
        <w:gridCol w:w="249"/>
      </w:tblGrid>
      <w:tr w:rsidR="00256449" w:rsidTr="00256449">
        <w:trPr>
          <w:gridAfter w:val="2"/>
          <w:wAfter w:w="988" w:type="dxa"/>
        </w:trPr>
        <w:tc>
          <w:tcPr>
            <w:tcW w:w="3186" w:type="dxa"/>
            <w:tcBorders>
              <w:top w:val="nil"/>
              <w:left w:val="nil"/>
              <w:bottom w:val="nil"/>
              <w:right w:val="nil"/>
            </w:tcBorders>
          </w:tcPr>
          <w:p w:rsidR="00256449" w:rsidRDefault="00B7362E" w:rsidP="00B43065">
            <w:pPr>
              <w:rPr>
                <w:rFonts w:cs="Calibri"/>
              </w:rPr>
            </w:pPr>
            <w:r w:rsidRPr="00514E32">
              <w:rPr>
                <w:noProof/>
                <w:lang w:eastAsia="en-GB"/>
              </w:rPr>
              <w:drawing>
                <wp:inline distT="0" distB="0" distL="0" distR="0" wp14:anchorId="46E7E0B2" wp14:editId="48A3E30E">
                  <wp:extent cx="2185911" cy="1638153"/>
                  <wp:effectExtent l="7302" t="0" r="0" b="0"/>
                  <wp:docPr id="11" name="Picture 11" descr="C:\Users\arasmussen\AppData\Local\Microsoft\Windows\INetCache\Content.Outlook\CBTFF60Q\IMG_0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5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206396" cy="1653505"/>
                          </a:xfrm>
                          <a:prstGeom prst="rect">
                            <a:avLst/>
                          </a:prstGeom>
                          <a:noFill/>
                          <a:ln>
                            <a:noFill/>
                          </a:ln>
                        </pic:spPr>
                      </pic:pic>
                    </a:graphicData>
                  </a:graphic>
                </wp:inline>
              </w:drawing>
            </w:r>
          </w:p>
        </w:tc>
        <w:tc>
          <w:tcPr>
            <w:tcW w:w="3186" w:type="dxa"/>
            <w:tcBorders>
              <w:top w:val="single" w:sz="4" w:space="0" w:color="auto"/>
              <w:left w:val="nil"/>
              <w:bottom w:val="nil"/>
              <w:right w:val="nil"/>
            </w:tcBorders>
          </w:tcPr>
          <w:p w:rsidR="00256449" w:rsidRDefault="00256449" w:rsidP="00B43065">
            <w:pPr>
              <w:rPr>
                <w:rFonts w:cs="Calibri"/>
              </w:rPr>
            </w:pPr>
            <w:r w:rsidRPr="00514E32">
              <w:rPr>
                <w:noProof/>
                <w:lang w:eastAsia="en-GB"/>
              </w:rPr>
              <w:drawing>
                <wp:inline distT="0" distB="0" distL="0" distR="0" wp14:anchorId="45D496B3" wp14:editId="07A63BCE">
                  <wp:extent cx="1880221" cy="1409065"/>
                  <wp:effectExtent l="0" t="0" r="6350" b="635"/>
                  <wp:docPr id="9" name="Picture 9" descr="C:\Users\arasmussen\AppData\Local\Microsoft\Windows\INetCache\Content.Outlook\CBTFF60Q\IMG_0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6382" cy="1421177"/>
                          </a:xfrm>
                          <a:prstGeom prst="rect">
                            <a:avLst/>
                          </a:prstGeom>
                          <a:noFill/>
                          <a:ln>
                            <a:noFill/>
                          </a:ln>
                        </pic:spPr>
                      </pic:pic>
                    </a:graphicData>
                  </a:graphic>
                </wp:inline>
              </w:drawing>
            </w:r>
          </w:p>
        </w:tc>
        <w:tc>
          <w:tcPr>
            <w:tcW w:w="3186" w:type="dxa"/>
            <w:tcBorders>
              <w:top w:val="nil"/>
              <w:left w:val="nil"/>
              <w:bottom w:val="nil"/>
              <w:right w:val="nil"/>
            </w:tcBorders>
          </w:tcPr>
          <w:p w:rsidR="00256449" w:rsidRDefault="00256449" w:rsidP="00B43065">
            <w:pPr>
              <w:rPr>
                <w:rFonts w:cs="Calibri"/>
              </w:rPr>
            </w:pPr>
            <w:r w:rsidRPr="00514E32">
              <w:rPr>
                <w:noProof/>
                <w:lang w:eastAsia="en-GB"/>
              </w:rPr>
              <w:drawing>
                <wp:inline distT="0" distB="0" distL="0" distR="0" wp14:anchorId="0F50FB19" wp14:editId="30BD9678">
                  <wp:extent cx="1881068" cy="1409700"/>
                  <wp:effectExtent l="0" t="0" r="5080" b="0"/>
                  <wp:docPr id="2" name="Picture 2" descr="C:\Users\arasmussen\AppData\Local\Microsoft\Windows\INetCache\Content.Outlook\CBTFF60Q\IMG_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5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0511" cy="1416777"/>
                          </a:xfrm>
                          <a:prstGeom prst="rect">
                            <a:avLst/>
                          </a:prstGeom>
                          <a:noFill/>
                          <a:ln>
                            <a:noFill/>
                          </a:ln>
                        </pic:spPr>
                      </pic:pic>
                    </a:graphicData>
                  </a:graphic>
                </wp:inline>
              </w:drawing>
            </w:r>
          </w:p>
        </w:tc>
        <w:tc>
          <w:tcPr>
            <w:tcW w:w="249" w:type="dxa"/>
            <w:tcBorders>
              <w:top w:val="nil"/>
              <w:left w:val="nil"/>
              <w:bottom w:val="nil"/>
              <w:right w:val="nil"/>
            </w:tcBorders>
          </w:tcPr>
          <w:p w:rsidR="00256449" w:rsidRDefault="00256449" w:rsidP="00B43065">
            <w:pPr>
              <w:rPr>
                <w:rFonts w:cs="Calibri"/>
              </w:rPr>
            </w:pPr>
          </w:p>
        </w:tc>
      </w:tr>
      <w:tr w:rsidR="0076635C" w:rsidTr="00B7362E">
        <w:tc>
          <w:tcPr>
            <w:tcW w:w="10546" w:type="dxa"/>
            <w:gridSpan w:val="5"/>
            <w:tcBorders>
              <w:top w:val="nil"/>
              <w:left w:val="nil"/>
              <w:bottom w:val="nil"/>
              <w:right w:val="nil"/>
            </w:tcBorders>
          </w:tcPr>
          <w:p w:rsidR="004E67A0" w:rsidRDefault="004E67A0" w:rsidP="00B43065">
            <w:pPr>
              <w:rPr>
                <w:rFonts w:cs="Calibri"/>
              </w:rPr>
            </w:pPr>
          </w:p>
          <w:p w:rsidR="00130D94" w:rsidRDefault="00130D94" w:rsidP="00130D94">
            <w:pPr>
              <w:spacing w:after="200" w:line="276" w:lineRule="auto"/>
              <w:rPr>
                <w:rFonts w:cs="Calibri"/>
              </w:rPr>
            </w:pPr>
            <w:r w:rsidRPr="00130D94">
              <w:rPr>
                <w:rFonts w:cs="Calibri"/>
              </w:rPr>
              <w:t xml:space="preserve">RI President’s visit to Nepal scheduled from 8-10 Feb. Members requested to pay before 27 Jan USD 300 to become PHF or multiple PHF  </w:t>
            </w:r>
          </w:p>
          <w:p w:rsidR="009A3E92" w:rsidRDefault="009A3E92" w:rsidP="00130D94">
            <w:pPr>
              <w:spacing w:after="200" w:line="276" w:lineRule="auto"/>
              <w:rPr>
                <w:rFonts w:cs="Calibri"/>
              </w:rPr>
            </w:pPr>
            <w:r>
              <w:rPr>
                <w:rFonts w:cs="Calibri"/>
              </w:rPr>
              <w:t>A</w:t>
            </w:r>
            <w:r w:rsidRPr="009A3E92">
              <w:rPr>
                <w:rFonts w:cs="Calibri"/>
              </w:rPr>
              <w:t xml:space="preserve"> half-day (morning) New Member Orientation and Mentoring Program on 23.1.2016 and all new/potential members are encouraged to attend. </w:t>
            </w:r>
          </w:p>
          <w:p w:rsidR="009A3E92" w:rsidRPr="009A3E92" w:rsidRDefault="009A3E92" w:rsidP="009A3E92">
            <w:r>
              <w:rPr>
                <w:rFonts w:cs="Calibri"/>
              </w:rPr>
              <w:t xml:space="preserve">The club was visited by two members of the </w:t>
            </w:r>
            <w:r w:rsidRPr="009A3E92">
              <w:rPr>
                <w:rFonts w:cs="Calibri"/>
              </w:rPr>
              <w:t>International Wood Culture Society (IWCS)</w:t>
            </w:r>
            <w:r>
              <w:rPr>
                <w:rFonts w:cs="Calibri"/>
              </w:rPr>
              <w:t xml:space="preserve"> </w:t>
            </w:r>
            <w:r>
              <w:t>Charlotte CH Lee</w:t>
            </w:r>
            <w:r>
              <w:t xml:space="preserve"> and Mike Hou whom is visiting Nepal for </w:t>
            </w:r>
            <w:r>
              <w:t>meeting</w:t>
            </w:r>
            <w:r>
              <w:t>s</w:t>
            </w:r>
            <w:r>
              <w:t xml:space="preserve"> with the Ministry of Forests and Soil Conservation and IUCN about the </w:t>
            </w:r>
            <w:hyperlink r:id="rId14" w:history="1">
              <w:r>
                <w:rPr>
                  <w:rStyle w:val="Hyperlink"/>
                </w:rPr>
                <w:t>2016 World Wood Day Symposium</w:t>
              </w:r>
            </w:hyperlink>
            <w:r>
              <w:t xml:space="preserve">, to be hosted in Nepal, </w:t>
            </w:r>
            <w:r w:rsidRPr="009A3E92">
              <w:t>March 21-23, 2016</w:t>
            </w:r>
          </w:p>
          <w:p w:rsidR="0076635C" w:rsidRDefault="0076635C" w:rsidP="00B43065">
            <w:pPr>
              <w:rPr>
                <w:rFonts w:cs="Calibri"/>
              </w:rPr>
            </w:pPr>
            <w:bookmarkStart w:id="2" w:name="_GoBack"/>
            <w:bookmarkEnd w:id="2"/>
          </w:p>
        </w:tc>
        <w:tc>
          <w:tcPr>
            <w:tcW w:w="249" w:type="dxa"/>
            <w:tcBorders>
              <w:top w:val="nil"/>
              <w:left w:val="nil"/>
              <w:bottom w:val="nil"/>
              <w:right w:val="nil"/>
            </w:tcBorders>
          </w:tcPr>
          <w:p w:rsidR="0076635C" w:rsidRDefault="0076635C" w:rsidP="00B43065">
            <w:pPr>
              <w:rPr>
                <w:rFonts w:cs="Calibri"/>
              </w:rPr>
            </w:pP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121B9" w:rsidRDefault="006121B9">
      <w:pPr>
        <w:rPr>
          <w:bCs/>
        </w:rPr>
      </w:pPr>
    </w:p>
    <w:p w:rsidR="006121B9" w:rsidRDefault="006121B9">
      <w:pPr>
        <w:rPr>
          <w:bCs/>
        </w:rPr>
      </w:pPr>
    </w:p>
    <w:p w:rsidR="006121B9" w:rsidRDefault="006121B9">
      <w:pPr>
        <w:rPr>
          <w:bCs/>
        </w:rPr>
      </w:pPr>
    </w:p>
    <w:tbl>
      <w:tblPr>
        <w:tblStyle w:val="TableGrid"/>
        <w:tblW w:w="0" w:type="auto"/>
        <w:tblLook w:val="04A0" w:firstRow="1" w:lastRow="0" w:firstColumn="1" w:lastColumn="0" w:noHBand="0" w:noVBand="1"/>
      </w:tblPr>
      <w:tblGrid>
        <w:gridCol w:w="5481"/>
        <w:gridCol w:w="5319"/>
      </w:tblGrid>
      <w:tr w:rsidR="00256449" w:rsidTr="00BC7D46">
        <w:tc>
          <w:tcPr>
            <w:tcW w:w="5395" w:type="dxa"/>
            <w:tcBorders>
              <w:top w:val="nil"/>
              <w:left w:val="nil"/>
              <w:bottom w:val="nil"/>
              <w:right w:val="nil"/>
            </w:tcBorders>
          </w:tcPr>
          <w:p w:rsidR="00256449" w:rsidRDefault="00256449">
            <w:pPr>
              <w:rPr>
                <w:bCs/>
              </w:rPr>
            </w:pPr>
            <w:r>
              <w:rPr>
                <w:noProof/>
                <w:lang w:eastAsia="en-GB"/>
              </w:rPr>
              <w:drawing>
                <wp:inline distT="0" distB="0" distL="0" distR="0" wp14:anchorId="67F04097" wp14:editId="06EAD021">
                  <wp:extent cx="3343275" cy="1868454"/>
                  <wp:effectExtent l="0" t="0" r="0" b="0"/>
                  <wp:docPr id="7" name="Picture 7" descr="http://cdn.quotesgram.com/img/76/88/868535869-Nelson-Mandela-Quote-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quotesgram.com/img/76/88/868535869-Nelson-Mandela-Quote-LE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302" cy="1876293"/>
                          </a:xfrm>
                          <a:prstGeom prst="rect">
                            <a:avLst/>
                          </a:prstGeom>
                          <a:noFill/>
                          <a:ln>
                            <a:noFill/>
                          </a:ln>
                        </pic:spPr>
                      </pic:pic>
                    </a:graphicData>
                  </a:graphic>
                </wp:inline>
              </w:drawing>
            </w:r>
          </w:p>
        </w:tc>
        <w:tc>
          <w:tcPr>
            <w:tcW w:w="5395" w:type="dxa"/>
            <w:tcBorders>
              <w:top w:val="nil"/>
              <w:left w:val="nil"/>
              <w:bottom w:val="nil"/>
              <w:right w:val="nil"/>
            </w:tcBorders>
          </w:tcPr>
          <w:p w:rsidR="00256449" w:rsidRDefault="00256449">
            <w:pPr>
              <w:rPr>
                <w:bCs/>
              </w:rPr>
            </w:pPr>
            <w:r>
              <w:rPr>
                <w:noProof/>
                <w:lang w:eastAsia="en-GB"/>
              </w:rPr>
              <w:drawing>
                <wp:inline distT="0" distB="0" distL="0" distR="0" wp14:anchorId="460FBC2C" wp14:editId="64B2B32F">
                  <wp:extent cx="3000375" cy="2250281"/>
                  <wp:effectExtent l="0" t="0" r="0" b="0"/>
                  <wp:docPr id="8" name="Picture 8" descr="http://cdn.quotesgram.com/img/59/34/31951003-06bcf92898e0a88e102b54fef336a0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quotesgram.com/img/59/34/31951003-06bcf92898e0a88e102b54fef336a0f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3608" cy="2252706"/>
                          </a:xfrm>
                          <a:prstGeom prst="rect">
                            <a:avLst/>
                          </a:prstGeom>
                          <a:noFill/>
                          <a:ln>
                            <a:noFill/>
                          </a:ln>
                        </pic:spPr>
                      </pic:pic>
                    </a:graphicData>
                  </a:graphic>
                </wp:inline>
              </w:drawing>
            </w: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D10142" w:rsidRPr="00690AF7" w:rsidRDefault="00D10142" w:rsidP="00690AF7">
      <w:pPr>
        <w:pStyle w:val="Heading3"/>
        <w:rPr>
          <w:color w:val="FFFFFF" w:themeColor="background1"/>
        </w:rPr>
      </w:pPr>
    </w:p>
    <w:p w:rsidR="00E36B07" w:rsidRDefault="00E36B07" w:rsidP="00690AF7"/>
    <w:p w:rsidR="000D4105" w:rsidRDefault="000D4105" w:rsidP="000D4105">
      <w:pPr>
        <w:shd w:val="clear" w:color="auto" w:fill="FFFFFF"/>
        <w:spacing w:line="720" w:lineRule="atLeast"/>
        <w:rPr>
          <w:rFonts w:ascii="Georgia" w:hAnsi="Georgia" w:cs="Helvetica"/>
          <w:color w:val="141823"/>
          <w:sz w:val="60"/>
          <w:szCs w:val="60"/>
          <w:lang w:eastAsia="en-GB"/>
        </w:rPr>
      </w:pPr>
      <w:r>
        <w:rPr>
          <w:rFonts w:ascii="Georgia" w:hAnsi="Georgia" w:cs="Helvetica"/>
          <w:color w:val="141823"/>
          <w:sz w:val="60"/>
          <w:szCs w:val="60"/>
        </w:rPr>
        <w:t>Rotary condemns deadly attack on polio security personnel in Pakistan</w:t>
      </w:r>
    </w:p>
    <w:p w:rsidR="000D4105" w:rsidRDefault="000D4105" w:rsidP="000D4105">
      <w:pPr>
        <w:shd w:val="clear" w:color="auto" w:fill="FFFFFF"/>
        <w:spacing w:line="362" w:lineRule="atLeast"/>
        <w:rPr>
          <w:rFonts w:ascii="Helvetica" w:hAnsi="Helvetica" w:cs="Helvetica"/>
          <w:caps/>
          <w:color w:val="9197A3"/>
          <w:sz w:val="18"/>
          <w:szCs w:val="18"/>
        </w:rPr>
      </w:pPr>
      <w:hyperlink r:id="rId17" w:tgtFrame="_blank" w:history="1">
        <w:r>
          <w:rPr>
            <w:rStyle w:val="Hyperlink"/>
            <w:rFonts w:ascii="Helvetica" w:hAnsi="Helvetica" w:cs="Helvetica"/>
            <w:caps/>
            <w:color w:val="9197A3"/>
            <w:sz w:val="18"/>
            <w:szCs w:val="18"/>
          </w:rPr>
          <w:t>ROTARY INTERNATIONAL</w:t>
        </w:r>
      </w:hyperlink>
      <w:r>
        <w:rPr>
          <w:rStyle w:val="4mg"/>
          <w:rFonts w:ascii="Helvetica" w:hAnsi="Helvetica" w:cs="Helvetica"/>
          <w:caps/>
          <w:color w:val="9197A3"/>
          <w:sz w:val="18"/>
          <w:szCs w:val="18"/>
        </w:rPr>
        <w:t>·</w:t>
      </w:r>
      <w:hyperlink r:id="rId18" w:history="1">
        <w:r>
          <w:rPr>
            <w:rStyle w:val="Hyperlink"/>
            <w:rFonts w:ascii="Helvetica" w:hAnsi="Helvetica" w:cs="Helvetica"/>
            <w:caps/>
            <w:color w:val="9197A3"/>
            <w:sz w:val="18"/>
            <w:szCs w:val="18"/>
          </w:rPr>
          <w:t>THURSDAY, 14 JANUARY 2016</w:t>
        </w:r>
      </w:hyperlink>
    </w:p>
    <w:p w:rsidR="000D4105" w:rsidRDefault="000D4105" w:rsidP="000D4105">
      <w:pPr>
        <w:shd w:val="clear" w:color="auto" w:fill="FFFFFF"/>
        <w:spacing w:line="420" w:lineRule="atLeast"/>
        <w:rPr>
          <w:rFonts w:ascii="Georgia" w:hAnsi="Georgia"/>
          <w:color w:val="141823"/>
          <w:sz w:val="26"/>
          <w:szCs w:val="26"/>
        </w:rPr>
      </w:pPr>
      <w:r>
        <w:rPr>
          <w:rFonts w:ascii="Georgia" w:hAnsi="Georgia"/>
          <w:color w:val="141823"/>
          <w:sz w:val="26"/>
          <w:szCs w:val="26"/>
        </w:rPr>
        <w:t xml:space="preserve">Rotary members and our partners in the fight to eradicate polio offer our heartfelt condolences and express a deep sadness in the wake of a horrific bomb attack in Quetta, Pakistan, that took the lives of at least 15 security personnel today. </w:t>
      </w:r>
    </w:p>
    <w:p w:rsidR="000D4105" w:rsidRDefault="000D4105" w:rsidP="000D4105">
      <w:pPr>
        <w:shd w:val="clear" w:color="auto" w:fill="FFFFFF"/>
        <w:spacing w:line="420" w:lineRule="atLeast"/>
        <w:rPr>
          <w:rFonts w:ascii="Georgia" w:hAnsi="Georgia"/>
          <w:color w:val="141823"/>
          <w:sz w:val="26"/>
          <w:szCs w:val="26"/>
        </w:rPr>
      </w:pPr>
      <w:r>
        <w:rPr>
          <w:rFonts w:ascii="Georgia" w:hAnsi="Georgia"/>
          <w:color w:val="141823"/>
          <w:sz w:val="26"/>
          <w:szCs w:val="26"/>
        </w:rPr>
        <w:t>This attack outside a polio immunization center is a stark reminder of the dangers faced by Rotary, our partners in the Global Polio Eradication Initiative, and the brave women and men on the front lines of our effort to protect all children from the paralyzing effects of polio. While the bombing will be investigated, one thing is clear: The security personnel who were killed died because their job was to protect teams of polio immunizers. We applaud the government’s commitment to continue the vaccination campaign throughout Pakistan, which is one of only two countries where the poliovirus is still endemic.</w:t>
      </w:r>
    </w:p>
    <w:p w:rsidR="000D4105" w:rsidRDefault="000D4105" w:rsidP="00690AF7"/>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0D4105" w:rsidRDefault="000D4105" w:rsidP="00C964DA">
      <w:pPr>
        <w:pStyle w:val="Heading2"/>
        <w:spacing w:line="360" w:lineRule="atLeast"/>
        <w:textAlignment w:val="baseline"/>
        <w:rPr>
          <w:rFonts w:ascii="inherit" w:hAnsi="inherit"/>
          <w:color w:val="222222"/>
          <w:sz w:val="39"/>
          <w:szCs w:val="39"/>
        </w:rPr>
      </w:pPr>
    </w:p>
    <w:p w:rsidR="00C964DA" w:rsidRDefault="00C964DA" w:rsidP="00C964DA">
      <w:pPr>
        <w:pStyle w:val="Heading2"/>
        <w:spacing w:line="360" w:lineRule="atLeast"/>
        <w:textAlignment w:val="baseline"/>
        <w:rPr>
          <w:rFonts w:ascii="inherit" w:hAnsi="inherit"/>
          <w:color w:val="222222"/>
          <w:sz w:val="39"/>
          <w:szCs w:val="39"/>
          <w:lang w:eastAsia="en-GB"/>
        </w:rPr>
      </w:pPr>
      <w:hyperlink r:id="rId19" w:history="1">
        <w:r>
          <w:rPr>
            <w:rStyle w:val="Hyperlink"/>
            <w:rFonts w:ascii="inherit" w:hAnsi="inherit"/>
            <w:color w:val="222222"/>
            <w:sz w:val="39"/>
            <w:szCs w:val="39"/>
            <w:bdr w:val="none" w:sz="0" w:space="0" w:color="auto" w:frame="1"/>
          </w:rPr>
          <w:t>What 30-Somethings need to know about Rotary</w:t>
        </w:r>
      </w:hyperlink>
    </w:p>
    <w:p w:rsidR="00C964DA" w:rsidRDefault="00C964DA" w:rsidP="00C964DA">
      <w:pPr>
        <w:pStyle w:val="NormalWeb"/>
        <w:shd w:val="clear" w:color="auto" w:fill="FFFFFF"/>
        <w:spacing w:before="0" w:beforeAutospacing="0" w:after="0" w:afterAutospacing="0" w:line="366" w:lineRule="atLeast"/>
        <w:textAlignment w:val="baseline"/>
        <w:rPr>
          <w:rFonts w:ascii="inherit" w:hAnsi="inherit" w:cs="Helvetica"/>
          <w:color w:val="373737"/>
          <w:sz w:val="23"/>
          <w:szCs w:val="23"/>
        </w:rPr>
      </w:pPr>
      <w:r>
        <w:rPr>
          <w:rStyle w:val="Emphasis"/>
          <w:rFonts w:ascii="inherit" w:hAnsi="inherit" w:cs="Helvetica"/>
          <w:color w:val="373737"/>
          <w:sz w:val="23"/>
          <w:szCs w:val="23"/>
          <w:bdr w:val="none" w:sz="0" w:space="0" w:color="auto" w:frame="1"/>
        </w:rPr>
        <w:t>By Michael Bucca, a member of the Rotary Club of Central Ocean Toms River, New Jersey, USA</w:t>
      </w:r>
    </w:p>
    <w:p w:rsidR="00C964DA" w:rsidRDefault="00C964DA" w:rsidP="00C964DA">
      <w:pPr>
        <w:pStyle w:val="NormalWeb"/>
        <w:shd w:val="clear" w:color="auto" w:fill="FFFFFF"/>
        <w:spacing w:before="0" w:beforeAutospacing="0" w:after="390" w:afterAutospacing="0" w:line="366" w:lineRule="atLeast"/>
        <w:textAlignment w:val="baseline"/>
        <w:rPr>
          <w:rFonts w:ascii="inherit" w:hAnsi="inherit" w:cs="Helvetica"/>
          <w:color w:val="373737"/>
          <w:sz w:val="23"/>
          <w:szCs w:val="23"/>
        </w:rPr>
      </w:pPr>
      <w:r>
        <w:rPr>
          <w:rFonts w:ascii="inherit" w:hAnsi="inherit" w:cs="Helvetica"/>
          <w:color w:val="373737"/>
          <w:sz w:val="23"/>
          <w:szCs w:val="23"/>
        </w:rPr>
        <w:t>You might think that I, a 32-year-old member of a 110-year-old organization, would be preoccupied with trying to modernize my club’s way of doing things. But remarkably, my experience in Rotary is teaching me to spend more energy convincing my generation – which keeps trying to reinvent everything – that there is much to be gained in the lost art of personal connection.</w:t>
      </w:r>
    </w:p>
    <w:p w:rsidR="00C964DA" w:rsidRDefault="00C964DA" w:rsidP="00C964DA">
      <w:pPr>
        <w:pStyle w:val="NormalWeb"/>
        <w:shd w:val="clear" w:color="auto" w:fill="FFFFFF"/>
        <w:spacing w:before="0" w:beforeAutospacing="0" w:after="390" w:afterAutospacing="0" w:line="366" w:lineRule="atLeast"/>
        <w:textAlignment w:val="baseline"/>
        <w:rPr>
          <w:rFonts w:ascii="inherit" w:hAnsi="inherit" w:cs="Helvetica"/>
          <w:color w:val="373737"/>
          <w:sz w:val="23"/>
          <w:szCs w:val="23"/>
        </w:rPr>
      </w:pPr>
      <w:hyperlink r:id="rId20" w:history="1">
        <w:r w:rsidRPr="00A11DB9">
          <w:rPr>
            <w:rStyle w:val="Hyperlink"/>
            <w:rFonts w:ascii="inherit" w:hAnsi="inherit" w:cs="Helvetica"/>
            <w:sz w:val="23"/>
            <w:szCs w:val="23"/>
          </w:rPr>
          <w:t>http://blog.rotary.org/2016/01/06/what-30-somethings-need-to-know-about-rotary/#more-6130</w:t>
        </w:r>
      </w:hyperlink>
    </w:p>
    <w:p w:rsidR="00101B59" w:rsidRPr="00690AF7" w:rsidRDefault="00101B59" w:rsidP="00690AF7">
      <w:pPr>
        <w:pStyle w:val="Heading3"/>
      </w:pP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0"/>
    <w:bookmarkEnd w:id="1"/>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392260" w:rsidRDefault="00392260" w:rsidP="00392260">
      <w:pPr>
        <w:pStyle w:val="PlainText"/>
      </w:pPr>
    </w:p>
    <w:p w:rsidR="00392260" w:rsidRDefault="00392260" w:rsidP="00392260">
      <w:pPr>
        <w:pStyle w:val="PlainText"/>
      </w:pPr>
    </w:p>
    <w:p w:rsidR="00392260" w:rsidRDefault="00392260" w:rsidP="00392260">
      <w:pPr>
        <w:jc w:val="center"/>
        <w:rPr>
          <w:color w:val="auto"/>
          <w:sz w:val="22"/>
          <w:szCs w:val="21"/>
          <w:lang w:eastAsia="en-GB"/>
        </w:rPr>
      </w:pPr>
      <w:r>
        <w:t>Being powerful is like being a lady. If you have to tell people you are, you aren't.</w:t>
      </w:r>
    </w:p>
    <w:p w:rsidR="00392260" w:rsidRDefault="00392260" w:rsidP="00392260">
      <w:pPr>
        <w:jc w:val="center"/>
      </w:pPr>
    </w:p>
    <w:p w:rsidR="00392260" w:rsidRDefault="00392260" w:rsidP="00392260">
      <w:pPr>
        <w:jc w:val="center"/>
      </w:pPr>
      <w:r>
        <w:t>*** Margaret Thatcher (b. 1925) British Politician and Prime Minister ***</w:t>
      </w:r>
    </w:p>
    <w:p w:rsidR="00392260" w:rsidRPr="00392260" w:rsidRDefault="00392260" w:rsidP="00392260"/>
    <w:p w:rsidR="0026584B" w:rsidRDefault="0026584B" w:rsidP="00EC6A1A">
      <w:pPr>
        <w:jc w:val="both"/>
        <w:rPr>
          <w:rFonts w:ascii="Trebuchet MS" w:hAnsi="Trebuchet MS"/>
          <w:sz w:val="16"/>
          <w:szCs w:val="20"/>
        </w:rPr>
      </w:pPr>
    </w:p>
    <w:tbl>
      <w:tblPr>
        <w:tblStyle w:val="TableGrid"/>
        <w:tblW w:w="0" w:type="auto"/>
        <w:tblLook w:val="04A0" w:firstRow="1" w:lastRow="0" w:firstColumn="1" w:lastColumn="0" w:noHBand="0" w:noVBand="1"/>
      </w:tblPr>
      <w:tblGrid>
        <w:gridCol w:w="10485"/>
        <w:gridCol w:w="305"/>
      </w:tblGrid>
      <w:tr w:rsidR="0026584B" w:rsidTr="00E95E56">
        <w:tc>
          <w:tcPr>
            <w:tcW w:w="10485" w:type="dxa"/>
            <w:tcBorders>
              <w:top w:val="nil"/>
              <w:left w:val="nil"/>
              <w:bottom w:val="nil"/>
              <w:right w:val="nil"/>
            </w:tcBorders>
          </w:tcPr>
          <w:p w:rsidR="0026584B" w:rsidRDefault="0026584B" w:rsidP="0074206A">
            <w:pPr>
              <w:jc w:val="center"/>
              <w:rPr>
                <w:rFonts w:ascii="Trebuchet MS" w:hAnsi="Trebuchet MS"/>
                <w:sz w:val="16"/>
              </w:rPr>
            </w:pPr>
          </w:p>
        </w:tc>
        <w:tc>
          <w:tcPr>
            <w:tcW w:w="305" w:type="dxa"/>
            <w:tcBorders>
              <w:top w:val="nil"/>
              <w:left w:val="nil"/>
              <w:bottom w:val="nil"/>
              <w:right w:val="nil"/>
            </w:tcBorders>
          </w:tcPr>
          <w:p w:rsidR="0026584B" w:rsidRDefault="0026584B" w:rsidP="00EC6A1A">
            <w:pPr>
              <w:jc w:val="both"/>
              <w:rPr>
                <w:rFonts w:ascii="Trebuchet MS" w:hAnsi="Trebuchet MS"/>
                <w:sz w:val="16"/>
                <w:szCs w:val="20"/>
              </w:rPr>
            </w:pPr>
          </w:p>
        </w:tc>
      </w:tr>
    </w:tbl>
    <w:p w:rsidR="0026584B" w:rsidRDefault="0026584B"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r w:rsidRPr="004E491A">
        <w:rPr>
          <w:b/>
        </w:rPr>
        <w:t xml:space="preserve">District :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1"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Venue: Fridays at 7:30AM, Hotel de l'Annapurna, Kathmandu, NEPAL</w:t>
      </w:r>
    </w:p>
    <w:p w:rsidR="00A07D65" w:rsidRPr="00631D46" w:rsidRDefault="00A07D65" w:rsidP="00631D46">
      <w:pPr>
        <w:jc w:val="center"/>
      </w:pPr>
    </w:p>
    <w:p w:rsidR="006256B3" w:rsidRDefault="00A07D65" w:rsidP="00690AF7">
      <w:pPr>
        <w:pStyle w:val="Heading3"/>
      </w:pPr>
      <w:r w:rsidRPr="004A0F16">
        <w:t>Just for the laugh</w:t>
      </w:r>
    </w:p>
    <w:p w:rsidR="00836644" w:rsidRPr="00836644" w:rsidRDefault="00836644" w:rsidP="00836644"/>
    <w:sectPr w:rsidR="00836644" w:rsidRPr="00836644" w:rsidSect="007A712A">
      <w:headerReference w:type="even" r:id="rId22"/>
      <w:footerReference w:type="default" r:id="rId23"/>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815" w:rsidRDefault="006F5815">
      <w:r>
        <w:separator/>
      </w:r>
    </w:p>
  </w:endnote>
  <w:endnote w:type="continuationSeparator" w:id="0">
    <w:p w:rsidR="006F5815" w:rsidRDefault="006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utigerLTW01-77BlackC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CA3B9A">
          <w:rPr>
            <w:noProof/>
          </w:rPr>
          <w:t>2</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815" w:rsidRDefault="006F5815">
      <w:r>
        <w:separator/>
      </w:r>
    </w:p>
  </w:footnote>
  <w:footnote w:type="continuationSeparator" w:id="0">
    <w:p w:rsidR="006F5815" w:rsidRDefault="006F5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7">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9">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5"/>
  </w:num>
  <w:num w:numId="5">
    <w:abstractNumId w:val="2"/>
  </w:num>
  <w:num w:numId="6">
    <w:abstractNumId w:val="13"/>
  </w:num>
  <w:num w:numId="7">
    <w:abstractNumId w:val="7"/>
  </w:num>
  <w:num w:numId="8">
    <w:abstractNumId w:val="3"/>
  </w:num>
  <w:num w:numId="9">
    <w:abstractNumId w:val="22"/>
  </w:num>
  <w:num w:numId="10">
    <w:abstractNumId w:val="24"/>
  </w:num>
  <w:num w:numId="11">
    <w:abstractNumId w:val="4"/>
  </w:num>
  <w:num w:numId="12">
    <w:abstractNumId w:val="18"/>
  </w:num>
  <w:num w:numId="13">
    <w:abstractNumId w:val="29"/>
  </w:num>
  <w:num w:numId="14">
    <w:abstractNumId w:val="19"/>
  </w:num>
  <w:num w:numId="15">
    <w:abstractNumId w:val="27"/>
  </w:num>
  <w:num w:numId="16">
    <w:abstractNumId w:val="11"/>
  </w:num>
  <w:num w:numId="17">
    <w:abstractNumId w:val="23"/>
  </w:num>
  <w:num w:numId="18">
    <w:abstractNumId w:val="1"/>
  </w:num>
  <w:num w:numId="19">
    <w:abstractNumId w:val="17"/>
  </w:num>
  <w:num w:numId="20">
    <w:abstractNumId w:val="8"/>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4"/>
  </w:num>
  <w:num w:numId="29">
    <w:abstractNumId w:val="21"/>
  </w:num>
  <w:num w:numId="30">
    <w:abstractNumId w:val="14"/>
  </w:num>
  <w:num w:numId="31">
    <w:abstractNumId w:val="26"/>
    <w:lvlOverride w:ilvl="0"/>
    <w:lvlOverride w:ilvl="1"/>
    <w:lvlOverride w:ilvl="2"/>
    <w:lvlOverride w:ilvl="3"/>
    <w:lvlOverride w:ilvl="4"/>
    <w:lvlOverride w:ilvl="5"/>
    <w:lvlOverride w:ilvl="6"/>
    <w:lvlOverride w:ilvl="7"/>
    <w:lvlOverride w:ilvl="8"/>
  </w:num>
  <w:num w:numId="32">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5D7"/>
    <w:rsid w:val="00012871"/>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470"/>
    <w:rsid w:val="001E369F"/>
    <w:rsid w:val="001E3CE6"/>
    <w:rsid w:val="001E3E72"/>
    <w:rsid w:val="001E47BC"/>
    <w:rsid w:val="001E6981"/>
    <w:rsid w:val="001F009E"/>
    <w:rsid w:val="001F00F0"/>
    <w:rsid w:val="001F0B2D"/>
    <w:rsid w:val="001F0BAA"/>
    <w:rsid w:val="001F0C7B"/>
    <w:rsid w:val="001F1D45"/>
    <w:rsid w:val="001F2CFD"/>
    <w:rsid w:val="001F383D"/>
    <w:rsid w:val="001F3CA1"/>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0BE"/>
    <w:rsid w:val="00256449"/>
    <w:rsid w:val="00256931"/>
    <w:rsid w:val="002579EB"/>
    <w:rsid w:val="00261453"/>
    <w:rsid w:val="00262309"/>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260"/>
    <w:rsid w:val="0039293D"/>
    <w:rsid w:val="003929F2"/>
    <w:rsid w:val="00392B2D"/>
    <w:rsid w:val="00393595"/>
    <w:rsid w:val="00394316"/>
    <w:rsid w:val="0039462F"/>
    <w:rsid w:val="00394D8B"/>
    <w:rsid w:val="003953A7"/>
    <w:rsid w:val="00397742"/>
    <w:rsid w:val="00397DE9"/>
    <w:rsid w:val="003A12EE"/>
    <w:rsid w:val="003A152D"/>
    <w:rsid w:val="003A17B6"/>
    <w:rsid w:val="003A221C"/>
    <w:rsid w:val="003A28C9"/>
    <w:rsid w:val="003A3731"/>
    <w:rsid w:val="003A461E"/>
    <w:rsid w:val="003A5BC6"/>
    <w:rsid w:val="003A5C6A"/>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1314"/>
    <w:rsid w:val="00492179"/>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1B9"/>
    <w:rsid w:val="0061273C"/>
    <w:rsid w:val="00612826"/>
    <w:rsid w:val="00614636"/>
    <w:rsid w:val="00616D3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6D52"/>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6644"/>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4C0"/>
    <w:rsid w:val="00B34C34"/>
    <w:rsid w:val="00B358B5"/>
    <w:rsid w:val="00B37464"/>
    <w:rsid w:val="00B4027E"/>
    <w:rsid w:val="00B40507"/>
    <w:rsid w:val="00B4079E"/>
    <w:rsid w:val="00B416EF"/>
    <w:rsid w:val="00B418C8"/>
    <w:rsid w:val="00B427B3"/>
    <w:rsid w:val="00B4303C"/>
    <w:rsid w:val="00B43065"/>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D3A"/>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73F1"/>
    <w:rsid w:val="00FE74A4"/>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690AF7"/>
    <w:pPr>
      <w:keepNext/>
      <w:pBdr>
        <w:top w:val="single" w:sz="12" w:space="1" w:color="4F81BD"/>
        <w:left w:val="single" w:sz="12" w:space="5" w:color="4F81BD"/>
        <w:bottom w:val="single" w:sz="12" w:space="1" w:color="4F81BD"/>
        <w:right w:val="single" w:sz="12" w:space="4" w:color="4F81BD"/>
      </w:pBdr>
      <w:shd w:val="clear" w:color="auto" w:fill="4F81BD"/>
      <w:jc w:val="center"/>
      <w:outlineLvl w:val="2"/>
    </w:pPr>
    <w:rPr>
      <w:rFonts w:ascii="Verdana" w:hAnsi="Verdana"/>
      <w:b/>
      <w:i/>
      <w:iCs/>
      <w:color w:val="000000"/>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acebook.com/notes/rotary-international/rotary-condemns-deadly-attack-on-polio-security-personnel-in-pakistan/10154555025094552" TargetMode="External"/><Relationship Id="rId3" Type="http://schemas.openxmlformats.org/officeDocument/2006/relationships/styles" Target="styles.xml"/><Relationship Id="rId21" Type="http://schemas.openxmlformats.org/officeDocument/2006/relationships/hyperlink" Target="https://www.facebook.com/RotaryClubOfKathmanduMidtow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acebook.com/rot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blog.rotary.org/2016/01/06/what-30-somethings-need-to-know-about-rotary/#more-61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blog.rotary.org/2016/01/06/what-30-somethings-need-to-know-about-rota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orldwoodday.org/2016/cms.php?ctype=NEP00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0381E6-476C-44DA-AB20-9A686A91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4821</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cp:revision>
  <dcterms:created xsi:type="dcterms:W3CDTF">2016-01-14T14:17:00Z</dcterms:created>
  <dcterms:modified xsi:type="dcterms:W3CDTF">2016-01-14T14:17:00Z</dcterms:modified>
</cp:coreProperties>
</file>