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A731AB" w:rsidRPr="00A731AB" w:rsidRDefault="00A731AB" w:rsidP="00A731AB">
      <w:pPr>
        <w:pStyle w:val="NormalWeb"/>
        <w:shd w:val="clear" w:color="auto" w:fill="FFFFFF"/>
        <w:spacing w:before="90" w:beforeAutospacing="0" w:after="90" w:afterAutospacing="0" w:line="290" w:lineRule="atLeast"/>
        <w:jc w:val="center"/>
        <w:rPr>
          <w:rFonts w:ascii="Helvetica" w:hAnsi="Helvetica"/>
          <w:b/>
          <w:color w:val="141823"/>
          <w:sz w:val="21"/>
          <w:szCs w:val="21"/>
          <w:lang w:eastAsia="en-GB"/>
        </w:rPr>
      </w:pPr>
      <w:r w:rsidRPr="00A731AB">
        <w:rPr>
          <w:rFonts w:ascii="Helvetica" w:hAnsi="Helvetica"/>
          <w:b/>
          <w:color w:val="141823"/>
          <w:sz w:val="21"/>
          <w:szCs w:val="21"/>
        </w:rPr>
        <w:t>Peace and Conflict Prevention/Resolution Month</w:t>
      </w:r>
    </w:p>
    <w:p w:rsidR="00B7362E" w:rsidRDefault="00B7362E" w:rsidP="00B7362E"/>
    <w:p w:rsidR="00B84A08" w:rsidRDefault="00B84A08" w:rsidP="00B7362E"/>
    <w:p w:rsidR="00B84A08" w:rsidRPr="00B7362E" w:rsidRDefault="00B84A08" w:rsidP="00B7362E"/>
    <w:p w:rsidR="00B84A08" w:rsidRDefault="00B84A08" w:rsidP="00B84A08">
      <w:pPr>
        <w:jc w:val="both"/>
        <w:rPr>
          <w:b/>
        </w:rPr>
      </w:pPr>
      <w:r w:rsidRPr="007D13C9">
        <w:rPr>
          <w:b/>
        </w:rPr>
        <w:t xml:space="preserve">Obituary </w:t>
      </w:r>
    </w:p>
    <w:p w:rsidR="00B84A08" w:rsidRDefault="00B84A08" w:rsidP="00B84A08">
      <w:pPr>
        <w:jc w:val="both"/>
        <w:rPr>
          <w:b/>
        </w:rPr>
      </w:pPr>
    </w:p>
    <w:p w:rsidR="00B84A08" w:rsidRDefault="00B84A08" w:rsidP="00B84A08">
      <w:r>
        <w:rPr>
          <w:b/>
          <w:noProof/>
          <w:lang w:eastAsia="en-GB"/>
        </w:rPr>
        <w:drawing>
          <wp:anchor distT="0" distB="0" distL="114300" distR="114300" simplePos="0" relativeHeight="251660288" behindDoc="0" locked="0" layoutInCell="1" allowOverlap="1" wp14:anchorId="071DBD51" wp14:editId="1AF47590">
            <wp:simplePos x="0" y="0"/>
            <wp:positionH relativeFrom="column">
              <wp:posOffset>-1905</wp:posOffset>
            </wp:positionH>
            <wp:positionV relativeFrom="paragraph">
              <wp:posOffset>-635</wp:posOffset>
            </wp:positionV>
            <wp:extent cx="1838483" cy="100012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r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483" cy="1000125"/>
                    </a:xfrm>
                    <a:prstGeom prst="rect">
                      <a:avLst/>
                    </a:prstGeom>
                  </pic:spPr>
                </pic:pic>
              </a:graphicData>
            </a:graphic>
          </wp:anchor>
        </w:drawing>
      </w:r>
      <w:r>
        <w:t>Sushil Koirala, former Nepalese prime minister and leader of the nation's largest political party died in Kathmandu Monday. He was 77.</w:t>
      </w:r>
    </w:p>
    <w:p w:rsidR="00B84A08" w:rsidRDefault="00B84A08" w:rsidP="00B84A08">
      <w:r>
        <w:t xml:space="preserve">Koirala was a key figure in the adoption of Nepal's new constitution last September. </w:t>
      </w:r>
    </w:p>
    <w:p w:rsidR="00B84A08" w:rsidRDefault="00B84A08" w:rsidP="00B84A08">
      <w:r>
        <w:t>Koirala spent his life in politics fighting for democracy in Nepal and led protests in 2006 that ended a centuries-old monarchy and turned Nepal into a republic. He spent 15 years in exile in India because of his opposition to the no-party system imposed by the former kings.</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gridCol w:w="3977"/>
      </w:tblGrid>
      <w:tr w:rsidR="003D6FBC" w:rsidRPr="00002843" w:rsidTr="001E3470">
        <w:trPr>
          <w:gridAfter w:val="1"/>
          <w:wAfter w:w="3977" w:type="dxa"/>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3951D3" w:rsidRPr="00002843" w:rsidTr="001E3470">
        <w:trPr>
          <w:gridAfter w:val="1"/>
          <w:wAfter w:w="3977" w:type="dxa"/>
          <w:trHeight w:val="257"/>
        </w:trPr>
        <w:tc>
          <w:tcPr>
            <w:tcW w:w="2127" w:type="dxa"/>
          </w:tcPr>
          <w:p w:rsidR="003951D3" w:rsidRPr="00DA70D6" w:rsidRDefault="00C87890" w:rsidP="003951D3">
            <w:pPr>
              <w:ind w:left="80"/>
              <w:rPr>
                <w:rFonts w:cs="Arial"/>
              </w:rPr>
            </w:pPr>
            <w:r>
              <w:rPr>
                <w:rFonts w:cs="Arial"/>
              </w:rPr>
              <w:t>12 February</w:t>
            </w:r>
          </w:p>
        </w:tc>
        <w:tc>
          <w:tcPr>
            <w:tcW w:w="3402" w:type="dxa"/>
          </w:tcPr>
          <w:p w:rsidR="003951D3" w:rsidRPr="00BD26E3" w:rsidRDefault="003951D3" w:rsidP="003951D3">
            <w:pPr>
              <w:rPr>
                <w:rFonts w:cs="Arial"/>
              </w:rPr>
            </w:pPr>
          </w:p>
        </w:tc>
        <w:tc>
          <w:tcPr>
            <w:tcW w:w="5528" w:type="dxa"/>
            <w:tcBorders>
              <w:bottom w:val="single" w:sz="12" w:space="0" w:color="4F81BD"/>
            </w:tcBorders>
          </w:tcPr>
          <w:p w:rsidR="00247109" w:rsidRPr="00BD26E3" w:rsidRDefault="00E62994" w:rsidP="00466288">
            <w:pPr>
              <w:rPr>
                <w:rFonts w:cs="Arial"/>
              </w:rPr>
            </w:pPr>
            <w:r>
              <w:rPr>
                <w:rFonts w:cs="Arial"/>
              </w:rPr>
              <w:t xml:space="preserve">Club assembly </w:t>
            </w:r>
          </w:p>
        </w:tc>
      </w:tr>
      <w:tr w:rsidR="00E62994" w:rsidRPr="00002843" w:rsidTr="001E3470">
        <w:trPr>
          <w:trHeight w:val="743"/>
        </w:trPr>
        <w:tc>
          <w:tcPr>
            <w:tcW w:w="2127" w:type="dxa"/>
          </w:tcPr>
          <w:p w:rsidR="00E62994" w:rsidRPr="00DA70D6" w:rsidRDefault="00E62994" w:rsidP="00E62994">
            <w:pPr>
              <w:ind w:left="80"/>
              <w:rPr>
                <w:rFonts w:cs="Arial"/>
              </w:rPr>
            </w:pPr>
            <w:r>
              <w:rPr>
                <w:rFonts w:cs="Arial"/>
              </w:rPr>
              <w:t xml:space="preserve">5 February </w:t>
            </w:r>
          </w:p>
        </w:tc>
        <w:tc>
          <w:tcPr>
            <w:tcW w:w="3402" w:type="dxa"/>
          </w:tcPr>
          <w:p w:rsidR="00E62994" w:rsidRPr="00BD26E3" w:rsidRDefault="00E62994" w:rsidP="00E62994">
            <w:pPr>
              <w:rPr>
                <w:rFonts w:cs="Arial"/>
              </w:rPr>
            </w:pPr>
            <w:r>
              <w:rPr>
                <w:rFonts w:ascii="Arial" w:hAnsi="Arial"/>
              </w:rPr>
              <w:t>PE Dr. Shankar Sharma</w:t>
            </w:r>
          </w:p>
        </w:tc>
        <w:tc>
          <w:tcPr>
            <w:tcW w:w="5528" w:type="dxa"/>
            <w:tcBorders>
              <w:right w:val="single" w:sz="4" w:space="0" w:color="auto"/>
            </w:tcBorders>
          </w:tcPr>
          <w:p w:rsidR="00E62994" w:rsidRPr="00565675" w:rsidRDefault="00E62994" w:rsidP="00E62994">
            <w:pPr>
              <w:rPr>
                <w:rFonts w:cs="Arial"/>
                <w:color w:val="4F81BD"/>
              </w:rPr>
            </w:pPr>
            <w:r>
              <w:rPr>
                <w:rFonts w:cs="Arial"/>
              </w:rPr>
              <w:t>The political scene in Nepal</w:t>
            </w:r>
          </w:p>
        </w:tc>
        <w:tc>
          <w:tcPr>
            <w:tcW w:w="3977" w:type="dxa"/>
            <w:tcBorders>
              <w:top w:val="nil"/>
              <w:left w:val="single" w:sz="4" w:space="0" w:color="auto"/>
              <w:bottom w:val="nil"/>
              <w:right w:val="nil"/>
            </w:tcBorders>
          </w:tcPr>
          <w:p w:rsidR="00E62994" w:rsidRPr="00565675" w:rsidRDefault="00E62994" w:rsidP="00E62994">
            <w:pPr>
              <w:rPr>
                <w:rFonts w:cs="Arial"/>
                <w:color w:val="4F81BD"/>
              </w:rPr>
            </w:pPr>
          </w:p>
        </w:tc>
      </w:tr>
      <w:tr w:rsidR="00E62994" w:rsidRPr="00002843" w:rsidTr="001E3470">
        <w:trPr>
          <w:gridAfter w:val="1"/>
          <w:wAfter w:w="3977" w:type="dxa"/>
          <w:trHeight w:val="257"/>
        </w:trPr>
        <w:tc>
          <w:tcPr>
            <w:tcW w:w="2127" w:type="dxa"/>
            <w:shd w:val="clear" w:color="auto" w:fill="4F81BD"/>
          </w:tcPr>
          <w:p w:rsidR="00E62994" w:rsidRPr="00565675" w:rsidRDefault="00E62994" w:rsidP="00E62994">
            <w:pPr>
              <w:ind w:left="80"/>
              <w:jc w:val="center"/>
              <w:rPr>
                <w:rFonts w:cs="Arial"/>
                <w:color w:val="4F81BD"/>
              </w:rPr>
            </w:pPr>
          </w:p>
        </w:tc>
        <w:tc>
          <w:tcPr>
            <w:tcW w:w="3402" w:type="dxa"/>
            <w:shd w:val="clear" w:color="auto" w:fill="4F81BD"/>
          </w:tcPr>
          <w:p w:rsidR="00E62994" w:rsidRPr="00BD26E3" w:rsidRDefault="00E62994" w:rsidP="00E62994">
            <w:pPr>
              <w:rPr>
                <w:rFonts w:cs="Arial"/>
              </w:rPr>
            </w:pPr>
          </w:p>
        </w:tc>
        <w:tc>
          <w:tcPr>
            <w:tcW w:w="5528" w:type="dxa"/>
            <w:shd w:val="clear" w:color="auto" w:fill="4F81BD"/>
          </w:tcPr>
          <w:p w:rsidR="00E62994" w:rsidRPr="00565675" w:rsidRDefault="00E62994" w:rsidP="00E62994">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672"/>
      </w:tblGrid>
      <w:tr w:rsidR="00DE356C" w:rsidRPr="00002843" w:rsidTr="00504B18">
        <w:tc>
          <w:tcPr>
            <w:tcW w:w="11163" w:type="dxa"/>
            <w:gridSpan w:val="3"/>
          </w:tcPr>
          <w:p w:rsidR="00DE356C" w:rsidRPr="00002843" w:rsidRDefault="00E71DD5" w:rsidP="00636639">
            <w:pPr>
              <w:pStyle w:val="Heading1"/>
            </w:pPr>
            <w:r>
              <w:t>Club News</w:t>
            </w: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bookmarkStart w:id="0" w:name="_GoBack"/>
            <w:bookmarkEnd w:id="0"/>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W w:w="10828" w:type="dxa"/>
        <w:tblLayout w:type="fixed"/>
        <w:tblLook w:val="04A0" w:firstRow="1" w:lastRow="0" w:firstColumn="1" w:lastColumn="0" w:noHBand="0" w:noVBand="1"/>
      </w:tblPr>
      <w:tblGrid>
        <w:gridCol w:w="4531"/>
        <w:gridCol w:w="284"/>
        <w:gridCol w:w="1848"/>
        <w:gridCol w:w="3827"/>
        <w:gridCol w:w="338"/>
      </w:tblGrid>
      <w:tr w:rsidR="00C72A01" w:rsidTr="00223961">
        <w:trPr>
          <w:gridAfter w:val="1"/>
          <w:wAfter w:w="338" w:type="dxa"/>
          <w:trHeight w:val="4648"/>
        </w:trPr>
        <w:tc>
          <w:tcPr>
            <w:tcW w:w="4531" w:type="dxa"/>
            <w:tcBorders>
              <w:top w:val="nil"/>
              <w:left w:val="nil"/>
              <w:bottom w:val="nil"/>
              <w:right w:val="nil"/>
            </w:tcBorders>
          </w:tcPr>
          <w:p w:rsidR="00256449" w:rsidRDefault="00C72A01" w:rsidP="00B43065">
            <w:pPr>
              <w:rPr>
                <w:rFonts w:cs="Calibri"/>
              </w:rPr>
            </w:pPr>
            <w:bookmarkStart w:id="1" w:name="OLE_LINK1"/>
            <w:bookmarkStart w:id="2" w:name="OLE_LINK2"/>
            <w:r w:rsidRPr="006A065C">
              <w:rPr>
                <w:noProof/>
                <w:lang w:eastAsia="en-GB"/>
              </w:rPr>
              <w:lastRenderedPageBreak/>
              <w:drawing>
                <wp:inline distT="0" distB="0" distL="0" distR="0" wp14:anchorId="300EF284" wp14:editId="487A8C51">
                  <wp:extent cx="2228850" cy="1670330"/>
                  <wp:effectExtent l="0" t="0" r="0" b="6350"/>
                  <wp:docPr id="2" name="Picture 2" descr="C:\Users\arasmussen\AppData\Local\Microsoft\Windows\INetCache\Content.Outlook\CBTFF60Q\IMG_0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6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694" cy="1685951"/>
                          </a:xfrm>
                          <a:prstGeom prst="rect">
                            <a:avLst/>
                          </a:prstGeom>
                          <a:noFill/>
                          <a:ln>
                            <a:noFill/>
                          </a:ln>
                        </pic:spPr>
                      </pic:pic>
                    </a:graphicData>
                  </a:graphic>
                </wp:inline>
              </w:drawing>
            </w:r>
            <w:r w:rsidR="00223961">
              <w:rPr>
                <w:rFonts w:cs="Calibri"/>
              </w:rPr>
              <w:t xml:space="preserve"> </w:t>
            </w:r>
          </w:p>
          <w:p w:rsidR="00F4649A" w:rsidRDefault="00F4649A" w:rsidP="00C72A01">
            <w:pPr>
              <w:rPr>
                <w:noProof/>
                <w:lang w:eastAsia="en-GB"/>
              </w:rPr>
            </w:pPr>
            <w:r>
              <w:rPr>
                <w:rFonts w:ascii="Arial" w:hAnsi="Arial" w:cs="Arial"/>
                <w:color w:val="404040"/>
                <w:sz w:val="22"/>
                <w:szCs w:val="22"/>
              </w:rPr>
              <w:t>.</w:t>
            </w:r>
            <w:r w:rsidR="0013253A" w:rsidRPr="00A91BE5">
              <w:rPr>
                <w:noProof/>
                <w:lang w:eastAsia="en-GB"/>
              </w:rPr>
              <w:t xml:space="preserve"> </w:t>
            </w:r>
          </w:p>
          <w:p w:rsidR="0070144B" w:rsidRPr="00255810" w:rsidRDefault="00223961" w:rsidP="00223961">
            <w:r>
              <w:t>With a short notice o</w:t>
            </w:r>
            <w:r w:rsidR="0070144B">
              <w:t xml:space="preserve">ur in-house speaker PE Dr. Shankar Sharma gave an inspiring and </w:t>
            </w:r>
            <w:r w:rsidR="00255810" w:rsidRPr="00255810">
              <w:t xml:space="preserve">candid report on the </w:t>
            </w:r>
            <w:r w:rsidR="00255810">
              <w:t>political scene in Nepal.</w:t>
            </w:r>
          </w:p>
          <w:p w:rsidR="0070144B" w:rsidRDefault="0070144B" w:rsidP="00C72A01">
            <w:pPr>
              <w:rPr>
                <w:rFonts w:cs="Calibri"/>
              </w:rPr>
            </w:pPr>
          </w:p>
        </w:tc>
        <w:tc>
          <w:tcPr>
            <w:tcW w:w="284" w:type="dxa"/>
            <w:tcBorders>
              <w:top w:val="nil"/>
              <w:left w:val="nil"/>
              <w:bottom w:val="nil"/>
              <w:right w:val="nil"/>
            </w:tcBorders>
          </w:tcPr>
          <w:p w:rsidR="0070144B" w:rsidRDefault="0070144B" w:rsidP="00B43065">
            <w:pPr>
              <w:rPr>
                <w:rFonts w:cs="Calibri"/>
              </w:rPr>
            </w:pPr>
          </w:p>
        </w:tc>
        <w:tc>
          <w:tcPr>
            <w:tcW w:w="1848" w:type="dxa"/>
            <w:tcBorders>
              <w:top w:val="nil"/>
              <w:left w:val="nil"/>
              <w:bottom w:val="nil"/>
              <w:right w:val="nil"/>
            </w:tcBorders>
          </w:tcPr>
          <w:p w:rsidR="00223961" w:rsidRDefault="00223961" w:rsidP="00B43065">
            <w:pPr>
              <w:rPr>
                <w:rFonts w:cs="Calibri"/>
              </w:rPr>
            </w:pPr>
          </w:p>
          <w:p w:rsidR="00256449" w:rsidRDefault="00223961" w:rsidP="00B43065">
            <w:pPr>
              <w:rPr>
                <w:rFonts w:cs="Calibri"/>
              </w:rPr>
            </w:pPr>
            <w:r>
              <w:rPr>
                <w:rFonts w:cs="Calibri"/>
              </w:rPr>
              <w:t xml:space="preserve">The members engaged in a very lively rounds of questions after the forthright talk </w:t>
            </w:r>
          </w:p>
        </w:tc>
        <w:tc>
          <w:tcPr>
            <w:tcW w:w="3827" w:type="dxa"/>
            <w:tcBorders>
              <w:top w:val="nil"/>
              <w:left w:val="nil"/>
              <w:bottom w:val="nil"/>
              <w:right w:val="nil"/>
            </w:tcBorders>
          </w:tcPr>
          <w:p w:rsidR="00256449" w:rsidRDefault="00C72A01" w:rsidP="00B43065">
            <w:pPr>
              <w:rPr>
                <w:rFonts w:cs="Calibri"/>
              </w:rPr>
            </w:pPr>
            <w:r w:rsidRPr="006A065C">
              <w:rPr>
                <w:noProof/>
                <w:lang w:eastAsia="en-GB"/>
              </w:rPr>
              <w:drawing>
                <wp:inline distT="0" distB="0" distL="0" distR="0" wp14:anchorId="559E3D66" wp14:editId="32A65137">
                  <wp:extent cx="1809750" cy="1581202"/>
                  <wp:effectExtent l="0" t="0" r="0" b="0"/>
                  <wp:docPr id="9" name="Picture 9" descr="C:\Users\arasmussen\AppData\Local\Microsoft\Windows\INetCache\Content.Outlook\CBTFF60Q\IMG_0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06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4870" cy="1594412"/>
                          </a:xfrm>
                          <a:prstGeom prst="rect">
                            <a:avLst/>
                          </a:prstGeom>
                          <a:noFill/>
                          <a:ln>
                            <a:noFill/>
                          </a:ln>
                        </pic:spPr>
                      </pic:pic>
                    </a:graphicData>
                  </a:graphic>
                </wp:inline>
              </w:drawing>
            </w:r>
          </w:p>
        </w:tc>
      </w:tr>
      <w:tr w:rsidR="0076635C" w:rsidTr="00C72A01">
        <w:tc>
          <w:tcPr>
            <w:tcW w:w="10490" w:type="dxa"/>
            <w:gridSpan w:val="4"/>
            <w:tcBorders>
              <w:top w:val="nil"/>
              <w:left w:val="nil"/>
              <w:bottom w:val="nil"/>
              <w:right w:val="nil"/>
            </w:tcBorders>
          </w:tcPr>
          <w:p w:rsidR="0070144B" w:rsidRPr="002A1A4E" w:rsidRDefault="0070144B" w:rsidP="0070144B">
            <w:pPr>
              <w:rPr>
                <w:b/>
              </w:rPr>
            </w:pPr>
            <w:r>
              <w:rPr>
                <w:noProof/>
                <w:lang w:eastAsia="en-GB"/>
              </w:rPr>
              <w:t xml:space="preserve">President Elect </w:t>
            </w:r>
            <w:r w:rsidR="00D50DFA">
              <w:rPr>
                <w:noProof/>
                <w:lang w:eastAsia="en-GB"/>
              </w:rPr>
              <w:t xml:space="preserve">2016/2017 </w:t>
            </w:r>
            <w:r>
              <w:rPr>
                <w:noProof/>
                <w:lang w:eastAsia="en-GB"/>
              </w:rPr>
              <w:t xml:space="preserve">Dr. </w:t>
            </w:r>
            <w:r w:rsidRPr="002A1A4E">
              <w:t xml:space="preserve">Shankar Sharma, former Ambassador of Nepal to the United States has a Ph.D. in economics from the University of Hawaii.  He was Vice-Chairman of the National Planning Commission, Nepal from 2002 to 2006. </w:t>
            </w:r>
          </w:p>
          <w:p w:rsidR="0070144B" w:rsidRPr="002A1A4E" w:rsidRDefault="0070144B" w:rsidP="0070144B"/>
          <w:p w:rsidR="0070144B" w:rsidRPr="002A1A4E" w:rsidRDefault="0070144B" w:rsidP="0070144B">
            <w:pPr>
              <w:rPr>
                <w:b/>
              </w:rPr>
            </w:pPr>
            <w:r w:rsidRPr="002A1A4E">
              <w:t>Before joining the National Planning Commission as a Member in 1997, he worked as a Senior Economic Advisor, Ministry of Finance, Nepal; a Senior Economist in the Institute of Southeast Asian Studies, Singapore; and a Fellow in the East-West Center, Hawaii. He also served as a Professor of Economics in the Centre for Economic Development and Administration, Tribhuvan University.</w:t>
            </w:r>
            <w:r>
              <w:t xml:space="preserve"> </w:t>
            </w:r>
            <w:r w:rsidRPr="002A1A4E">
              <w:t xml:space="preserve">Dr. Sharma also worked as a lead consultant to the Constitution Committee on "Distribution of Natural Resources, Economic Rights and Public Revenue" in helping to draft the new Constitution of Nepal. </w:t>
            </w:r>
          </w:p>
          <w:p w:rsidR="0070144B" w:rsidRPr="002A1A4E" w:rsidRDefault="0070144B" w:rsidP="0070144B"/>
          <w:p w:rsidR="0070144B" w:rsidRDefault="0070144B" w:rsidP="0070144B">
            <w:r w:rsidRPr="002A1A4E">
              <w:t xml:space="preserve">He </w:t>
            </w:r>
            <w:r>
              <w:rPr>
                <w:rFonts w:eastAsia="SimSun"/>
              </w:rPr>
              <w:t>has</w:t>
            </w:r>
            <w:r w:rsidRPr="002A1A4E">
              <w:rPr>
                <w:rFonts w:eastAsia="SimSun"/>
              </w:rPr>
              <w:t xml:space="preserve"> hands-on experience at the field level, as an international consultant in </w:t>
            </w:r>
            <w:r>
              <w:rPr>
                <w:rFonts w:eastAsia="SimSun"/>
              </w:rPr>
              <w:t>the member states of ASEAN and SAARC</w:t>
            </w:r>
            <w:r w:rsidRPr="002A1A4E">
              <w:rPr>
                <w:rFonts w:eastAsia="SimSun"/>
              </w:rPr>
              <w:t xml:space="preserve">. He also worked as a consultant expert in a number of national and international agencies including the Asian Development Bank, the World Bank, and UNDP. </w:t>
            </w:r>
            <w:r w:rsidRPr="002A1A4E">
              <w:t xml:space="preserve">Dr. Sharma was also an editor to </w:t>
            </w:r>
            <w:r w:rsidRPr="002A1A4E">
              <w:rPr>
                <w:b/>
              </w:rPr>
              <w:t>ASEAN Economic Bulletin</w:t>
            </w:r>
            <w:r w:rsidRPr="002A1A4E">
              <w:t xml:space="preserve"> and a consultant editor to </w:t>
            </w:r>
            <w:r w:rsidRPr="002A1A4E">
              <w:rPr>
                <w:b/>
              </w:rPr>
              <w:t>Hydrocarbon Asia</w:t>
            </w:r>
            <w:r w:rsidRPr="002A1A4E">
              <w:t>, both published from Singapore for about seven years.</w:t>
            </w:r>
            <w:r>
              <w:t xml:space="preserve"> He </w:t>
            </w:r>
            <w:r w:rsidRPr="00075357">
              <w:t>has published eight books (edited or authored) and more than fifty articles on the economy, energy and the environment of the Asia-Pacific region including Nepal</w:t>
            </w:r>
            <w:r>
              <w:t>.</w:t>
            </w:r>
          </w:p>
          <w:p w:rsidR="0070144B" w:rsidRPr="0070144B" w:rsidRDefault="0070144B" w:rsidP="00771241">
            <w:pPr>
              <w:rPr>
                <w:lang w:eastAsia="en-GB"/>
              </w:rPr>
            </w:pPr>
            <w:r w:rsidRPr="0070144B">
              <w:rPr>
                <w:lang w:eastAsia="en-GB"/>
              </w:rPr>
              <w:t>Interviews taken with him have appeared in the international newspapers and magazine including, Asia Week, International Herald Tribune, Straits Times, Business Times</w:t>
            </w:r>
            <w:r w:rsidR="00771241">
              <w:rPr>
                <w:lang w:eastAsia="en-GB"/>
              </w:rPr>
              <w:t xml:space="preserve"> </w:t>
            </w:r>
            <w:r w:rsidRPr="0070144B">
              <w:rPr>
                <w:lang w:eastAsia="en-GB"/>
              </w:rPr>
              <w:t>(Singapore and Malaysia), New Straits Times, Bangkok Post, Forbes, Japan Times, Los Angeles Times and almost all newspapers and magazines published from Nepal.</w:t>
            </w:r>
          </w:p>
          <w:p w:rsidR="0070144B" w:rsidRPr="0070144B" w:rsidRDefault="0070144B" w:rsidP="00771241">
            <w:pPr>
              <w:rPr>
                <w:lang w:eastAsia="en-GB"/>
              </w:rPr>
            </w:pPr>
            <w:r w:rsidRPr="0070144B">
              <w:rPr>
                <w:lang w:eastAsia="en-GB"/>
              </w:rPr>
              <w:t xml:space="preserve">He is also the Immediate Past President of the East-West Center Association, Nepal. He is married to </w:t>
            </w:r>
            <w:proofErr w:type="spellStart"/>
            <w:r w:rsidRPr="0070144B">
              <w:rPr>
                <w:lang w:eastAsia="en-GB"/>
              </w:rPr>
              <w:t>Kalpana</w:t>
            </w:r>
            <w:proofErr w:type="spellEnd"/>
            <w:r w:rsidRPr="0070144B">
              <w:rPr>
                <w:lang w:eastAsia="en-GB"/>
              </w:rPr>
              <w:t xml:space="preserve"> Sharma and has a son</w:t>
            </w:r>
            <w:r w:rsidR="00771241">
              <w:rPr>
                <w:lang w:eastAsia="en-GB"/>
              </w:rPr>
              <w:t xml:space="preserve"> </w:t>
            </w:r>
            <w:r w:rsidRPr="0070144B">
              <w:rPr>
                <w:lang w:eastAsia="en-GB"/>
              </w:rPr>
              <w:t>(Sarin Ghimire) and a daughter</w:t>
            </w:r>
            <w:r w:rsidR="00771241">
              <w:rPr>
                <w:lang w:eastAsia="en-GB"/>
              </w:rPr>
              <w:t xml:space="preserve"> </w:t>
            </w:r>
            <w:r w:rsidRPr="0070144B">
              <w:rPr>
                <w:lang w:eastAsia="en-GB"/>
              </w:rPr>
              <w:t>(</w:t>
            </w:r>
            <w:proofErr w:type="spellStart"/>
            <w:r w:rsidRPr="0070144B">
              <w:rPr>
                <w:lang w:eastAsia="en-GB"/>
              </w:rPr>
              <w:t>Silpa</w:t>
            </w:r>
            <w:proofErr w:type="spellEnd"/>
            <w:r w:rsidRPr="0070144B">
              <w:rPr>
                <w:lang w:eastAsia="en-GB"/>
              </w:rPr>
              <w:t xml:space="preserve"> Sharma).</w:t>
            </w:r>
          </w:p>
          <w:p w:rsidR="0070144B" w:rsidRPr="00075357" w:rsidRDefault="0070144B" w:rsidP="0070144B">
            <w:pPr>
              <w:rPr>
                <w:rFonts w:ascii="Arial" w:hAnsi="Arial"/>
              </w:rPr>
            </w:pPr>
          </w:p>
          <w:p w:rsidR="0070144B" w:rsidRDefault="0070144B" w:rsidP="0070144B">
            <w:pPr>
              <w:rPr>
                <w:sz w:val="28"/>
                <w:szCs w:val="28"/>
              </w:rPr>
            </w:pPr>
          </w:p>
          <w:p w:rsidR="0070144B" w:rsidRDefault="004E009E" w:rsidP="0070144B">
            <w:pPr>
              <w:rPr>
                <w:rStyle w:val="xbe"/>
                <w:rFonts w:ascii="Arial" w:hAnsi="Arial" w:cs="Arial"/>
                <w:color w:val="222222"/>
                <w:sz w:val="20"/>
                <w:szCs w:val="20"/>
                <w:shd w:val="clear" w:color="auto" w:fill="FFFFFF"/>
              </w:rPr>
            </w:pPr>
            <w:hyperlink r:id="rId13" w:history="1">
              <w:r w:rsidR="0070144B">
                <w:rPr>
                  <w:rStyle w:val="Hyperlink"/>
                  <w:rFonts w:ascii="Arial" w:hAnsi="Arial" w:cs="Arial"/>
                  <w:b/>
                  <w:bCs/>
                  <w:color w:val="1A0DAB"/>
                  <w:sz w:val="20"/>
                  <w:szCs w:val="20"/>
                  <w:shd w:val="clear" w:color="auto" w:fill="FFFFFF"/>
                </w:rPr>
                <w:t>Books</w:t>
              </w:r>
            </w:hyperlink>
            <w:r w:rsidR="0070144B">
              <w:rPr>
                <w:rStyle w:val="xdb"/>
                <w:rFonts w:ascii="Arial" w:hAnsi="Arial" w:cs="Arial"/>
                <w:b/>
                <w:bCs/>
                <w:color w:val="222222"/>
                <w:sz w:val="20"/>
                <w:szCs w:val="20"/>
                <w:shd w:val="clear" w:color="auto" w:fill="FFFFFF"/>
              </w:rPr>
              <w:t>:</w:t>
            </w:r>
            <w:r w:rsidR="0070144B">
              <w:rPr>
                <w:rStyle w:val="apple-converted-space"/>
                <w:rFonts w:ascii="Arial" w:hAnsi="Arial" w:cs="Arial"/>
                <w:b/>
                <w:bCs/>
                <w:color w:val="222222"/>
                <w:sz w:val="20"/>
                <w:szCs w:val="20"/>
                <w:shd w:val="clear" w:color="auto" w:fill="FFFFFF"/>
              </w:rPr>
              <w:t> </w:t>
            </w:r>
            <w:hyperlink r:id="rId14" w:history="1">
              <w:r w:rsidR="0070144B">
                <w:rPr>
                  <w:rStyle w:val="Hyperlink"/>
                  <w:rFonts w:ascii="Arial" w:hAnsi="Arial" w:cs="Arial"/>
                  <w:color w:val="1A0DAB"/>
                  <w:sz w:val="20"/>
                  <w:szCs w:val="20"/>
                  <w:shd w:val="clear" w:color="auto" w:fill="FFFFFF"/>
                </w:rPr>
                <w:t>Economic Liberalization and Agricultural Development in Nepal</w:t>
              </w:r>
            </w:hyperlink>
            <w:r w:rsidR="0070144B">
              <w:rPr>
                <w:rStyle w:val="xbe"/>
                <w:rFonts w:ascii="Arial" w:hAnsi="Arial" w:cs="Arial"/>
                <w:color w:val="222222"/>
                <w:sz w:val="20"/>
                <w:szCs w:val="20"/>
                <w:shd w:val="clear" w:color="auto" w:fill="FFFFFF"/>
              </w:rPr>
              <w:t>,</w:t>
            </w:r>
          </w:p>
          <w:p w:rsidR="0070144B" w:rsidRDefault="0070144B" w:rsidP="00061986">
            <w:pPr>
              <w:rPr>
                <w:b/>
                <w:sz w:val="28"/>
                <w:szCs w:val="28"/>
              </w:rPr>
            </w:pPr>
          </w:p>
          <w:p w:rsidR="00390A6D" w:rsidRDefault="00390A6D" w:rsidP="00061986"/>
          <w:p w:rsidR="007D13C9" w:rsidRDefault="007D13C9" w:rsidP="007D13C9">
            <w:pPr>
              <w:rPr>
                <w:rFonts w:ascii="Trebuchet MS" w:eastAsia="Calibri" w:hAnsi="Trebuchet MS"/>
                <w:sz w:val="16"/>
                <w:szCs w:val="16"/>
              </w:rPr>
            </w:pPr>
          </w:p>
          <w:p w:rsidR="00390A6D" w:rsidRDefault="00390A6D" w:rsidP="003A198A">
            <w:pPr>
              <w:pStyle w:val="Heading3"/>
            </w:pPr>
            <w:r>
              <w:lastRenderedPageBreak/>
              <w:t>From the district</w:t>
            </w:r>
          </w:p>
          <w:p w:rsidR="003A198A" w:rsidRDefault="003A198A" w:rsidP="003A198A">
            <w:r w:rsidRPr="006042A2">
              <w:rPr>
                <w:b/>
                <w:sz w:val="28"/>
                <w:szCs w:val="28"/>
              </w:rPr>
              <w:t>8th District Conference Dhulikhel, Kavre (February 12, 13 and 14, 2016)</w:t>
            </w:r>
            <w:r>
              <w:t xml:space="preserve"> </w:t>
            </w:r>
            <w:r>
              <w:br/>
            </w:r>
            <w:hyperlink r:id="rId15" w:history="1">
              <w:r w:rsidRPr="003C4C36">
                <w:rPr>
                  <w:rStyle w:val="Hyperlink"/>
                </w:rPr>
                <w:t>http://www.rotary3292.org/wp-content/uploads/2015/07/Brochure-imposed.pdf</w:t>
              </w:r>
            </w:hyperlink>
          </w:p>
          <w:p w:rsidR="003A198A" w:rsidRDefault="003A198A" w:rsidP="003A198A">
            <w:r>
              <w:t>Please sign up and participate to support our candidate PP Dr Chandra Lekha Tuladhar</w:t>
            </w:r>
          </w:p>
          <w:p w:rsidR="003A198A" w:rsidRDefault="003A198A" w:rsidP="00390A6D">
            <w:pPr>
              <w:rPr>
                <w:lang w:eastAsia="en-GB"/>
              </w:rPr>
            </w:pPr>
          </w:p>
          <w:p w:rsidR="00390A6D" w:rsidRPr="00390A6D" w:rsidRDefault="00390A6D" w:rsidP="00390A6D">
            <w:pPr>
              <w:rPr>
                <w:lang w:eastAsia="en-GB"/>
              </w:rPr>
            </w:pPr>
            <w:r w:rsidRPr="00390A6D">
              <w:rPr>
                <w:lang w:eastAsia="en-GB"/>
              </w:rPr>
              <w:t>Fellow Rotarians &amp; Friends,</w:t>
            </w:r>
          </w:p>
          <w:p w:rsidR="003A198A" w:rsidRPr="00390A6D" w:rsidRDefault="00390A6D" w:rsidP="003A198A">
            <w:pPr>
              <w:rPr>
                <w:lang w:eastAsia="en-GB"/>
              </w:rPr>
            </w:pPr>
            <w:r w:rsidRPr="00390A6D">
              <w:rPr>
                <w:lang w:eastAsia="en-GB"/>
              </w:rPr>
              <w:t>This Febr</w:t>
            </w:r>
            <w:r w:rsidR="003A198A">
              <w:rPr>
                <w:lang w:eastAsia="en-GB"/>
              </w:rPr>
              <w:t>uary, fall in love with Rotary and Be a gift to the world.</w:t>
            </w:r>
          </w:p>
          <w:p w:rsidR="00390A6D" w:rsidRPr="00390A6D" w:rsidRDefault="00390A6D" w:rsidP="00390A6D">
            <w:pPr>
              <w:rPr>
                <w:lang w:eastAsia="en-GB"/>
              </w:rPr>
            </w:pPr>
            <w:r w:rsidRPr="00390A6D">
              <w:rPr>
                <w:lang w:eastAsia="en-GB"/>
              </w:rPr>
              <w:t xml:space="preserve">Show your love by donating books for our Library Set Up project at Shree </w:t>
            </w:r>
            <w:proofErr w:type="spellStart"/>
            <w:r w:rsidRPr="00390A6D">
              <w:rPr>
                <w:lang w:eastAsia="en-GB"/>
              </w:rPr>
              <w:t>Gumrang</w:t>
            </w:r>
            <w:proofErr w:type="spellEnd"/>
            <w:r w:rsidRPr="00390A6D">
              <w:rPr>
                <w:lang w:eastAsia="en-GB"/>
              </w:rPr>
              <w:t xml:space="preserve"> Lower Secondary School, </w:t>
            </w:r>
            <w:proofErr w:type="spellStart"/>
            <w:r w:rsidRPr="00390A6D">
              <w:rPr>
                <w:lang w:eastAsia="en-GB"/>
              </w:rPr>
              <w:t>Thula</w:t>
            </w:r>
            <w:proofErr w:type="spellEnd"/>
            <w:r w:rsidRPr="00390A6D">
              <w:rPr>
                <w:lang w:eastAsia="en-GB"/>
              </w:rPr>
              <w:t xml:space="preserve"> </w:t>
            </w:r>
            <w:proofErr w:type="spellStart"/>
            <w:r w:rsidRPr="00390A6D">
              <w:rPr>
                <w:lang w:eastAsia="en-GB"/>
              </w:rPr>
              <w:t>Durlung</w:t>
            </w:r>
            <w:proofErr w:type="spellEnd"/>
            <w:r w:rsidRPr="00390A6D">
              <w:rPr>
                <w:lang w:eastAsia="en-GB"/>
              </w:rPr>
              <w:t xml:space="preserve"> village, Lalitpur.</w:t>
            </w:r>
            <w:r w:rsidR="00EE4370">
              <w:rPr>
                <w:lang w:eastAsia="en-GB"/>
              </w:rPr>
              <w:t xml:space="preserve"> </w:t>
            </w:r>
            <w:r w:rsidRPr="00390A6D">
              <w:rPr>
                <w:lang w:eastAsia="en-GB"/>
              </w:rPr>
              <w:t>Even a single book would be a lovely gift for the school students.</w:t>
            </w:r>
          </w:p>
          <w:p w:rsidR="00390A6D" w:rsidRDefault="00390A6D" w:rsidP="00390A6D"/>
          <w:p w:rsidR="00A225DD" w:rsidRDefault="00737228" w:rsidP="003A198A">
            <w:pPr>
              <w:pStyle w:val="Heading3"/>
            </w:pPr>
            <w:r>
              <w:t>R</w:t>
            </w:r>
            <w:r w:rsidR="00A225DD">
              <w:t xml:space="preserve">otaract news </w:t>
            </w:r>
          </w:p>
          <w:p w:rsidR="00CE2E5E" w:rsidRDefault="00CE2E5E" w:rsidP="00061986">
            <w:pPr>
              <w:rPr>
                <w:rFonts w:cs="Calibri"/>
              </w:rPr>
            </w:pPr>
          </w:p>
          <w:tbl>
            <w:tblPr>
              <w:tblStyle w:val="TableGrid"/>
              <w:tblW w:w="0" w:type="auto"/>
              <w:tblLayout w:type="fixed"/>
              <w:tblLook w:val="04A0" w:firstRow="1" w:lastRow="0" w:firstColumn="1" w:lastColumn="0" w:noHBand="0" w:noVBand="1"/>
            </w:tblPr>
            <w:tblGrid>
              <w:gridCol w:w="3289"/>
              <w:gridCol w:w="7063"/>
            </w:tblGrid>
            <w:tr w:rsidR="00C87890" w:rsidTr="00015ACE">
              <w:tc>
                <w:tcPr>
                  <w:tcW w:w="3289" w:type="dxa"/>
                  <w:tcBorders>
                    <w:top w:val="nil"/>
                    <w:left w:val="nil"/>
                    <w:bottom w:val="nil"/>
                    <w:right w:val="nil"/>
                  </w:tcBorders>
                </w:tcPr>
                <w:p w:rsidR="00C87890" w:rsidRDefault="00C87890" w:rsidP="00A225DD">
                  <w:pPr>
                    <w:rPr>
                      <w:rFonts w:cs="Calibri"/>
                    </w:rPr>
                  </w:pPr>
                  <w:r w:rsidRPr="006A065C">
                    <w:rPr>
                      <w:noProof/>
                      <w:lang w:eastAsia="en-GB"/>
                    </w:rPr>
                    <w:drawing>
                      <wp:inline distT="0" distB="0" distL="0" distR="0" wp14:anchorId="318678AF" wp14:editId="0ED092EA">
                        <wp:extent cx="1982748" cy="1485900"/>
                        <wp:effectExtent l="0" t="0" r="0" b="0"/>
                        <wp:docPr id="6" name="Picture 6" descr="C:\Users\arasmussen\AppData\Local\Microsoft\Windows\INetCache\Content.Outlook\CBTFF60Q\IMG_0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6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9597" cy="1491033"/>
                                </a:xfrm>
                                <a:prstGeom prst="rect">
                                  <a:avLst/>
                                </a:prstGeom>
                                <a:noFill/>
                                <a:ln>
                                  <a:noFill/>
                                </a:ln>
                              </pic:spPr>
                            </pic:pic>
                          </a:graphicData>
                        </a:graphic>
                      </wp:inline>
                    </w:drawing>
                  </w:r>
                </w:p>
              </w:tc>
              <w:tc>
                <w:tcPr>
                  <w:tcW w:w="7063" w:type="dxa"/>
                  <w:tcBorders>
                    <w:top w:val="nil"/>
                    <w:left w:val="nil"/>
                    <w:bottom w:val="nil"/>
                    <w:right w:val="nil"/>
                  </w:tcBorders>
                </w:tcPr>
                <w:p w:rsidR="00015ACE" w:rsidRDefault="00D22890" w:rsidP="00015ACE">
                  <w:pPr>
                    <w:rPr>
                      <w:lang w:val="en-US"/>
                    </w:rPr>
                  </w:pPr>
                  <w:r>
                    <w:rPr>
                      <w:rFonts w:cs="Calibri"/>
                    </w:rPr>
                    <w:t>P</w:t>
                  </w:r>
                  <w:r w:rsidR="000215CB">
                    <w:rPr>
                      <w:rFonts w:cs="Calibri"/>
                    </w:rPr>
                    <w:t>roud</w:t>
                  </w:r>
                  <w:r>
                    <w:rPr>
                      <w:rFonts w:cs="Calibri"/>
                    </w:rPr>
                    <w:t xml:space="preserve"> to present </w:t>
                  </w:r>
                  <w:r>
                    <w:rPr>
                      <w:lang w:val="en-US"/>
                    </w:rPr>
                    <w:t xml:space="preserve">the CV of </w:t>
                  </w:r>
                  <w:r w:rsidR="00015ACE">
                    <w:rPr>
                      <w:lang w:val="en-US"/>
                    </w:rPr>
                    <w:t xml:space="preserve">Rotaract Kapil Ghimire </w:t>
                  </w:r>
                  <w:r>
                    <w:rPr>
                      <w:lang w:val="en-US"/>
                    </w:rPr>
                    <w:t xml:space="preserve">recently nominated for Rotaract President Year 2016-17 of Rotaract Club of Kathmandu Mid Town. </w:t>
                  </w:r>
                </w:p>
                <w:p w:rsidR="00015ACE" w:rsidRDefault="007D13C9" w:rsidP="00015ACE">
                  <w:r>
                    <w:rPr>
                      <w:lang w:val="en-US"/>
                    </w:rPr>
                    <w:t>With an</w:t>
                  </w:r>
                  <w:r w:rsidR="00015ACE">
                    <w:rPr>
                      <w:lang w:val="en-US"/>
                    </w:rPr>
                    <w:t xml:space="preserve"> </w:t>
                  </w:r>
                  <w:r>
                    <w:t>ongoing</w:t>
                  </w:r>
                  <w:r w:rsidR="000215CB">
                    <w:t xml:space="preserve"> </w:t>
                  </w:r>
                  <w:r w:rsidR="000215CB" w:rsidRPr="00380F54">
                    <w:t>Bachel</w:t>
                  </w:r>
                  <w:r w:rsidR="00015ACE">
                    <w:t xml:space="preserve">or of Science in Meteorology </w:t>
                  </w:r>
                  <w:r w:rsidR="000215CB">
                    <w:t xml:space="preserve">at </w:t>
                  </w:r>
                  <w:r w:rsidR="000215CB" w:rsidRPr="00380F54">
                    <w:t>Trichandra Multiple College</w:t>
                  </w:r>
                  <w:r w:rsidR="000215CB">
                    <w:t xml:space="preserve"> </w:t>
                  </w:r>
                  <w:r w:rsidR="00015ACE">
                    <w:t xml:space="preserve">he works as </w:t>
                  </w:r>
                  <w:r w:rsidR="000215CB">
                    <w:t>Assistant Meteorologist at Meteorological Forecasting Division, Department of Hydrology and Meteorology, Nepal Government.</w:t>
                  </w:r>
                  <w:r w:rsidR="00015ACE">
                    <w:t xml:space="preserve"> </w:t>
                  </w:r>
                </w:p>
                <w:p w:rsidR="00015ACE" w:rsidRPr="00CF4394" w:rsidRDefault="00015ACE" w:rsidP="00015ACE">
                  <w:r>
                    <w:t xml:space="preserve">He started out as </w:t>
                  </w:r>
                  <w:r w:rsidRPr="00380F54">
                    <w:t>President RY 2011/12</w:t>
                  </w:r>
                  <w:r>
                    <w:t xml:space="preserve"> of the </w:t>
                  </w:r>
                  <w:r w:rsidRPr="00380F54">
                    <w:t>Interact Club of Annapurna</w:t>
                  </w:r>
                  <w:r>
                    <w:t xml:space="preserve"> and moved to </w:t>
                  </w:r>
                  <w:r w:rsidRPr="00CF4394">
                    <w:t>Rotaract club of Kathmandu Mid-Town</w:t>
                  </w:r>
                  <w:r>
                    <w:t xml:space="preserve"> in 2012. In 2013/14 he took up responsibility as </w:t>
                  </w:r>
                  <w:r w:rsidRPr="00CF4394">
                    <w:t>Logistic Manager RY 2013/14, and served as Club service Director 2014/15 and Vice-President RY 2015/16</w:t>
                  </w:r>
                </w:p>
                <w:p w:rsidR="000215CB" w:rsidRDefault="000215CB" w:rsidP="000215CB"/>
                <w:p w:rsidR="00C87890" w:rsidRPr="00D22890" w:rsidRDefault="00C87890" w:rsidP="00015ACE">
                  <w:pPr>
                    <w:rPr>
                      <w:rFonts w:cs="Calibri"/>
                      <w:lang w:val="en-US"/>
                    </w:rPr>
                  </w:pPr>
                </w:p>
              </w:tc>
            </w:tr>
          </w:tbl>
          <w:p w:rsidR="00A225DD" w:rsidRDefault="00A225DD" w:rsidP="00A225DD">
            <w:pPr>
              <w:rPr>
                <w:rFonts w:cs="Calibri"/>
              </w:rPr>
            </w:pPr>
          </w:p>
        </w:tc>
        <w:tc>
          <w:tcPr>
            <w:tcW w:w="338" w:type="dxa"/>
            <w:tcBorders>
              <w:top w:val="nil"/>
              <w:left w:val="nil"/>
              <w:bottom w:val="nil"/>
              <w:right w:val="nil"/>
            </w:tcBorders>
          </w:tcPr>
          <w:p w:rsidR="0076635C" w:rsidRDefault="0076635C" w:rsidP="00B43065">
            <w:pPr>
              <w:rPr>
                <w:rFonts w:cs="Calibri"/>
              </w:rPr>
            </w:pP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6121B9" w:rsidRDefault="006121B9" w:rsidP="00486828">
      <w:pPr>
        <w:rPr>
          <w:bCs/>
        </w:rPr>
      </w:pPr>
    </w:p>
    <w:tbl>
      <w:tblPr>
        <w:tblStyle w:val="TableGrid"/>
        <w:tblW w:w="0" w:type="auto"/>
        <w:tblLook w:val="04A0" w:firstRow="1" w:lastRow="0" w:firstColumn="1" w:lastColumn="0" w:noHBand="0" w:noVBand="1"/>
      </w:tblPr>
      <w:tblGrid>
        <w:gridCol w:w="6218"/>
        <w:gridCol w:w="4360"/>
        <w:gridCol w:w="222"/>
      </w:tblGrid>
      <w:tr w:rsidR="005E57AD" w:rsidTr="005E57AD">
        <w:tc>
          <w:tcPr>
            <w:tcW w:w="3596" w:type="dxa"/>
            <w:tcBorders>
              <w:top w:val="nil"/>
              <w:left w:val="nil"/>
              <w:bottom w:val="nil"/>
              <w:right w:val="nil"/>
            </w:tcBorders>
          </w:tcPr>
          <w:p w:rsidR="005E57AD" w:rsidRDefault="00FC3C0C">
            <w:pPr>
              <w:rPr>
                <w:bCs/>
              </w:rPr>
            </w:pPr>
            <w:r>
              <w:rPr>
                <w:noProof/>
                <w:lang w:eastAsia="en-GB"/>
              </w:rPr>
              <w:lastRenderedPageBreak/>
              <w:drawing>
                <wp:inline distT="0" distB="0" distL="0" distR="0" wp14:anchorId="18FF5C93" wp14:editId="178F2FDF">
                  <wp:extent cx="4028544" cy="3017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2).jpg"/>
                          <pic:cNvPicPr/>
                        </pic:nvPicPr>
                        <pic:blipFill>
                          <a:blip r:embed="rId17">
                            <a:extLst>
                              <a:ext uri="{28A0092B-C50C-407E-A947-70E740481C1C}">
                                <a14:useLocalDpi xmlns:a14="http://schemas.microsoft.com/office/drawing/2010/main" val="0"/>
                              </a:ext>
                            </a:extLst>
                          </a:blip>
                          <a:stretch>
                            <a:fillRect/>
                          </a:stretch>
                        </pic:blipFill>
                        <pic:spPr>
                          <a:xfrm>
                            <a:off x="0" y="0"/>
                            <a:ext cx="4037101" cy="3023930"/>
                          </a:xfrm>
                          <a:prstGeom prst="rect">
                            <a:avLst/>
                          </a:prstGeom>
                        </pic:spPr>
                      </pic:pic>
                    </a:graphicData>
                  </a:graphic>
                </wp:inline>
              </w:drawing>
            </w:r>
          </w:p>
        </w:tc>
        <w:tc>
          <w:tcPr>
            <w:tcW w:w="3597" w:type="dxa"/>
            <w:tcBorders>
              <w:top w:val="nil"/>
              <w:left w:val="nil"/>
              <w:bottom w:val="nil"/>
              <w:right w:val="nil"/>
            </w:tcBorders>
          </w:tcPr>
          <w:p w:rsidR="005E57AD" w:rsidRDefault="00FC3C0C">
            <w:pPr>
              <w:rPr>
                <w:bCs/>
              </w:rPr>
            </w:pPr>
            <w:r>
              <w:rPr>
                <w:noProof/>
                <w:lang w:eastAsia="en-GB"/>
              </w:rPr>
              <w:drawing>
                <wp:inline distT="0" distB="0" distL="0" distR="0" wp14:anchorId="45915E67" wp14:editId="74DF6789">
                  <wp:extent cx="277177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 (1).jpg"/>
                          <pic:cNvPicPr/>
                        </pic:nvPicPr>
                        <pic:blipFill>
                          <a:blip r:embed="rId18">
                            <a:extLst>
                              <a:ext uri="{28A0092B-C50C-407E-A947-70E740481C1C}">
                                <a14:useLocalDpi xmlns:a14="http://schemas.microsoft.com/office/drawing/2010/main" val="0"/>
                              </a:ext>
                            </a:extLst>
                          </a:blip>
                          <a:stretch>
                            <a:fillRect/>
                          </a:stretch>
                        </pic:blipFill>
                        <pic:spPr>
                          <a:xfrm>
                            <a:off x="0" y="0"/>
                            <a:ext cx="2771775" cy="3019425"/>
                          </a:xfrm>
                          <a:prstGeom prst="rect">
                            <a:avLst/>
                          </a:prstGeom>
                        </pic:spPr>
                      </pic:pic>
                    </a:graphicData>
                  </a:graphic>
                </wp:inline>
              </w:drawing>
            </w:r>
          </w:p>
        </w:tc>
        <w:tc>
          <w:tcPr>
            <w:tcW w:w="3597" w:type="dxa"/>
            <w:tcBorders>
              <w:top w:val="nil"/>
              <w:left w:val="nil"/>
              <w:bottom w:val="nil"/>
              <w:right w:val="nil"/>
            </w:tcBorders>
          </w:tcPr>
          <w:p w:rsidR="005E57AD" w:rsidRDefault="005E57AD">
            <w:pPr>
              <w:rPr>
                <w:bCs/>
              </w:rPr>
            </w:pPr>
          </w:p>
        </w:tc>
      </w:tr>
    </w:tbl>
    <w:p w:rsidR="006121B9" w:rsidRDefault="006121B9">
      <w:pPr>
        <w:rPr>
          <w:bCs/>
        </w:rPr>
      </w:pPr>
    </w:p>
    <w:p w:rsidR="006121B9" w:rsidRDefault="006121B9">
      <w:pPr>
        <w:rPr>
          <w:bCs/>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FC3C0C" w:rsidRDefault="00FC3C0C" w:rsidP="00FC3C0C"/>
    <w:p w:rsidR="00A731AB" w:rsidRPr="002A6D50" w:rsidRDefault="00A731AB" w:rsidP="00FC3C0C">
      <w:pPr>
        <w:rPr>
          <w:sz w:val="36"/>
          <w:szCs w:val="36"/>
          <w:lang w:eastAsia="en-GB"/>
        </w:rPr>
      </w:pPr>
      <w:r w:rsidRPr="002A6D50">
        <w:rPr>
          <w:sz w:val="36"/>
          <w:szCs w:val="36"/>
        </w:rPr>
        <w:t>February is Peace and Conflict Prevention/Resolution Month in Rotary.</w:t>
      </w:r>
    </w:p>
    <w:p w:rsidR="00081EA7" w:rsidRPr="00081EA7" w:rsidRDefault="00081EA7" w:rsidP="00FC3C0C">
      <w:pPr>
        <w:rPr>
          <w:lang w:eastAsia="en-GB"/>
        </w:rPr>
      </w:pPr>
      <w:r w:rsidRPr="00081EA7">
        <w:rPr>
          <w:lang w:eastAsia="en-GB"/>
        </w:rPr>
        <w:t>Millions of people worldwide are currently displaced by armed conflict or persecution. Thousands of people are maimed or killed by land mines each year. 90% of casualties in armed conflicts are civilians, at least half are children. Thousands of child soldiers (boys and girls under age 18) are believed to be involved in conflicts around the world. Thousands of people are also suffering from some sort of domestic violence.</w:t>
      </w:r>
    </w:p>
    <w:p w:rsidR="00081EA7" w:rsidRDefault="00081EA7" w:rsidP="00FC3C0C">
      <w:pPr>
        <w:rPr>
          <w:lang w:eastAsia="en-GB"/>
        </w:rPr>
      </w:pPr>
      <w:r w:rsidRPr="00081EA7">
        <w:rPr>
          <w:lang w:eastAsia="en-GB"/>
        </w:rPr>
        <w:t>Promoting peace is one of the focus areas of the Rotary. Hence, Rotary has established Rotary Peace Fellowship Program. Each year, Rotary selects up to 100 individuals from around the world to receive fully funded academic fellows</w:t>
      </w:r>
      <w:r>
        <w:rPr>
          <w:lang w:eastAsia="en-GB"/>
        </w:rPr>
        <w:t>hips at one of our peace centres</w:t>
      </w:r>
      <w:r w:rsidRPr="00081EA7">
        <w:rPr>
          <w:lang w:eastAsia="en-GB"/>
        </w:rPr>
        <w:t>. In just over a decade, the Rotary Peace Centers have trained more than 900 fellows for careers in peace building. Many of them go on to serve as leaders in national governments, NGOs, the military, law enforcement, and international organizations like the United Nations and World Bank</w:t>
      </w:r>
    </w:p>
    <w:p w:rsidR="00FC3C0C" w:rsidRDefault="00FC3C0C" w:rsidP="00FC3C0C">
      <w:pPr>
        <w:rPr>
          <w:lang w:eastAsia="en-GB"/>
        </w:rPr>
      </w:pPr>
    </w:p>
    <w:p w:rsidR="00FC3C0C" w:rsidRDefault="00FC3C0C" w:rsidP="00FC3C0C">
      <w:r>
        <w:t>Rotary World Peace Conference. The two-day meeting on 15-16 January brought together experts from around the world to explore ideas and solutions to violence and conflict.</w:t>
      </w:r>
    </w:p>
    <w:p w:rsidR="00FC3C0C" w:rsidRDefault="00FC3C0C" w:rsidP="00FC3C0C">
      <w:r>
        <w:t>The conference was the first of five</w:t>
      </w:r>
      <w:r>
        <w:rPr>
          <w:rStyle w:val="apple-converted-space"/>
          <w:rFonts w:ascii="Georgia" w:hAnsi="Georgia"/>
          <w:color w:val="000000"/>
          <w:sz w:val="21"/>
          <w:szCs w:val="21"/>
        </w:rPr>
        <w:t> </w:t>
      </w:r>
      <w:hyperlink r:id="rId19" w:tooltip="Attend one of five presidential conferences" w:history="1">
        <w:r>
          <w:rPr>
            <w:rStyle w:val="Hyperlink"/>
            <w:rFonts w:ascii="Georgia" w:hAnsi="Georgia"/>
            <w:color w:val="005DAA"/>
            <w:sz w:val="21"/>
            <w:szCs w:val="21"/>
          </w:rPr>
          <w:t>Rotary presidential conferences</w:t>
        </w:r>
      </w:hyperlink>
      <w:r>
        <w:rPr>
          <w:rStyle w:val="apple-converted-space"/>
          <w:rFonts w:ascii="Georgia" w:hAnsi="Georgia"/>
          <w:color w:val="000000"/>
          <w:sz w:val="21"/>
          <w:szCs w:val="21"/>
        </w:rPr>
        <w:t> </w:t>
      </w:r>
      <w:r>
        <w:t>planned for this year.</w:t>
      </w:r>
    </w:p>
    <w:p w:rsidR="00FC3C0C" w:rsidRDefault="00FC3C0C" w:rsidP="00FC3C0C">
      <w:r>
        <w:t>More than 150 leaders in the fields of peace, education, business, law, and health care led over 100 breakout sessions and workshops. Topics ranged from how to achieve peace through education to combating human trafficking to the role the media has in eliminating conflict.</w:t>
      </w:r>
    </w:p>
    <w:p w:rsidR="00FC3C0C" w:rsidRDefault="00FC3C0C" w:rsidP="00FC3C0C">
      <w:r>
        <w:t>Hosted by Rotary districts in California and attended by more than 1,500 people, the conference is an example of how Rotary members are taking peace into their own hands, said RI President K.R. Ravindran.</w:t>
      </w:r>
    </w:p>
    <w:p w:rsidR="00FC3C0C" w:rsidRDefault="00FC3C0C" w:rsidP="00FC3C0C">
      <w:r>
        <w:t xml:space="preserve">“We can’t wait for governments to build peace, or the United Nations. We can’t expect peace to be handed to us on a platter,” said Ravindran. “We have to build peace from the bottom, from the foundation of our </w:t>
      </w:r>
      <w:r>
        <w:lastRenderedPageBreak/>
        <w:t>society. The valuable information you leave with at the end of this conference will aid you in managing conflict in your personal lives, local communities, and potentially around the world.”</w:t>
      </w:r>
    </w:p>
    <w:p w:rsidR="00FC3C0C" w:rsidRPr="00081EA7" w:rsidRDefault="00FC3C0C" w:rsidP="00081EA7">
      <w:pPr>
        <w:shd w:val="clear" w:color="auto" w:fill="FFFFFF"/>
        <w:spacing w:after="90" w:line="290" w:lineRule="atLeast"/>
        <w:rPr>
          <w:rFonts w:ascii="Helvetica" w:hAnsi="Helvetica"/>
          <w:color w:val="141823"/>
          <w:sz w:val="21"/>
          <w:szCs w:val="21"/>
          <w:lang w:eastAsia="en-GB"/>
        </w:rPr>
      </w:pPr>
    </w:p>
    <w:p w:rsidR="005B711C" w:rsidRDefault="005B711C" w:rsidP="005B711C">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23 February — Rotary's anniversary</w:t>
      </w:r>
    </w:p>
    <w:p w:rsidR="005B711C" w:rsidRDefault="005B711C" w:rsidP="005B711C">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27 February —</w:t>
      </w:r>
      <w:r>
        <w:rPr>
          <w:rStyle w:val="apple-converted-space"/>
          <w:rFonts w:ascii="Georgia" w:hAnsi="Georgia"/>
          <w:color w:val="000000"/>
          <w:sz w:val="21"/>
          <w:szCs w:val="21"/>
        </w:rPr>
        <w:t> </w:t>
      </w:r>
      <w:hyperlink r:id="rId20" w:tgtFrame="_blank" w:history="1">
        <w:r>
          <w:rPr>
            <w:rStyle w:val="Hyperlink"/>
            <w:rFonts w:ascii="Georgia" w:hAnsi="Georgia"/>
            <w:color w:val="005DAA"/>
            <w:sz w:val="21"/>
            <w:szCs w:val="21"/>
          </w:rPr>
          <w:t>Presidential Conference: Economic Development</w:t>
        </w:r>
      </w:hyperlink>
      <w:r>
        <w:rPr>
          <w:rFonts w:ascii="Georgia" w:hAnsi="Georgia"/>
          <w:color w:val="000000"/>
          <w:sz w:val="21"/>
          <w:szCs w:val="21"/>
        </w:rPr>
        <w:t>, Cape Town, South Africa</w:t>
      </w:r>
    </w:p>
    <w:p w:rsidR="005B711C" w:rsidRDefault="005B711C" w:rsidP="00A731AB"/>
    <w:p w:rsidR="000F1048" w:rsidRDefault="000F1048" w:rsidP="00E2383E">
      <w:pPr>
        <w:pStyle w:val="Heading3"/>
        <w:rPr>
          <w:lang w:eastAsia="en-GB"/>
        </w:rPr>
      </w:pPr>
      <w:r>
        <w:t>THE ROTARY FOUNDATION IS TURNING 100!</w:t>
      </w:r>
    </w:p>
    <w:p w:rsidR="000F1048" w:rsidRDefault="000F1048" w:rsidP="000F1048">
      <w:pPr>
        <w:pStyle w:val="NormalWeb"/>
        <w:shd w:val="clear" w:color="auto" w:fill="FFFFFF"/>
        <w:spacing w:before="0" w:beforeAutospacing="0" w:after="0" w:afterAutospacing="0" w:line="343" w:lineRule="atLeast"/>
        <w:rPr>
          <w:rFonts w:ascii="Georgia" w:hAnsi="Georgia"/>
          <w:color w:val="000000"/>
          <w:sz w:val="21"/>
          <w:szCs w:val="21"/>
        </w:rPr>
      </w:pPr>
      <w:r w:rsidRPr="000F1048">
        <w:t xml:space="preserve">Rotary Foundation Trustee Chair Ray </w:t>
      </w:r>
      <w:proofErr w:type="spellStart"/>
      <w:r w:rsidRPr="000F1048">
        <w:t>Klinginsmith</w:t>
      </w:r>
      <w:proofErr w:type="spellEnd"/>
      <w:r w:rsidRPr="000F1048">
        <w:t xml:space="preserve"> asked district governors in training at the International Assembly to lead the celebration of the </w:t>
      </w:r>
      <w:hyperlink r:id="rId21" w:tooltip="Foundation Centennial" w:history="1">
        <w:r w:rsidRPr="000F1048">
          <w:t>Foundat...</w:t>
        </w:r>
      </w:hyperlink>
      <w:r w:rsidR="00A2592C">
        <w:t xml:space="preserve"> please see more here:</w:t>
      </w:r>
      <w:r w:rsidRPr="000F1048">
        <w:t xml:space="preserve"> </w:t>
      </w:r>
      <w:hyperlink r:id="rId22" w:history="1">
        <w:r w:rsidRPr="003C4C36">
          <w:rPr>
            <w:rStyle w:val="Hyperlink"/>
            <w:rFonts w:ascii="Georgia" w:hAnsi="Georgia"/>
            <w:sz w:val="21"/>
            <w:szCs w:val="21"/>
          </w:rPr>
          <w:t>https://www.rotary.org/myrotary/en/rotary-foundation/foundation-centennial</w:t>
        </w:r>
      </w:hyperlink>
    </w:p>
    <w:p w:rsidR="000F1048" w:rsidRPr="00FE6106" w:rsidRDefault="00E2383E" w:rsidP="00E2383E">
      <w:pPr>
        <w:pStyle w:val="Heading3"/>
      </w:pPr>
      <w:r>
        <w:t>Rotary Story of the week</w:t>
      </w:r>
    </w:p>
    <w:p w:rsidR="00101B59" w:rsidRPr="00690AF7" w:rsidRDefault="00101B59" w:rsidP="00E2383E">
      <w:pPr>
        <w:pStyle w:val="Heading3"/>
      </w:pP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bookmarkEnd w:id="1"/>
    <w:bookmarkEnd w:id="2"/>
    <w:p w:rsidR="00690AF7" w:rsidRDefault="00690AF7" w:rsidP="00690AF7">
      <w:pPr>
        <w:rPr>
          <w:rFonts w:ascii="Georgia" w:hAnsi="Georgia"/>
        </w:rPr>
      </w:pPr>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A6182B" w:rsidRDefault="00A6182B" w:rsidP="00A6182B">
      <w:pPr>
        <w:jc w:val="center"/>
      </w:pPr>
    </w:p>
    <w:p w:rsidR="00902A71" w:rsidRDefault="00902A71" w:rsidP="00902A71">
      <w:pPr>
        <w:jc w:val="center"/>
        <w:rPr>
          <w:color w:val="auto"/>
          <w:sz w:val="22"/>
          <w:szCs w:val="21"/>
          <w:lang w:eastAsia="en-GB"/>
        </w:rPr>
      </w:pPr>
      <w:r>
        <w:t>Humans have a tendency to fall prey to the illusion that their economy is at the very center of the universe, forgetting that the biosphere is what ultimately sustains all systems, both man-made and natural. In this sense, ‘environmental issues’ are not about saving the planet -- it will always survive and evolve with new combinations of atoms --but about the prosperous development of our own species.</w:t>
      </w:r>
    </w:p>
    <w:p w:rsidR="00902A71" w:rsidRDefault="00902A71" w:rsidP="00902A71">
      <w:pPr>
        <w:jc w:val="center"/>
      </w:pPr>
    </w:p>
    <w:p w:rsidR="00902A71" w:rsidRDefault="00902A71" w:rsidP="00902A71">
      <w:pPr>
        <w:jc w:val="center"/>
      </w:pPr>
      <w:r>
        <w:t xml:space="preserve">*** Carl </w:t>
      </w:r>
      <w:proofErr w:type="spellStart"/>
      <w:r>
        <w:t>Folke</w:t>
      </w:r>
      <w:proofErr w:type="spellEnd"/>
      <w:r>
        <w:t xml:space="preserve"> Science Director of the Stockholm Resilience Centre at Stockholm University ***</w:t>
      </w:r>
    </w:p>
    <w:p w:rsidR="00392260" w:rsidRDefault="00392260" w:rsidP="00392260">
      <w:pPr>
        <w:pStyle w:val="PlainText"/>
      </w:pPr>
    </w:p>
    <w:p w:rsidR="00A6182B" w:rsidRDefault="00A6182B" w:rsidP="00392260">
      <w:pPr>
        <w:pStyle w:val="PlainText"/>
      </w:pPr>
    </w:p>
    <w:p w:rsidR="00902A71" w:rsidRDefault="007D13C9" w:rsidP="007D13C9">
      <w:pPr>
        <w:pStyle w:val="Heading2"/>
      </w:pPr>
      <w:r>
        <w:t xml:space="preserve">Happy </w:t>
      </w:r>
      <w:r w:rsidR="00902A71">
        <w:t xml:space="preserve">Losar and </w:t>
      </w:r>
      <w:r>
        <w:t xml:space="preserve">Chinese New Year; we are now in the </w:t>
      </w:r>
      <w:r w:rsidR="00902A71">
        <w:t xml:space="preserve">year of the Monkey </w:t>
      </w:r>
    </w:p>
    <w:p w:rsidR="007D13C9" w:rsidRDefault="007D13C9" w:rsidP="007D13C9"/>
    <w:p w:rsidR="00B34314" w:rsidRDefault="00B34314" w:rsidP="00B34314">
      <w:r>
        <w:lastRenderedPageBreak/>
        <w:t>In parallel with the Tamang and Sherpa Losar celebrated this week Chinese around the world has entered into the Year of the Monkey Monday, and with it will come countless questions about what lies in store for the lunar 2016.</w:t>
      </w:r>
    </w:p>
    <w:p w:rsidR="00B34314" w:rsidRDefault="00B34314" w:rsidP="00B34314">
      <w:r>
        <w:t xml:space="preserve">Over the years Chen </w:t>
      </w:r>
      <w:proofErr w:type="spellStart"/>
      <w:r>
        <w:t>Shuaifu</w:t>
      </w:r>
      <w:proofErr w:type="spellEnd"/>
      <w:r>
        <w:t xml:space="preserve">, a noted </w:t>
      </w:r>
      <w:proofErr w:type="spellStart"/>
      <w:r>
        <w:t>feng</w:t>
      </w:r>
      <w:proofErr w:type="spellEnd"/>
      <w:r>
        <w:t xml:space="preserve"> </w:t>
      </w:r>
      <w:proofErr w:type="spellStart"/>
      <w:r>
        <w:t>shui</w:t>
      </w:r>
      <w:proofErr w:type="spellEnd"/>
      <w:r>
        <w:t xml:space="preserve"> master has given his predictions to NBC News. For people in China, the astrological divinations of a local </w:t>
      </w:r>
      <w:proofErr w:type="spellStart"/>
      <w:r>
        <w:t>feng</w:t>
      </w:r>
      <w:proofErr w:type="spellEnd"/>
      <w:r>
        <w:t xml:space="preserve"> </w:t>
      </w:r>
      <w:proofErr w:type="spellStart"/>
      <w:r>
        <w:t>shui</w:t>
      </w:r>
      <w:proofErr w:type="spellEnd"/>
      <w:r>
        <w:t xml:space="preserve"> master can be important guidance in making decisions for the coming year. For many others, the annual predictions are just for fun.</w:t>
      </w:r>
    </w:p>
    <w:p w:rsidR="00B34314" w:rsidRDefault="00B34314" w:rsidP="00B34314">
      <w:r>
        <w:t>Unfortunately for anyone seeking reassurance about the worldwide economic turmoil, Chen does not have any encouraging words.</w:t>
      </w:r>
    </w:p>
    <w:p w:rsidR="00B34314" w:rsidRDefault="00B34314" w:rsidP="00B34314">
      <w:r>
        <w:t>"In 2016 we will see a big slide in the world economy," he warns. "The global economic situation will be terrible and lots of companies will be bankrupted."</w:t>
      </w:r>
    </w:p>
    <w:p w:rsidR="00B34314" w:rsidRDefault="00B34314" w:rsidP="00B34314">
      <w:r>
        <w:t>He recommends postponing important financial decisions in 2016, but warns that those looking to grow families or resolve questions of the heart shouldn't wait any longer.</w:t>
      </w:r>
    </w:p>
    <w:p w:rsidR="00B34314" w:rsidRDefault="00B34314" w:rsidP="00B34314">
      <w:r>
        <w:t>"It's a good year for people to give birth and to look for love," he says. "Babies born in the Year of the Monkey are regarded as very hardworking and lucky."</w:t>
      </w:r>
    </w:p>
    <w:p w:rsidR="00B34314" w:rsidRDefault="00B34314" w:rsidP="00B34314">
      <w:pPr>
        <w:rPr>
          <w:color w:val="2F5496" w:themeColor="accent5" w:themeShade="BF"/>
          <w:sz w:val="22"/>
          <w:szCs w:val="22"/>
        </w:rPr>
      </w:pPr>
    </w:p>
    <w:p w:rsidR="00B34314" w:rsidRPr="00B34314" w:rsidRDefault="004E009E" w:rsidP="00B34314">
      <w:pPr>
        <w:rPr>
          <w:color w:val="2F5496" w:themeColor="accent5" w:themeShade="BF"/>
        </w:rPr>
      </w:pPr>
      <w:hyperlink r:id="rId23" w:tgtFrame="_blank" w:history="1">
        <w:r w:rsidR="00B34314" w:rsidRPr="00B34314">
          <w:rPr>
            <w:rStyle w:val="Hyperlink"/>
            <w:color w:val="2F5496" w:themeColor="accent5" w:themeShade="BF"/>
          </w:rPr>
          <w:t>Laura Lau</w:t>
        </w:r>
      </w:hyperlink>
      <w:r w:rsidR="00B34314" w:rsidRPr="00B34314">
        <w:rPr>
          <w:color w:val="2F5496" w:themeColor="accent5" w:themeShade="BF"/>
        </w:rPr>
        <w:t>, author of</w:t>
      </w:r>
      <w:r w:rsidR="00B34314" w:rsidRPr="00B34314">
        <w:rPr>
          <w:rStyle w:val="apple-converted-space"/>
          <w:color w:val="2F5496" w:themeColor="accent5" w:themeShade="BF"/>
        </w:rPr>
        <w:t> </w:t>
      </w:r>
      <w:hyperlink r:id="rId24" w:tgtFrame="_blank" w:history="1">
        <w:r w:rsidR="00B34314" w:rsidRPr="00B34314">
          <w:rPr>
            <w:rStyle w:val="Emphasis"/>
            <w:color w:val="2F5496" w:themeColor="accent5" w:themeShade="BF"/>
          </w:rPr>
          <w:t>The Handbook of Chinese Horoscopes</w:t>
        </w:r>
      </w:hyperlink>
      <w:r w:rsidR="00B34314" w:rsidRPr="00B34314">
        <w:rPr>
          <w:color w:val="2F5496" w:themeColor="accent5" w:themeShade="BF"/>
        </w:rPr>
        <w:t>, currently in its seventh edition, implies about the spiritual significance of the Year of the Monkey, what it means that it’s aligned with the element of fire, and she also states what to watch out for this year.</w:t>
      </w:r>
      <w:r w:rsidR="00B34314" w:rsidRPr="00B34314">
        <w:rPr>
          <w:color w:val="2F5496" w:themeColor="accent5" w:themeShade="BF"/>
        </w:rPr>
        <w:br/>
      </w:r>
      <w:r w:rsidR="00B34314" w:rsidRPr="00B34314">
        <w:rPr>
          <w:color w:val="2F5496" w:themeColor="accent5" w:themeShade="BF"/>
        </w:rPr>
        <w:br/>
        <w:t>“The monkey is known for being very intelligent and clever,” explains Lau, calling it “one of the most innovative personalities within the zodiac.” These are common personality traits of people born under this sign, but they’re also thematic to the Year of the Monkey overall. As the monkey imbues the year with its quick wit, curiosity, and, as Lau stresses, its resourcefulness, it becomes a “year of reinvention in a lot of ways...a very energetic year and an auspicious one.”</w:t>
      </w:r>
      <w:r w:rsidR="00B34314" w:rsidRPr="00B34314">
        <w:rPr>
          <w:color w:val="2F5496" w:themeColor="accent5" w:themeShade="BF"/>
        </w:rPr>
        <w:br/>
      </w:r>
      <w:r w:rsidR="00B34314" w:rsidRPr="00B34314">
        <w:rPr>
          <w:color w:val="2F5496" w:themeColor="accent5" w:themeShade="BF"/>
        </w:rPr>
        <w:br/>
        <w:t>You might have heard that this year is specifically a</w:t>
      </w:r>
      <w:r w:rsidR="00B34314" w:rsidRPr="00B34314">
        <w:rPr>
          <w:rStyle w:val="apple-converted-space"/>
          <w:color w:val="2F5496" w:themeColor="accent5" w:themeShade="BF"/>
        </w:rPr>
        <w:t> </w:t>
      </w:r>
      <w:hyperlink r:id="rId25" w:tgtFrame="_blank" w:history="1">
        <w:r w:rsidR="00B34314" w:rsidRPr="00B34314">
          <w:rPr>
            <w:rStyle w:val="Hyperlink"/>
            <w:color w:val="2F5496" w:themeColor="accent5" w:themeShade="BF"/>
          </w:rPr>
          <w:t>Year of the Fire Monkey</w:t>
        </w:r>
      </w:hyperlink>
      <w:r w:rsidR="00B34314" w:rsidRPr="00B34314">
        <w:rPr>
          <w:color w:val="2F5496" w:themeColor="accent5" w:themeShade="BF"/>
        </w:rPr>
        <w:t>, which not only sounds cool, but could also be advantageous. Every year is associated with one of the five main elements — metal, water, fire, wood, and earth — which, as Lau explains, adds “another layer to the horoscope chart.” In this year’s case, she says to expect “an element of vitality, a little bit more power and energy to it.” Lau adds that these elements interact with each sign of the zodiac differently, causing the tone of each year to vary more than one would think, and the Fire Monkey makes for a powerful combination.</w:t>
      </w:r>
    </w:p>
    <w:p w:rsidR="007D13C9" w:rsidRPr="00B34314" w:rsidRDefault="007D13C9" w:rsidP="00B34314">
      <w:pPr>
        <w:rPr>
          <w:color w:val="2F5496" w:themeColor="accent5" w:themeShade="BF"/>
          <w:sz w:val="22"/>
          <w:szCs w:val="22"/>
        </w:rPr>
      </w:pPr>
    </w:p>
    <w:p w:rsidR="00902A71" w:rsidRDefault="00902A71" w:rsidP="00B34314"/>
    <w:p w:rsidR="003E3877" w:rsidRDefault="003E3877" w:rsidP="00EC6A1A">
      <w:pPr>
        <w:jc w:val="both"/>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6"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7"/>
      <w:footerReference w:type="default" r:id="rId28"/>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09E" w:rsidRDefault="004E009E">
      <w:r>
        <w:separator/>
      </w:r>
    </w:p>
  </w:endnote>
  <w:endnote w:type="continuationSeparator" w:id="0">
    <w:p w:rsidR="004E009E" w:rsidRDefault="004E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B84A08">
          <w:rPr>
            <w:noProof/>
          </w:rPr>
          <w:t>4</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09E" w:rsidRDefault="004E009E">
      <w:r>
        <w:separator/>
      </w:r>
    </w:p>
  </w:footnote>
  <w:footnote w:type="continuationSeparator" w:id="0">
    <w:p w:rsidR="004E009E" w:rsidRDefault="004E0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8">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0">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2">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num>
  <w:num w:numId="2">
    <w:abstractNumId w:val="7"/>
  </w:num>
  <w:num w:numId="3">
    <w:abstractNumId w:val="11"/>
  </w:num>
  <w:num w:numId="4">
    <w:abstractNumId w:val="16"/>
  </w:num>
  <w:num w:numId="5">
    <w:abstractNumId w:val="2"/>
  </w:num>
  <w:num w:numId="6">
    <w:abstractNumId w:val="14"/>
  </w:num>
  <w:num w:numId="7">
    <w:abstractNumId w:val="8"/>
  </w:num>
  <w:num w:numId="8">
    <w:abstractNumId w:val="3"/>
  </w:num>
  <w:num w:numId="9">
    <w:abstractNumId w:val="23"/>
  </w:num>
  <w:num w:numId="10">
    <w:abstractNumId w:val="25"/>
  </w:num>
  <w:num w:numId="11">
    <w:abstractNumId w:val="5"/>
  </w:num>
  <w:num w:numId="12">
    <w:abstractNumId w:val="19"/>
  </w:num>
  <w:num w:numId="13">
    <w:abstractNumId w:val="30"/>
  </w:num>
  <w:num w:numId="14">
    <w:abstractNumId w:val="20"/>
  </w:num>
  <w:num w:numId="15">
    <w:abstractNumId w:val="28"/>
  </w:num>
  <w:num w:numId="16">
    <w:abstractNumId w:val="12"/>
  </w:num>
  <w:num w:numId="17">
    <w:abstractNumId w:val="24"/>
  </w:num>
  <w:num w:numId="18">
    <w:abstractNumId w:val="1"/>
  </w:num>
  <w:num w:numId="19">
    <w:abstractNumId w:val="18"/>
  </w:num>
  <w:num w:numId="20">
    <w:abstractNumId w:val="9"/>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6"/>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6"/>
  </w:num>
  <w:num w:numId="28">
    <w:abstractNumId w:val="15"/>
  </w:num>
  <w:num w:numId="29">
    <w:abstractNumId w:val="22"/>
  </w:num>
  <w:num w:numId="30">
    <w:abstractNumId w:val="15"/>
  </w:num>
  <w:num w:numId="31">
    <w:abstractNumId w:val="27"/>
  </w:num>
  <w:num w:numId="32">
    <w:abstractNumId w:val="29"/>
  </w:num>
  <w:num w:numId="33">
    <w:abstractNumId w:val="3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4105"/>
    <w:rsid w:val="000D5FE7"/>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B75"/>
    <w:rsid w:val="000F1048"/>
    <w:rsid w:val="000F124D"/>
    <w:rsid w:val="000F1E63"/>
    <w:rsid w:val="000F29D3"/>
    <w:rsid w:val="000F3740"/>
    <w:rsid w:val="000F48C1"/>
    <w:rsid w:val="000F5912"/>
    <w:rsid w:val="000F6708"/>
    <w:rsid w:val="000F6DD5"/>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C46"/>
    <w:rsid w:val="00175DE8"/>
    <w:rsid w:val="00180AC1"/>
    <w:rsid w:val="00181AD3"/>
    <w:rsid w:val="001821D5"/>
    <w:rsid w:val="001826C7"/>
    <w:rsid w:val="001834E1"/>
    <w:rsid w:val="00183D2E"/>
    <w:rsid w:val="00183ED4"/>
    <w:rsid w:val="00184329"/>
    <w:rsid w:val="00184C81"/>
    <w:rsid w:val="00185DB5"/>
    <w:rsid w:val="00185EF3"/>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3C62"/>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470"/>
    <w:rsid w:val="001E369F"/>
    <w:rsid w:val="001E3CE6"/>
    <w:rsid w:val="001E3E72"/>
    <w:rsid w:val="001E4667"/>
    <w:rsid w:val="001E47BC"/>
    <w:rsid w:val="001E6981"/>
    <w:rsid w:val="001F009E"/>
    <w:rsid w:val="001F00F0"/>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309"/>
    <w:rsid w:val="00263386"/>
    <w:rsid w:val="0026584B"/>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D52"/>
    <w:rsid w:val="00312606"/>
    <w:rsid w:val="0031313B"/>
    <w:rsid w:val="003136BD"/>
    <w:rsid w:val="00313BEC"/>
    <w:rsid w:val="00313CFF"/>
    <w:rsid w:val="00314540"/>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09E"/>
    <w:rsid w:val="004E05F9"/>
    <w:rsid w:val="004E0F11"/>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42A2"/>
    <w:rsid w:val="00606BC9"/>
    <w:rsid w:val="00607307"/>
    <w:rsid w:val="006076A2"/>
    <w:rsid w:val="00607B45"/>
    <w:rsid w:val="00610944"/>
    <w:rsid w:val="00611A3E"/>
    <w:rsid w:val="00611DA7"/>
    <w:rsid w:val="006121B9"/>
    <w:rsid w:val="0061273C"/>
    <w:rsid w:val="00612826"/>
    <w:rsid w:val="00614636"/>
    <w:rsid w:val="00616D39"/>
    <w:rsid w:val="0062056B"/>
    <w:rsid w:val="00620CE4"/>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6644"/>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2A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1054F"/>
    <w:rsid w:val="009119B0"/>
    <w:rsid w:val="009119CD"/>
    <w:rsid w:val="00911EE2"/>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2AF1"/>
    <w:rsid w:val="00A731AB"/>
    <w:rsid w:val="00A73843"/>
    <w:rsid w:val="00A74255"/>
    <w:rsid w:val="00A7457B"/>
    <w:rsid w:val="00A76285"/>
    <w:rsid w:val="00A76501"/>
    <w:rsid w:val="00A77F50"/>
    <w:rsid w:val="00A82399"/>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7F6"/>
    <w:rsid w:val="00AD3EFB"/>
    <w:rsid w:val="00AD3FC5"/>
    <w:rsid w:val="00AD677E"/>
    <w:rsid w:val="00AD6BA7"/>
    <w:rsid w:val="00AE0266"/>
    <w:rsid w:val="00AE12AF"/>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64B2"/>
    <w:rsid w:val="00C06AD9"/>
    <w:rsid w:val="00C07A16"/>
    <w:rsid w:val="00C07AF4"/>
    <w:rsid w:val="00C07F24"/>
    <w:rsid w:val="00C10171"/>
    <w:rsid w:val="00C10992"/>
    <w:rsid w:val="00C11962"/>
    <w:rsid w:val="00C11C05"/>
    <w:rsid w:val="00C12305"/>
    <w:rsid w:val="00C12528"/>
    <w:rsid w:val="00C12B52"/>
    <w:rsid w:val="00C13198"/>
    <w:rsid w:val="00C13F2D"/>
    <w:rsid w:val="00C148C3"/>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73F9"/>
    <w:rsid w:val="00CE12DD"/>
    <w:rsid w:val="00CE2E5E"/>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609F"/>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6BBA"/>
    <w:rsid w:val="00F67D2E"/>
    <w:rsid w:val="00F701E2"/>
    <w:rsid w:val="00F70C19"/>
    <w:rsid w:val="00F71D01"/>
    <w:rsid w:val="00F72C77"/>
    <w:rsid w:val="00F72DFE"/>
    <w:rsid w:val="00F76019"/>
    <w:rsid w:val="00F77861"/>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3A198A"/>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np/search?espv=2&amp;biw=1440&amp;bih=731&amp;site=webhp&amp;q=shankar+prasad+sharma+books&amp;stick=H4sIAAAAAAAAAOPgE-LSz9U3MC5PN8gr1JLKTrbST8rPz9ZPLC3JyC-yArGLFfLzcioBlclStCoAAAA&amp;sa=X&amp;ved=0ahUKEwj1lL_Au-rKAhUCS44KHdEFCIAQ6BMIaygAMA4" TargetMode="External"/><Relationship Id="rId18" Type="http://schemas.openxmlformats.org/officeDocument/2006/relationships/image" Target="media/image8.jpg"/><Relationship Id="rId26" Type="http://schemas.openxmlformats.org/officeDocument/2006/relationships/hyperlink" Target="https://www.facebook.com/RotaryClubOfKathmanduMidtown" TargetMode="External"/><Relationship Id="rId3" Type="http://schemas.openxmlformats.org/officeDocument/2006/relationships/styles" Target="styles.xml"/><Relationship Id="rId21" Type="http://schemas.openxmlformats.org/officeDocument/2006/relationships/hyperlink" Target="https://www.rotary.org/myrotary/en/rotary-foundation/foundation-centennia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jpg"/><Relationship Id="rId25" Type="http://schemas.openxmlformats.org/officeDocument/2006/relationships/hyperlink" Target="http://www.chinahighlights.com/travelguide/chinese-zodiac/monkey.ht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rotarycapetown2016.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hinesehoroscopeshandbook.com/" TargetMode="External"/><Relationship Id="rId5" Type="http://schemas.openxmlformats.org/officeDocument/2006/relationships/webSettings" Target="webSettings.xml"/><Relationship Id="rId15" Type="http://schemas.openxmlformats.org/officeDocument/2006/relationships/hyperlink" Target="http://www.rotary3292.org/wp-content/uploads/2015/07/Brochure-imposed.pdf" TargetMode="External"/><Relationship Id="rId23" Type="http://schemas.openxmlformats.org/officeDocument/2006/relationships/hyperlink" Target="http://www.laura-lau.com/"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rotary.org/myrotary/en/news-media/attend-one-five-presidential-conferen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np/search?espv=2&amp;biw=1440&amp;bih=731&amp;site=webhp&amp;q=Economic+Liberalization+and+Agricultural+Development+in+Nepal&amp;stick=H4sIAAAAAAAAAOPgE-LSz9U3MC5PN8grVOLRT9c3NDQuzik3Tc_TkspOttJPys_P1k8sLcnIL7ICsYsV8vNyKgEIV5XbOAAAAA&amp;sa=X&amp;ved=0ahUKEwj1lL_Au-rKAhUCS44KHdEFCIAQmxMIbCgBMA4" TargetMode="External"/><Relationship Id="rId22" Type="http://schemas.openxmlformats.org/officeDocument/2006/relationships/hyperlink" Target="https://www.rotary.org/myrotary/en/rotary-foundation/foundation-centennia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5B66A8-C76B-42D1-8FF6-55B0346A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12374</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27</cp:revision>
  <dcterms:created xsi:type="dcterms:W3CDTF">2016-02-09T09:13:00Z</dcterms:created>
  <dcterms:modified xsi:type="dcterms:W3CDTF">2016-02-10T02:56:00Z</dcterms:modified>
</cp:coreProperties>
</file>