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8B758" w14:textId="77777777" w:rsidR="00857FB1" w:rsidRDefault="00644E1F">
      <w:pPr>
        <w:pStyle w:val="Titel"/>
        <w:spacing w:after="40"/>
      </w:pPr>
      <w:r>
        <w:t>Vorbereitung Gesellschafterversammlung 02.09.2026</w:t>
      </w:r>
    </w:p>
    <w:p w14:paraId="66FE9DD5" w14:textId="77777777" w:rsidR="00857FB1" w:rsidRDefault="00644E1F">
      <w:pPr>
        <w:spacing w:after="320"/>
      </w:pPr>
      <w:r>
        <w:rPr>
          <w:b/>
          <w:bCs/>
          <w:color w:val="9C7A2E"/>
          <w:sz w:val="26"/>
          <w:szCs w:val="26"/>
        </w:rPr>
        <w:t>Mögliche Fragen und Einwände zum Masterplan B+H 2031, mit Antwortvorschlägen für Matthias</w:t>
      </w:r>
    </w:p>
    <w:p w14:paraId="50F9DFC0" w14:textId="77777777" w:rsidR="00857FB1" w:rsidRDefault="00644E1F">
      <w:pPr>
        <w:spacing w:after="140"/>
      </w:pPr>
      <w:r>
        <w:t>Aus der Perspektive von zwei technisch versierten, praktisch denkenden Gesellschaftern (Programmierer bei Eurowings/RTL), die den Masterplan-Entwurf und die Prozesslandkarte kritisch querlesen. Ziel: auf die wahrscheinlichsten Nachfragen vorbereitet sein, nicht überrascht werden.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50"/>
      </w:tblGrid>
      <w:tr w:rsidR="00857FB1" w14:paraId="3013522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</w:tcPr>
          <w:p w14:paraId="1D09ADC1" w14:textId="77777777" w:rsidR="00857FB1" w:rsidRDefault="00644E1F">
            <w:pPr>
              <w:rPr>
                <w:b/>
              </w:rPr>
            </w:pPr>
            <w:r>
              <w:rPr>
                <w:b/>
              </w:rPr>
              <w:t>Möglicher Einwand</w:t>
            </w:r>
          </w:p>
        </w:tc>
        <w:tc>
          <w:tcPr>
            <w:tcW w:w="6450" w:type="dxa"/>
            <w:shd w:val="clear" w:color="auto" w:fill="F2F2F2"/>
          </w:tcPr>
          <w:p w14:paraId="175B9943" w14:textId="77777777" w:rsidR="00857FB1" w:rsidRDefault="00644E1F">
            <w:pPr>
              <w:rPr>
                <w:b/>
              </w:rPr>
            </w:pPr>
            <w:r>
              <w:rPr>
                <w:b/>
              </w:rPr>
              <w:t>Hintergrund und Antwortvorschlag</w:t>
            </w:r>
          </w:p>
        </w:tc>
      </w:tr>
      <w:tr w:rsidR="00857FB1" w14:paraId="4565700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70430EC2" w14:textId="77777777" w:rsidR="00857FB1" w:rsidRDefault="00644E1F">
            <w:r>
              <w:t>1. Empfangsprobleme auf Baustellen</w:t>
            </w:r>
          </w:p>
        </w:tc>
        <w:tc>
          <w:tcPr>
            <w:tcW w:w="6450" w:type="dxa"/>
          </w:tcPr>
          <w:p w14:paraId="579A26F4" w14:textId="77777777" w:rsidR="00857FB1" w:rsidRDefault="00644E1F">
            <w:r>
              <w:t xml:space="preserve">Digitale Leistungsmeldung, Bautagebuch und Fotodokumentation setzen Online-Zugriff voraus, bei Brücken-/Tunnelbaustellen im Spezialtiefbau oft schlechte Netzabdeckung. </w:t>
            </w:r>
          </w:p>
          <w:p w14:paraId="4FD54FDB" w14:textId="77777777" w:rsidR="00857FB1" w:rsidRDefault="00644E1F">
            <w:pPr>
              <w:spacing w:before="60"/>
            </w:pPr>
            <w:r>
              <w:rPr>
                <w:b/>
              </w:rPr>
              <w:t xml:space="preserve">Antwort: </w:t>
            </w:r>
            <w:r>
              <w:t>Offlinefähigkeit wird von Anfang an als Anforderung in die Sollprozess-Entwicklung aufgenommen, lokale Zwischenspeicherung mit späterer Synchronisation, sobald wieder Netz da ist, ist Standard bei mobilen Baustellen-Apps.</w:t>
            </w:r>
          </w:p>
        </w:tc>
      </w:tr>
      <w:tr w:rsidR="00857FB1" w14:paraId="36771DB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5F86C255" w14:textId="77777777" w:rsidR="00857FB1" w:rsidRDefault="00644E1F">
            <w:r>
              <w:t>2. RIB-Funktionsprüfung fehlt noch</w:t>
            </w:r>
          </w:p>
        </w:tc>
        <w:tc>
          <w:tcPr>
            <w:tcW w:w="6450" w:type="dxa"/>
          </w:tcPr>
          <w:p w14:paraId="4FDA2D44" w14:textId="77777777" w:rsidR="00857FB1" w:rsidRDefault="00644E1F">
            <w:r>
              <w:t>Es wird ein Budget für neue Automatisierung/KI vorgestellt, bevor geprüft ist, was RIB iTWO schon kann.</w:t>
            </w:r>
          </w:p>
          <w:p w14:paraId="0007633F" w14:textId="77777777" w:rsidR="00857FB1" w:rsidRDefault="00644E1F">
            <w:pPr>
              <w:spacing w:before="60"/>
            </w:pPr>
            <w:r>
              <w:rPr>
                <w:b/>
              </w:rPr>
              <w:t xml:space="preserve">Antwort: </w:t>
            </w:r>
            <w:r>
              <w:t>B+H nutzt iTWO ohnehin verpflichtend für DB-Projekte (328 €/Monat Lizenz, bereits gegengeprüft). iTWO deckt schon einen großen Teil der 133 gelisteten Prozessschritte ab: Kalkulation, Leistungsverzeichnis, Abrechnung, Terminplanung, 5D-BIM. Die RIB-Bestandsaufnahme ist deshalb bewusst der allererste Schritt im Fahrplan, noch vor jeder Software- oder KI-Investition, um Doppelentwicklung zu vermeiden.</w:t>
            </w:r>
          </w:p>
        </w:tc>
      </w:tr>
      <w:tr w:rsidR="00857FB1" w14:paraId="093D6D2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12BAAC74" w14:textId="77777777" w:rsidR="00857FB1" w:rsidRDefault="00644E1F">
            <w:r>
              <w:t>3. Datenschutz/Sicherheit bei der Firmen-ChatGPT-Lizenz</w:t>
            </w:r>
          </w:p>
        </w:tc>
        <w:tc>
          <w:tcPr>
            <w:tcW w:w="6450" w:type="dxa"/>
          </w:tcPr>
          <w:p w14:paraId="1E769225" w14:textId="77777777" w:rsidR="00857FB1" w:rsidRDefault="00644E1F">
            <w:r>
              <w:t>Welche Daten dürfen rein, wo werden sie gehostet, gibt es einen Auftragsverarbeitungsvertrag, dürfen DB-Projektdaten laut Geheimhaltungsklauseln überhaupt eingegeben werden?</w:t>
            </w:r>
          </w:p>
          <w:p w14:paraId="45D14B2A" w14:textId="77777777" w:rsidR="00857FB1" w:rsidRDefault="00644E1F">
            <w:pPr>
              <w:spacing w:before="60"/>
            </w:pPr>
            <w:r>
              <w:rPr>
                <w:b/>
              </w:rPr>
              <w:t xml:space="preserve">Antwort: </w:t>
            </w:r>
            <w:r>
              <w:t>Wird vor Produktivsetzung geklärt: Auftragsverarbeitungsvertrag mit dem Anbieter, Zugriffsrechte-Konzept nach der im Masterplan bereits vorgesehenen Trennung (vertraulicher Steuerungskreis vs. freigegebenes Teamprojekt), und für DB-Projekte wird vorab geprüft, welche Daten laut Vertrag überhaupt eingegeben werden dürfen. Bis dahin bleiben sensible Projektdaten außen vor.</w:t>
            </w:r>
          </w:p>
        </w:tc>
      </w:tr>
      <w:tr w:rsidR="00857FB1" w14:paraId="685EE1C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1491B51C" w14:textId="77777777" w:rsidR="00857FB1" w:rsidRDefault="00644E1F">
            <w:r>
              <w:t>4. Fehlende harte Erfolgskriterien</w:t>
            </w:r>
          </w:p>
        </w:tc>
        <w:tc>
          <w:tcPr>
            <w:tcW w:w="6450" w:type="dxa"/>
          </w:tcPr>
          <w:p w14:paraId="34DDA646" w14:textId="77777777" w:rsidR="00857FB1" w:rsidRDefault="00644E1F">
            <w:r>
              <w:t>A/B/C/D-Priorisierung ist vorhanden, aber es fehlen konkrete Messgrößen für Erfolg.</w:t>
            </w:r>
          </w:p>
          <w:p w14:paraId="3640A0A0" w14:textId="77777777" w:rsidR="00857FB1" w:rsidRDefault="00644E1F">
            <w:pPr>
              <w:spacing w:before="60"/>
            </w:pPr>
            <w:r>
              <w:rPr>
                <w:b/>
              </w:rPr>
              <w:t xml:space="preserve">Antwort: </w:t>
            </w:r>
            <w:r>
              <w:t>Wird pro Pilotprozess konkret und messbar ergänzt (z. B. Erkennungsrate, Zeitersparnis, Fehlerquote vorher/nachher), nach demselben Prinzip, das für die mögliche NRW.BANK-Förderung ohnehin schon vorbereitet wird.</w:t>
            </w:r>
          </w:p>
        </w:tc>
      </w:tr>
      <w:tr w:rsidR="00857FB1" w14:paraId="61B56DA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1B079BD5" w14:textId="77777777" w:rsidR="00857FB1" w:rsidRDefault="00644E1F">
            <w:r>
              <w:t>5. Realismus der 133 Prozesse</w:t>
            </w:r>
          </w:p>
        </w:tc>
        <w:tc>
          <w:tcPr>
            <w:tcW w:w="6450" w:type="dxa"/>
          </w:tcPr>
          <w:p w14:paraId="0DF1F161" w14:textId="77777777" w:rsidR="00857FB1" w:rsidRDefault="00644E1F">
            <w:r>
              <w:t>Wie lange dauert die reine Erfassung, wer macht das neben dem Tagesgeschäft?</w:t>
            </w:r>
          </w:p>
          <w:p w14:paraId="15C5D628" w14:textId="77777777" w:rsidR="00857FB1" w:rsidRDefault="00644E1F">
            <w:pPr>
              <w:spacing w:before="60"/>
            </w:pPr>
            <w:r>
              <w:rPr>
                <w:b/>
              </w:rPr>
              <w:t xml:space="preserve">Antwort: </w:t>
            </w:r>
            <w:r>
              <w:t>Die Liste ist ausdrücklich ein ungeprüftes Rohgerüst, keine bereits erledigte Analyse. Das eigentliche Vorgehen bleibt: erst breit und pragmatisch aufnehmen, Tiefenanalyse nur bei kritischen A- und relevanten B-Prozessen. Das reduziert den tatsächlichen Aufwand erheblich gegenüber 133 vollständigen Tiefenanalysen.</w:t>
            </w:r>
          </w:p>
        </w:tc>
      </w:tr>
      <w:tr w:rsidR="00857FB1" w14:paraId="494B79E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083DB269" w14:textId="77777777" w:rsidR="00857FB1" w:rsidRDefault="00644E1F">
            <w:r>
              <w:t>6. Marktvergleich / Auswahl der Partner</w:t>
            </w:r>
          </w:p>
        </w:tc>
        <w:tc>
          <w:tcPr>
            <w:tcW w:w="6450" w:type="dxa"/>
          </w:tcPr>
          <w:p w14:paraId="41F225D5" w14:textId="77777777" w:rsidR="00857FB1" w:rsidRDefault="00644E1F">
            <w:r>
              <w:t>Andreas Stock, Ingenieurbüro Böhme und Planungsbüro Innovativ sind alle persönlich bzw. gesellschaftlich verbunden, kein Marktvergleich erwähnt.</w:t>
            </w:r>
          </w:p>
          <w:p w14:paraId="01A2455C" w14:textId="77777777" w:rsidR="00857FB1" w:rsidRDefault="00644E1F">
            <w:pPr>
              <w:spacing w:before="60"/>
            </w:pPr>
            <w:r>
              <w:rPr>
                <w:b/>
              </w:rPr>
              <w:t xml:space="preserve">Antwort: </w:t>
            </w:r>
            <w:r>
              <w:t>Eine formlose Preisermittlung/Marktübersicht wird ergänzt. Das ist ohnehin Voraussetzung, falls B+H eine NRW.BANK-Förderung für Teile des Projekts nutzen will (dort ausdrücklich als Bedingung für die wirtschaftliche Auftragsvergabe verlangt), also kein zusätzlicher Aufwand, sondern ein ohnehin nötiger Schritt.</w:t>
            </w:r>
          </w:p>
        </w:tc>
      </w:tr>
      <w:tr w:rsidR="00857FB1" w14:paraId="1B323B1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6F9004C1" w14:textId="77777777" w:rsidR="00857FB1" w:rsidRDefault="00644E1F">
            <w:r>
              <w:t>7. Kostenkontrolle bei den Reserven</w:t>
            </w:r>
          </w:p>
        </w:tc>
        <w:tc>
          <w:tcPr>
            <w:tcW w:w="6450" w:type="dxa"/>
          </w:tcPr>
          <w:p w14:paraId="03135F1F" w14:textId="77777777" w:rsidR="00857FB1" w:rsidRDefault="00644E1F">
            <w:r>
              <w:t>Die Reserven (RIB-Beratung, Zusatzsoftware, Programmierer/KI-Pilotierung, Spezialreserve) summieren sich auf bis zu rund 48.000 €. Wer genehmigt einzelne Abrufe?</w:t>
            </w:r>
          </w:p>
          <w:p w14:paraId="1934D73F" w14:textId="77777777" w:rsidR="00857FB1" w:rsidRDefault="00644E1F">
            <w:pPr>
              <w:spacing w:before="60"/>
            </w:pPr>
            <w:r>
              <w:rPr>
                <w:b/>
              </w:rPr>
              <w:lastRenderedPageBreak/>
              <w:t xml:space="preserve">Antwort: </w:t>
            </w:r>
            <w:r>
              <w:t>Einzelabrufe werden im Fahrplan sichtbar gemacht und laufen über kurze Freigaben, keine pauschale Vorab-Ausschöpfung. Reporting an Geschäftsführung/Gesellschafter erfolgt zu jedem größeren Abruf.</w:t>
            </w:r>
          </w:p>
        </w:tc>
      </w:tr>
      <w:tr w:rsidR="00857FB1" w14:paraId="58AF8EB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7111E2D4" w14:textId="77777777" w:rsidR="00857FB1" w:rsidRDefault="00644E1F">
            <w:r>
              <w:lastRenderedPageBreak/>
              <w:t>8. Warum Leistungsmeldung zuerst, nicht Nachtragsmanagement?</w:t>
            </w:r>
          </w:p>
        </w:tc>
        <w:tc>
          <w:tcPr>
            <w:tcW w:w="6450" w:type="dxa"/>
          </w:tcPr>
          <w:p w14:paraId="5637DA6C" w14:textId="77777777" w:rsidR="00857FB1" w:rsidRDefault="00644E1F">
            <w:r>
              <w:t>Matthias selbst nennt Nachtragsmanagement als größten Zeitfresser, im Dokument steht aber Leistungsmeldung als Beispiel-A-Prozess.</w:t>
            </w:r>
          </w:p>
          <w:p w14:paraId="37C3415E" w14:textId="77777777" w:rsidR="00857FB1" w:rsidRDefault="00644E1F">
            <w:pPr>
              <w:spacing w:before="60"/>
            </w:pPr>
            <w:r>
              <w:rPr>
                <w:b/>
              </w:rPr>
              <w:t xml:space="preserve">Antwort: </w:t>
            </w:r>
            <w:r>
              <w:t>Leistungsmeldung ist als Beispiel gewählt, weil sie die Unternehmenssteuerung direkt betrifft (Forecast, Jahresergebnis) und schnell umsetzbar ist. Nachtragsmanagement bleibt als eigener, ebenfalls hoch priorisierter A-Prozess vorgesehen. Die endgültige Reihenfolge wird erst nach Auswertung der Fragenkatalog-Piloten im Fahrplan festgelegt.</w:t>
            </w:r>
          </w:p>
        </w:tc>
      </w:tr>
      <w:tr w:rsidR="00857FB1" w14:paraId="17F38DB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6202B49B" w14:textId="77777777" w:rsidR="00857FB1" w:rsidRDefault="00644E1F">
            <w:r>
              <w:t>9. Fehlende Meilensteine/Termine</w:t>
            </w:r>
          </w:p>
        </w:tc>
        <w:tc>
          <w:tcPr>
            <w:tcW w:w="6450" w:type="dxa"/>
          </w:tcPr>
          <w:p w14:paraId="1CD78C02" w14:textId="77777777" w:rsidR="00857FB1" w:rsidRDefault="00644E1F">
            <w:r>
              <w:t>Der 12-Monats-Rahmen ist grob, es fehlen konkrete Zwischenziele.</w:t>
            </w:r>
          </w:p>
          <w:p w14:paraId="1422D935" w14:textId="77777777" w:rsidR="00857FB1" w:rsidRDefault="00644E1F">
            <w:pPr>
              <w:spacing w:before="60"/>
            </w:pPr>
            <w:r>
              <w:rPr>
                <w:b/>
              </w:rPr>
              <w:t xml:space="preserve">Antwort: </w:t>
            </w:r>
            <w:r>
              <w:t>Wird im Fahrplan ergänzt, sobald der Fragenkatalog an 2 bis 3 Projekten pilotiert und ausgewertet ist. Realistischer erster Zwischenmeilenstein: erste Sollprozess-Empfehlung nach ca. 6 bis 8 Wochen.</w:t>
            </w:r>
          </w:p>
        </w:tc>
      </w:tr>
    </w:tbl>
    <w:p w14:paraId="75914A13" w14:textId="77777777" w:rsidR="00857FB1" w:rsidRDefault="00644E1F">
      <w:pPr>
        <w:pStyle w:val="berschrift1"/>
        <w:pBdr>
          <w:bottom w:val="single" w:sz="6" w:space="4" w:color="9C7A2E"/>
        </w:pBdr>
        <w:spacing w:before="380" w:after="160"/>
      </w:pPr>
      <w:r>
        <w:t>Exkurs: RIB / iTWO kurz erklärt</w:t>
      </w:r>
    </w:p>
    <w:p w14:paraId="61D3A081" w14:textId="77777777" w:rsidR="00857FB1" w:rsidRDefault="00644E1F">
      <w:pPr>
        <w:spacing w:after="140"/>
      </w:pPr>
      <w:r>
        <w:t>Falls die Gesellschafter direkt nach RIB fragen, zur schnellen Einordnung: RIB Software ist einer der meistgenutzten Hersteller von Bausoftware in Deutschland, rund 80 % aller Bauprojekte über 1 Mio. € Bausumme werden mit RIB-Software kalkuliert und gesteuert. Das zentrale Produkt iTWO deckt Kalkulation, Ausschreibung, Vergabe, Abrechnung und 5D-BIM (3D-Modell verknüpft mit Zeit und Kosten) in einem System ab.</w:t>
      </w:r>
    </w:p>
    <w:p w14:paraId="0EC15A65" w14:textId="77777777" w:rsidR="00857FB1" w:rsidRDefault="00644E1F">
      <w:pPr>
        <w:spacing w:after="140"/>
      </w:pPr>
      <w:r>
        <w:t>RIB iTWO DB ist die von der Deutschen Bahn seit 2016 verpflichtend vorgeschriebene Variante für alle DB-Infrastrukturprojekte. Externe Dienstleister wie B+H müssen dafür eine kostenpflichtige Lizenz erwerben (328 €/Monat bzw. 3.936 €/Jahr, bei Stammkunden 295,20 €/Monat, Preise geprüft und bestätigt). Da B+H diese Lizenz für DB-Projekte ohnehin hat, lohnt sich die geplante Bestandsaufnahme besonders: viele der 133 gelisteten Prozessschritte könnten dort schon abgebildet, aber ungenutzt sein.</w:t>
      </w:r>
    </w:p>
    <w:sectPr w:rsidR="00857FB1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F6778"/>
    <w:multiLevelType w:val="hybridMultilevel"/>
    <w:tmpl w:val="65140994"/>
    <w:lvl w:ilvl="0" w:tplc="D2162BF6">
      <w:start w:val="1"/>
      <w:numFmt w:val="bullet"/>
      <w:lvlText w:val="•"/>
      <w:lvlJc w:val="left"/>
      <w:pPr>
        <w:ind w:left="720" w:hanging="360"/>
      </w:pPr>
    </w:lvl>
    <w:lvl w:ilvl="1" w:tplc="F40C3264">
      <w:numFmt w:val="decimal"/>
      <w:lvlText w:val=""/>
      <w:lvlJc w:val="left"/>
    </w:lvl>
    <w:lvl w:ilvl="2" w:tplc="A61AA54E">
      <w:numFmt w:val="decimal"/>
      <w:lvlText w:val=""/>
      <w:lvlJc w:val="left"/>
    </w:lvl>
    <w:lvl w:ilvl="3" w:tplc="2E54DA74">
      <w:numFmt w:val="decimal"/>
      <w:lvlText w:val=""/>
      <w:lvlJc w:val="left"/>
    </w:lvl>
    <w:lvl w:ilvl="4" w:tplc="0CC2AE42">
      <w:numFmt w:val="decimal"/>
      <w:lvlText w:val=""/>
      <w:lvlJc w:val="left"/>
    </w:lvl>
    <w:lvl w:ilvl="5" w:tplc="8B3E3AFA">
      <w:numFmt w:val="decimal"/>
      <w:lvlText w:val=""/>
      <w:lvlJc w:val="left"/>
    </w:lvl>
    <w:lvl w:ilvl="6" w:tplc="070CA89C">
      <w:numFmt w:val="decimal"/>
      <w:lvlText w:val=""/>
      <w:lvlJc w:val="left"/>
    </w:lvl>
    <w:lvl w:ilvl="7" w:tplc="EA962B50">
      <w:numFmt w:val="decimal"/>
      <w:lvlText w:val=""/>
      <w:lvlJc w:val="left"/>
    </w:lvl>
    <w:lvl w:ilvl="8" w:tplc="1C180410">
      <w:numFmt w:val="decimal"/>
      <w:lvlText w:val=""/>
      <w:lvlJc w:val="left"/>
    </w:lvl>
  </w:abstractNum>
  <w:abstractNum w:abstractNumId="1" w15:restartNumberingAfterBreak="0">
    <w:nsid w:val="3022530E"/>
    <w:multiLevelType w:val="hybridMultilevel"/>
    <w:tmpl w:val="F006ADD8"/>
    <w:lvl w:ilvl="0" w:tplc="D5F480CA">
      <w:start w:val="1"/>
      <w:numFmt w:val="decimal"/>
      <w:lvlText w:val="%1."/>
      <w:lvlJc w:val="left"/>
      <w:pPr>
        <w:ind w:left="720" w:hanging="420"/>
      </w:pPr>
    </w:lvl>
    <w:lvl w:ilvl="1" w:tplc="28768670">
      <w:numFmt w:val="decimal"/>
      <w:lvlText w:val=""/>
      <w:lvlJc w:val="left"/>
    </w:lvl>
    <w:lvl w:ilvl="2" w:tplc="F8569494">
      <w:numFmt w:val="decimal"/>
      <w:lvlText w:val=""/>
      <w:lvlJc w:val="left"/>
    </w:lvl>
    <w:lvl w:ilvl="3" w:tplc="8834A0DA">
      <w:numFmt w:val="decimal"/>
      <w:lvlText w:val=""/>
      <w:lvlJc w:val="left"/>
    </w:lvl>
    <w:lvl w:ilvl="4" w:tplc="564CFAEE">
      <w:numFmt w:val="decimal"/>
      <w:lvlText w:val=""/>
      <w:lvlJc w:val="left"/>
    </w:lvl>
    <w:lvl w:ilvl="5" w:tplc="3828E85A">
      <w:numFmt w:val="decimal"/>
      <w:lvlText w:val=""/>
      <w:lvlJc w:val="left"/>
    </w:lvl>
    <w:lvl w:ilvl="6" w:tplc="702A6DC6">
      <w:numFmt w:val="decimal"/>
      <w:lvlText w:val=""/>
      <w:lvlJc w:val="left"/>
    </w:lvl>
    <w:lvl w:ilvl="7" w:tplc="DB0C1DEE">
      <w:numFmt w:val="decimal"/>
      <w:lvlText w:val=""/>
      <w:lvlJc w:val="left"/>
    </w:lvl>
    <w:lvl w:ilvl="8" w:tplc="BD981F4C">
      <w:numFmt w:val="decimal"/>
      <w:lvlText w:val=""/>
      <w:lvlJc w:val="left"/>
    </w:lvl>
  </w:abstractNum>
  <w:abstractNum w:abstractNumId="2" w15:restartNumberingAfterBreak="0">
    <w:nsid w:val="5C976989"/>
    <w:multiLevelType w:val="hybridMultilevel"/>
    <w:tmpl w:val="DECA98C8"/>
    <w:lvl w:ilvl="0" w:tplc="D3DAEEC4">
      <w:start w:val="1"/>
      <w:numFmt w:val="bullet"/>
      <w:lvlText w:val="●"/>
      <w:lvlJc w:val="left"/>
      <w:pPr>
        <w:ind w:left="720" w:hanging="360"/>
      </w:pPr>
    </w:lvl>
    <w:lvl w:ilvl="1" w:tplc="7F127D1A">
      <w:start w:val="1"/>
      <w:numFmt w:val="bullet"/>
      <w:lvlText w:val="○"/>
      <w:lvlJc w:val="left"/>
      <w:pPr>
        <w:ind w:left="1440" w:hanging="360"/>
      </w:pPr>
    </w:lvl>
    <w:lvl w:ilvl="2" w:tplc="D230238E">
      <w:start w:val="1"/>
      <w:numFmt w:val="bullet"/>
      <w:lvlText w:val="■"/>
      <w:lvlJc w:val="left"/>
      <w:pPr>
        <w:ind w:left="2160" w:hanging="360"/>
      </w:pPr>
    </w:lvl>
    <w:lvl w:ilvl="3" w:tplc="7FFC55AC">
      <w:start w:val="1"/>
      <w:numFmt w:val="bullet"/>
      <w:lvlText w:val="●"/>
      <w:lvlJc w:val="left"/>
      <w:pPr>
        <w:ind w:left="2880" w:hanging="360"/>
      </w:pPr>
    </w:lvl>
    <w:lvl w:ilvl="4" w:tplc="1BE4769E">
      <w:start w:val="1"/>
      <w:numFmt w:val="bullet"/>
      <w:lvlText w:val="○"/>
      <w:lvlJc w:val="left"/>
      <w:pPr>
        <w:ind w:left="3600" w:hanging="360"/>
      </w:pPr>
    </w:lvl>
    <w:lvl w:ilvl="5" w:tplc="EE607286">
      <w:start w:val="1"/>
      <w:numFmt w:val="bullet"/>
      <w:lvlText w:val="■"/>
      <w:lvlJc w:val="left"/>
      <w:pPr>
        <w:ind w:left="4320" w:hanging="360"/>
      </w:pPr>
    </w:lvl>
    <w:lvl w:ilvl="6" w:tplc="1EC022D4">
      <w:start w:val="1"/>
      <w:numFmt w:val="bullet"/>
      <w:lvlText w:val="●"/>
      <w:lvlJc w:val="left"/>
      <w:pPr>
        <w:ind w:left="5040" w:hanging="360"/>
      </w:pPr>
    </w:lvl>
    <w:lvl w:ilvl="7" w:tplc="7B864818">
      <w:start w:val="1"/>
      <w:numFmt w:val="bullet"/>
      <w:lvlText w:val="●"/>
      <w:lvlJc w:val="left"/>
      <w:pPr>
        <w:ind w:left="5760" w:hanging="360"/>
      </w:pPr>
    </w:lvl>
    <w:lvl w:ilvl="8" w:tplc="124C5CA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3FE5D74"/>
    <w:multiLevelType w:val="hybridMultilevel"/>
    <w:tmpl w:val="D12C36B8"/>
    <w:lvl w:ilvl="0" w:tplc="A5B0C65E">
      <w:start w:val="1"/>
      <w:numFmt w:val="decimal"/>
      <w:lvlText w:val="Phase %1"/>
      <w:lvlJc w:val="left"/>
      <w:pPr>
        <w:ind w:left="720" w:hanging="620"/>
      </w:pPr>
    </w:lvl>
    <w:lvl w:ilvl="1" w:tplc="7B107042">
      <w:numFmt w:val="decimal"/>
      <w:lvlText w:val=""/>
      <w:lvlJc w:val="left"/>
    </w:lvl>
    <w:lvl w:ilvl="2" w:tplc="06BA8FB0">
      <w:numFmt w:val="decimal"/>
      <w:lvlText w:val=""/>
      <w:lvlJc w:val="left"/>
    </w:lvl>
    <w:lvl w:ilvl="3" w:tplc="B912850A">
      <w:numFmt w:val="decimal"/>
      <w:lvlText w:val=""/>
      <w:lvlJc w:val="left"/>
    </w:lvl>
    <w:lvl w:ilvl="4" w:tplc="6610CA28">
      <w:numFmt w:val="decimal"/>
      <w:lvlText w:val=""/>
      <w:lvlJc w:val="left"/>
    </w:lvl>
    <w:lvl w:ilvl="5" w:tplc="03645B5A">
      <w:numFmt w:val="decimal"/>
      <w:lvlText w:val=""/>
      <w:lvlJc w:val="left"/>
    </w:lvl>
    <w:lvl w:ilvl="6" w:tplc="E872F804">
      <w:numFmt w:val="decimal"/>
      <w:lvlText w:val=""/>
      <w:lvlJc w:val="left"/>
    </w:lvl>
    <w:lvl w:ilvl="7" w:tplc="5FD86A46">
      <w:numFmt w:val="decimal"/>
      <w:lvlText w:val=""/>
      <w:lvlJc w:val="left"/>
    </w:lvl>
    <w:lvl w:ilvl="8" w:tplc="8A208940">
      <w:numFmt w:val="decimal"/>
      <w:lvlText w:val=""/>
      <w:lvlJc w:val="left"/>
    </w:lvl>
  </w:abstractNum>
  <w:num w:numId="1" w16cid:durableId="168519838">
    <w:abstractNumId w:val="2"/>
    <w:lvlOverride w:ilvl="0">
      <w:startOverride w:val="1"/>
    </w:lvlOverride>
  </w:num>
  <w:num w:numId="2" w16cid:durableId="65807985">
    <w:abstractNumId w:val="1"/>
    <w:lvlOverride w:ilvl="0">
      <w:startOverride w:val="1"/>
    </w:lvlOverride>
  </w:num>
  <w:num w:numId="3" w16cid:durableId="1362826086">
    <w:abstractNumId w:val="0"/>
    <w:lvlOverride w:ilvl="0">
      <w:startOverride w:val="1"/>
    </w:lvlOverride>
  </w:num>
  <w:num w:numId="4" w16cid:durableId="47880851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FB1"/>
    <w:rsid w:val="00644E1F"/>
    <w:rsid w:val="006570EF"/>
    <w:rsid w:val="00770748"/>
    <w:rsid w:val="0085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D1EFCB"/>
  <w15:docId w15:val="{D9351530-8914-4D2E-B134-31BF453BD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keepNext/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663</Words>
  <Characters>4881</Characters>
  <Application>Microsoft Office Word</Application>
  <DocSecurity>0</DocSecurity>
  <Lines>95</Lines>
  <Paragraphs>35</Paragraphs>
  <ScaleCrop>false</ScaleCrop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Andreas Stock</cp:lastModifiedBy>
  <cp:revision>2</cp:revision>
  <cp:lastPrinted>2026-09-02T07:22:00Z</cp:lastPrinted>
  <dcterms:created xsi:type="dcterms:W3CDTF">2026-08-03T11:17:00Z</dcterms:created>
  <dcterms:modified xsi:type="dcterms:W3CDTF">2026-09-02T07:22:00Z</dcterms:modified>
</cp:coreProperties>
</file>