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aps/>
          <w:color w:val="9c7a2e"/>
          <w:spacing w:val="20"/>
          <w:sz w:val="18"/>
          <w:szCs w:val="18"/>
        </w:rPr>
        <w:t xml:space="preserve">KI-PROZESSBERATUNG FÜR KMU</w:t>
      </w:r>
    </w:p>
    <w:p>
      <w:pPr>
        <w:spacing w:after="200"/>
        <w:jc w:val="center"/>
      </w:pPr>
      <w:r>
        <w:rPr>
          <w:rFonts w:ascii="Georgia" w:cs="Georgia" w:eastAsia="Georgia" w:hAnsi="Georgia"/>
          <w:b/>
          <w:bCs/>
          <w:color w:val="222222"/>
          <w:sz w:val="40"/>
          <w:szCs w:val="40"/>
        </w:rPr>
        <w:t xml:space="preserve">Beratungsvereinbarung</w:t>
      </w:r>
    </w:p>
    <w:p>
      <w:pPr>
        <w:spacing w:after="300"/>
        <w:jc w:val="center"/>
      </w:pPr>
      <w:r>
        <w:rPr>
          <w:i/>
          <w:iCs/>
          <w:color w:val="6b6478"/>
          <w:sz w:val="20"/>
          <w:szCs w:val="20"/>
        </w:rPr>
        <w:t xml:space="preserve">Wiederverwendbare Vorlage — vor jedem Einsatz Platzhalter ausfüllen</w:t>
      </w:r>
    </w:p>
    <w:p>
      <w:pPr>
        <w:pBdr>
          <w:left w:val="single" w:color="9c7a2e" w:sz="18" w:space="8"/>
        </w:pBdr>
        <w:shd w:fill="f4ecd8" w:val="clear"/>
        <w:spacing w:after="160" w:before="160"/>
        <w:ind w:left="200" w:right="200"/>
      </w:pPr>
      <w:r>
        <w:rPr>
          <w:i/>
          <w:iCs/>
          <w:color w:val="222222"/>
          <w:sz w:val="20"/>
          <w:szCs w:val="20"/>
        </w:rPr>
        <w:t xml:space="preserve">Diese Vorlage ist keine Rechtsberatung. Honorarhöhe und Haftungsklausel sind projektspezifisch anzupassen; vor der ersten echten Verwendung empfiehlt sich ein kurzer Check durch eine Fachanwältin oder einen Fachanwalt.</w:t>
      </w:r>
    </w:p>
    <w:p>
      <w:pPr>
        <w:pStyle w:val="Heading1"/>
        <w:pBdr>
          <w:bottom w:val="single" w:color="9c7a2e" w:sz="8" w:space="4"/>
        </w:pBdr>
        <w:spacing w:after="140" w:before="300"/>
      </w:pPr>
      <w:r>
        <w:rPr>
          <w:rFonts w:ascii="Georgia" w:cs="Georgia" w:eastAsia="Georgia" w:hAnsi="Georgia"/>
          <w:b/>
          <w:bCs/>
          <w:color w:val="9c7a2e"/>
          <w:sz w:val="26"/>
          <w:szCs w:val="26"/>
        </w:rPr>
        <w:t xml:space="preserve">1. Parteien</w:t>
      </w:r>
    </w:p>
    <w:p>
      <w:pPr>
        <w:spacing w:after="120"/>
      </w:pPr>
      <w:r>
        <w:rPr>
          <w:i/>
          <w:iCs/>
          <w:color w:val="9c7a2e"/>
          <w:sz w:val="21"/>
          <w:szCs w:val="21"/>
          <w:highlight w:val="yellow"/>
          <w:highlightCs w:val="yellow"/>
        </w:rPr>
        <w:t xml:space="preserve">[Berater/Beraterin, Firma, Anschrift]</w:t>
      </w:r>
    </w:p>
    <w:p>
      <w:pPr>
        <w:spacing w:after="120"/>
      </w:pPr>
      <w:r>
        <w:rPr>
          <w:i/>
          <w:iCs/>
          <w:color w:val="9c7a2e"/>
          <w:sz w:val="21"/>
          <w:szCs w:val="21"/>
          <w:highlight w:val="yellow"/>
          <w:highlightCs w:val="yellow"/>
        </w:rPr>
        <w:t xml:space="preserve">[Kunde, Firma, Anschrift, vertreten durch]</w:t>
      </w:r>
    </w:p>
    <w:p>
      <w:pPr>
        <w:pStyle w:val="Heading1"/>
        <w:pBdr>
          <w:bottom w:val="single" w:color="9c7a2e" w:sz="8" w:space="4"/>
        </w:pBdr>
        <w:spacing w:after="140" w:before="300"/>
      </w:pPr>
      <w:r>
        <w:rPr>
          <w:rFonts w:ascii="Georgia" w:cs="Georgia" w:eastAsia="Georgia" w:hAnsi="Georgia"/>
          <w:b/>
          <w:bCs/>
          <w:color w:val="9c7a2e"/>
          <w:sz w:val="26"/>
          <w:szCs w:val="26"/>
        </w:rPr>
        <w:t xml:space="preserve">2. Leistungsbeschreibung</w:t>
      </w:r>
    </w:p>
    <w:p>
      <w:pPr>
        <w:spacing w:after="120"/>
      </w:pPr>
      <w:r>
        <w:rPr>
          <w:i w:val="false"/>
          <w:iCs w:val="false"/>
          <w:color w:val="222222"/>
          <w:sz w:val="21"/>
          <w:szCs w:val="21"/>
        </w:rPr>
        <w:t xml:space="preserve">Der Berater führt für den Kunden eine strukturierte KI-Prozessanalyse durch, bestehend aus folgenden Schritten:</w:t>
      </w:r>
    </w:p>
    <w:p>
      <w:pPr>
        <w:pStyle w:val="ListParagraph"/>
        <w:numPr>
          <w:ilvl w:val="0"/>
          <w:numId w:val="2"/>
        </w:numPr>
        <w:spacing w:after="80"/>
      </w:pPr>
      <w:r>
        <w:rPr>
          <w:color w:val="222222"/>
          <w:sz w:val="21"/>
          <w:szCs w:val="21"/>
        </w:rPr>
        <w:t xml:space="preserve">Unternehmensprofil: Erfassung von Branche, Größe, Aufbau und Geschäftsmodell</w:t>
      </w:r>
    </w:p>
    <w:p>
      <w:pPr>
        <w:pStyle w:val="ListParagraph"/>
        <w:numPr>
          <w:ilvl w:val="0"/>
          <w:numId w:val="2"/>
        </w:numPr>
        <w:spacing w:after="80"/>
      </w:pPr>
      <w:r>
        <w:rPr>
          <w:color w:val="222222"/>
          <w:sz w:val="21"/>
          <w:szCs w:val="21"/>
        </w:rPr>
        <w:t xml:space="preserve">Branchenanalyse: typische Herausforderungen und KI-Anwendungsbereiche</w:t>
      </w:r>
    </w:p>
    <w:p>
      <w:pPr>
        <w:pStyle w:val="ListParagraph"/>
        <w:numPr>
          <w:ilvl w:val="0"/>
          <w:numId w:val="2"/>
        </w:numPr>
        <w:spacing w:after="80"/>
      </w:pPr>
      <w:r>
        <w:rPr>
          <w:color w:val="222222"/>
          <w:sz w:val="21"/>
          <w:szCs w:val="21"/>
        </w:rPr>
        <w:t xml:space="preserve">Prozess-Mapping: strukturierte Aufnahme der wichtigsten Abläufe (Vertrieb, Kundenkommunikation, Projektabwicklung, Verwaltung, Fachbereich)</w:t>
      </w:r>
    </w:p>
    <w:p>
      <w:pPr>
        <w:pStyle w:val="ListParagraph"/>
        <w:numPr>
          <w:ilvl w:val="0"/>
          <w:numId w:val="2"/>
        </w:numPr>
        <w:spacing w:after="80"/>
      </w:pPr>
      <w:r>
        <w:rPr>
          <w:color w:val="222222"/>
          <w:sz w:val="21"/>
          <w:szCs w:val="21"/>
        </w:rPr>
        <w:t xml:space="preserve">Zeitfresser-Analyse: wiederkehrende und zeitintensive Aufgaben</w:t>
      </w:r>
    </w:p>
    <w:p>
      <w:pPr>
        <w:pStyle w:val="ListParagraph"/>
        <w:numPr>
          <w:ilvl w:val="0"/>
          <w:numId w:val="2"/>
        </w:numPr>
        <w:spacing w:after="80"/>
      </w:pPr>
      <w:r>
        <w:rPr>
          <w:color w:val="222222"/>
          <w:sz w:val="21"/>
          <w:szCs w:val="21"/>
        </w:rPr>
        <w:t xml:space="preserve">Software-Analyse: eingesetzte Systeme, Schnittstellen, Automatisierungspotenzial</w:t>
      </w:r>
    </w:p>
    <w:p>
      <w:pPr>
        <w:pStyle w:val="ListParagraph"/>
        <w:numPr>
          <w:ilvl w:val="0"/>
          <w:numId w:val="2"/>
        </w:numPr>
        <w:spacing w:after="80"/>
      </w:pPr>
      <w:r>
        <w:rPr>
          <w:color w:val="222222"/>
          <w:sz w:val="21"/>
          <w:szCs w:val="21"/>
        </w:rPr>
        <w:t xml:space="preserve">KI-Potenzialanalyse: Bewertung konkreter Prozesse nach Nutzen und Aufwand</w:t>
      </w:r>
    </w:p>
    <w:p>
      <w:pPr>
        <w:pStyle w:val="ListParagraph"/>
        <w:numPr>
          <w:ilvl w:val="0"/>
          <w:numId w:val="2"/>
        </w:numPr>
        <w:spacing w:after="80"/>
      </w:pPr>
      <w:r>
        <w:rPr>
          <w:color w:val="222222"/>
          <w:sz w:val="21"/>
          <w:szCs w:val="21"/>
        </w:rPr>
        <w:t xml:space="preserve">Priorisierung: Einordnung in sofort umsetzbar, Projektplanung oder nicht priorisiert</w:t>
      </w:r>
    </w:p>
    <w:p>
      <w:pPr>
        <w:pStyle w:val="ListParagraph"/>
        <w:numPr>
          <w:ilvl w:val="0"/>
          <w:numId w:val="2"/>
        </w:numPr>
        <w:spacing w:after="80"/>
      </w:pPr>
      <w:r>
        <w:rPr>
          <w:color w:val="222222"/>
          <w:sz w:val="21"/>
          <w:szCs w:val="21"/>
        </w:rPr>
        <w:t xml:space="preserve">Abschlussbericht mit konkreten nächsten Schritten</w:t>
      </w:r>
    </w:p>
    <w:p>
      <w:pPr>
        <w:spacing w:after="120"/>
      </w:pPr>
      <w:r>
        <w:rPr>
          <w:i w:val="false"/>
          <w:iCs w:val="false"/>
          <w:color w:val="222222"/>
          <w:sz w:val="21"/>
          <w:szCs w:val="21"/>
        </w:rPr>
        <w:t xml:space="preserve">Die Durchführung der Automatisierung selbst (z. B. Aufbau in Make.com oder n8n) ist nicht Teil dieser Leistung, sofern nicht gesondert vereinbart, siehe Honorarmodell unten.</w:t>
      </w:r>
    </w:p>
    <w:p>
      <w:pPr>
        <w:pStyle w:val="Heading1"/>
        <w:pBdr>
          <w:bottom w:val="single" w:color="9c7a2e" w:sz="8" w:space="4"/>
        </w:pBdr>
        <w:spacing w:after="140" w:before="300"/>
      </w:pPr>
      <w:r>
        <w:rPr>
          <w:rFonts w:ascii="Georgia" w:cs="Georgia" w:eastAsia="Georgia" w:hAnsi="Georgia"/>
          <w:b/>
          <w:bCs/>
          <w:color w:val="9c7a2e"/>
          <w:sz w:val="26"/>
          <w:szCs w:val="26"/>
        </w:rPr>
        <w:t xml:space="preserve">3. Ablauf und Zeitrahmen</w:t>
      </w:r>
    </w:p>
    <w:p>
      <w:pPr>
        <w:spacing w:after="120"/>
      </w:pPr>
      <w:r>
        <w:rPr>
          <w:i/>
          <w:iCs/>
          <w:color w:val="9c7a2e"/>
          <w:sz w:val="21"/>
          <w:szCs w:val="21"/>
          <w:highlight w:val="yellow"/>
          <w:highlightCs w:val="yellow"/>
        </w:rPr>
        <w:t xml:space="preserve">[Voraussichtliche Dauer ab Kickoff-Termin, z. B. X Wochen, abhängig von Verfügbarkeit der Ansprechpartner beim Kunden]</w:t>
      </w:r>
    </w:p>
    <w:p>
      <w:pPr>
        <w:pStyle w:val="Heading1"/>
        <w:pBdr>
          <w:bottom w:val="single" w:color="9c7a2e" w:sz="8" w:space="4"/>
        </w:pBdr>
        <w:spacing w:after="140" w:before="300"/>
      </w:pPr>
      <w:r>
        <w:rPr>
          <w:rFonts w:ascii="Georgia" w:cs="Georgia" w:eastAsia="Georgia" w:hAnsi="Georgia"/>
          <w:b/>
          <w:bCs/>
          <w:color w:val="9c7a2e"/>
          <w:sz w:val="26"/>
          <w:szCs w:val="26"/>
        </w:rPr>
        <w:t xml:space="preserve">4. Honorar und Zahlungsbedingungen</w:t>
      </w:r>
    </w:p>
    <w:p>
      <w:pPr>
        <w:spacing w:after="120"/>
      </w:pPr>
      <w:r>
        <w:rPr>
          <w:i w:val="false"/>
          <w:iCs w:val="false"/>
          <w:color w:val="222222"/>
          <w:sz w:val="21"/>
          <w:szCs w:val="21"/>
        </w:rPr>
        <w:t xml:space="preserve">Analysephase (Leistungsbeschreibung oben): Festpreis für die abgegrenzte Analysephase, nicht Abrechnung nach Stunden, damit der Kunde die Kosten vorab klar vergleichen kann.</w:t>
      </w:r>
    </w:p>
    <w:p>
      <w:pPr>
        <w:spacing w:after="120"/>
      </w:pPr>
      <w:r>
        <w:rPr>
          <w:i/>
          <w:iCs/>
          <w:color w:val="9c7a2e"/>
          <w:sz w:val="21"/>
          <w:szCs w:val="21"/>
          <w:highlight w:val="yellow"/>
          <w:highlightCs w:val="yellow"/>
        </w:rPr>
        <w:t xml:space="preserve">[Konkrete Höhe der Analysephase eintragen, projektspezifisch]</w:t>
      </w:r>
    </w:p>
    <w:p>
      <w:pPr>
        <w:spacing w:after="120"/>
      </w:pPr>
      <w:r>
        <w:rPr>
          <w:i w:val="false"/>
          <w:iCs w:val="false"/>
          <w:color w:val="222222"/>
          <w:sz w:val="21"/>
          <w:szCs w:val="21"/>
        </w:rPr>
        <w:t xml:space="preserve">Zahlungsstruktur Analysephase: Anzahlung bei Start, Restzahlung bei Übergabe des Abschlussberichts.</w:t>
      </w:r>
    </w:p>
    <w:p>
      <w:pPr>
        <w:spacing w:after="120"/>
      </w:pPr>
      <w:r>
        <w:rPr>
          <w:i w:val="false"/>
          <w:iCs w:val="false"/>
          <w:color w:val="222222"/>
          <w:sz w:val="21"/>
          <w:szCs w:val="21"/>
        </w:rPr>
        <w:t xml:space="preserve">Umsetzungsphase (falls beauftragt): zweistufiges Modell, empfohlen für die meisten Kunden.</w:t>
      </w:r>
    </w:p>
    <w:p>
      <w:pPr>
        <w:pStyle w:val="ListParagraph"/>
        <w:numPr>
          <w:ilvl w:val="0"/>
          <w:numId w:val="2"/>
        </w:numPr>
        <w:spacing w:after="80"/>
      </w:pPr>
      <w:r>
        <w:rPr>
          <w:color w:val="222222"/>
          <w:sz w:val="21"/>
          <w:szCs w:val="21"/>
        </w:rPr>
        <w:t xml:space="preserve">Erste Stufe: klar abgegrenzte Pauschale pro einzelner Automatisierung oder Umsetzungsprojekt, kein Gesamtprojektpreis von Anfang an. Leicht verständlich für den Kunden, kein Widerstand wegen befürchteter laufender Kosten.</w:t>
      </w:r>
    </w:p>
    <w:p>
      <w:pPr>
        <w:pStyle w:val="ListParagraph"/>
        <w:numPr>
          <w:ilvl w:val="0"/>
          <w:numId w:val="2"/>
        </w:numPr>
        <w:spacing w:after="80"/>
      </w:pPr>
      <w:r>
        <w:rPr>
          <w:color w:val="222222"/>
          <w:sz w:val="21"/>
          <w:szCs w:val="21"/>
        </w:rPr>
        <w:t xml:space="preserve">Zweite Stufe, optional: kleine laufende Betreuungspauschale nach Abschluss der Umsetzung, für Anpassungen, Erweiterungen und Support. Nicht verpflichtend, aber der naheliegende nächste Schritt, sobald die erste Automatisierung sich bewährt hat.</w:t>
      </w:r>
    </w:p>
    <w:p>
      <w:pPr>
        <w:pBdr>
          <w:left w:val="single" w:color="9c7a2e" w:sz="18" w:space="8"/>
        </w:pBdr>
        <w:shd w:fill="f4ecd8" w:val="clear"/>
        <w:spacing w:after="160" w:before="160"/>
        <w:ind w:left="200" w:right="200"/>
      </w:pPr>
      <w:r>
        <w:rPr>
          <w:i/>
          <w:iCs/>
          <w:color w:val="222222"/>
          <w:sz w:val="20"/>
          <w:szCs w:val="20"/>
        </w:rPr>
        <w:t xml:space="preserve">Warum diese Kombination: eine reine Einmalpauschale ist leicht zu verkaufen, liefert aber kein planbares, wiederkehrendes Einkommen. Eine reine laufende Pauschale ist schwerer zu verkaufen als erster Schritt. Die Kombination löst beides: einfacher Einstieg, danach wachsende, planbare Basis. Bei einem Kunden mit mehreren sinnvollen Automatisierungen (wie B+H Bau) kann alternativ auch ein Modell aus mehreren, zeitlich gestaffelten Einzelpauschalen pro Phase funktionieren, jede Phase ihr eigenes Angebot, erst wenn die vorherige sich bewährt hat, siehe Vorgehen bei B+H Bau als Beispiel.</w:t>
      </w:r>
    </w:p>
    <w:p>
      <w:pPr>
        <w:pStyle w:val="Heading1"/>
        <w:pBdr>
          <w:bottom w:val="single" w:color="9c7a2e" w:sz="8" w:space="4"/>
        </w:pBdr>
        <w:spacing w:after="140" w:before="300"/>
      </w:pPr>
      <w:r>
        <w:rPr>
          <w:rFonts w:ascii="Georgia" w:cs="Georgia" w:eastAsia="Georgia" w:hAnsi="Georgia"/>
          <w:b/>
          <w:bCs/>
          <w:color w:val="9c7a2e"/>
          <w:sz w:val="26"/>
          <w:szCs w:val="26"/>
        </w:rPr>
        <w:t xml:space="preserve">5. Mitwirkungspflichten des Kunden</w:t>
      </w:r>
    </w:p>
    <w:p>
      <w:pPr>
        <w:pStyle w:val="ListParagraph"/>
        <w:numPr>
          <w:ilvl w:val="0"/>
          <w:numId w:val="2"/>
        </w:numPr>
        <w:spacing w:after="80"/>
      </w:pPr>
      <w:r>
        <w:rPr>
          <w:color w:val="222222"/>
          <w:sz w:val="21"/>
          <w:szCs w:val="21"/>
        </w:rPr>
        <w:t xml:space="preserve">Benennung von Ansprechpartnern für Interview und Fragebogen</w:t>
      </w:r>
    </w:p>
    <w:p>
      <w:pPr>
        <w:pStyle w:val="ListParagraph"/>
        <w:numPr>
          <w:ilvl w:val="0"/>
          <w:numId w:val="2"/>
        </w:numPr>
        <w:spacing w:after="80"/>
      </w:pPr>
      <w:r>
        <w:rPr>
          <w:color w:val="222222"/>
          <w:sz w:val="21"/>
          <w:szCs w:val="21"/>
        </w:rPr>
        <w:t xml:space="preserve">Zugang zu den für die Analyse notwendigen Informationen (z. B. Prozessbeschreibungen, Organigramm)</w:t>
      </w:r>
    </w:p>
    <w:p>
      <w:pPr>
        <w:pStyle w:val="ListParagraph"/>
        <w:numPr>
          <w:ilvl w:val="0"/>
          <w:numId w:val="2"/>
        </w:numPr>
        <w:spacing w:after="80"/>
      </w:pPr>
      <w:r>
        <w:rPr>
          <w:color w:val="222222"/>
          <w:sz w:val="21"/>
          <w:szCs w:val="21"/>
        </w:rPr>
        <w:t xml:space="preserve">Zeitnahe Rückmeldung bei Rückfragen, damit der vereinbarte Zeitrahmen eingehalten werden kann</w:t>
      </w:r>
    </w:p>
    <w:p>
      <w:pPr>
        <w:pStyle w:val="Heading1"/>
        <w:pBdr>
          <w:bottom w:val="single" w:color="9c7a2e" w:sz="8" w:space="4"/>
        </w:pBdr>
        <w:spacing w:after="140" w:before="300"/>
      </w:pPr>
      <w:r>
        <w:rPr>
          <w:rFonts w:ascii="Georgia" w:cs="Georgia" w:eastAsia="Georgia" w:hAnsi="Georgia"/>
          <w:b/>
          <w:bCs/>
          <w:color w:val="9c7a2e"/>
          <w:sz w:val="26"/>
          <w:szCs w:val="26"/>
        </w:rPr>
        <w:t xml:space="preserve">6. Vertraulichkeit</w:t>
      </w:r>
    </w:p>
    <w:p>
      <w:pPr>
        <w:spacing w:after="120"/>
      </w:pPr>
      <w:r>
        <w:rPr>
          <w:i w:val="false"/>
          <w:iCs w:val="false"/>
          <w:color w:val="222222"/>
          <w:sz w:val="21"/>
          <w:szCs w:val="21"/>
        </w:rPr>
        <w:t xml:space="preserve">Beide Seiten behandeln alle im Rahmen der Analyse bekannt gewordenen internen Informationen vertraulich und geben sie nicht ohne Zustimmung an Dritte weiter. Dies gilt insbesondere für Geschäftszahlen, Kundendaten und interne Abläufe.</w:t>
      </w:r>
    </w:p>
    <w:p>
      <w:pPr>
        <w:pStyle w:val="Heading1"/>
        <w:pBdr>
          <w:bottom w:val="single" w:color="9c7a2e" w:sz="8" w:space="4"/>
        </w:pBdr>
        <w:spacing w:after="140" w:before="300"/>
      </w:pPr>
      <w:r>
        <w:rPr>
          <w:rFonts w:ascii="Georgia" w:cs="Georgia" w:eastAsia="Georgia" w:hAnsi="Georgia"/>
          <w:b/>
          <w:bCs/>
          <w:color w:val="9c7a2e"/>
          <w:sz w:val="26"/>
          <w:szCs w:val="26"/>
        </w:rPr>
        <w:t xml:space="preserve">7. Haftungsbeschränkung</w:t>
      </w:r>
    </w:p>
    <w:p>
      <w:pPr>
        <w:spacing w:after="120"/>
      </w:pPr>
      <w:r>
        <w:rPr>
          <w:i w:val="false"/>
          <w:iCs w:val="false"/>
          <w:color w:val="222222"/>
          <w:sz w:val="21"/>
          <w:szCs w:val="21"/>
        </w:rPr>
        <w:t xml:space="preserve">Der Berater erbringt Prozess- und Technologieberatung. Er erbringt ausdrücklich keine Rechts-, Steuer- oder Finanzberatung. Bei datenschutz- oder haftungsrechtlich relevanten Fragen (z. B. Auftragsverarbeitungsverträge, Datenschutz-Folgenabschätzung) verweist der Berater auf die Einbindung einer Fachanwältin oder eines Fachanwalts durch den Kunden.</w:t>
      </w:r>
    </w:p>
    <w:p>
      <w:pPr>
        <w:spacing w:after="120"/>
      </w:pPr>
      <w:r>
        <w:rPr>
          <w:i/>
          <w:iCs/>
          <w:color w:val="9c7a2e"/>
          <w:sz w:val="21"/>
          <w:szCs w:val="21"/>
          <w:highlight w:val="yellow"/>
          <w:highlightCs w:val="yellow"/>
        </w:rPr>
        <w:t xml:space="preserve">[Haftungsobergrenze und Ausschluss für leichte Fahrlässigkeit hier ergänzen, nach rechtlicher Prüfung]</w:t>
      </w:r>
    </w:p>
    <w:p>
      <w:pPr>
        <w:pStyle w:val="Heading1"/>
        <w:pBdr>
          <w:bottom w:val="single" w:color="9c7a2e" w:sz="8" w:space="4"/>
        </w:pBdr>
        <w:spacing w:after="140" w:before="300"/>
      </w:pPr>
      <w:r>
        <w:rPr>
          <w:rFonts w:ascii="Georgia" w:cs="Georgia" w:eastAsia="Georgia" w:hAnsi="Georgia"/>
          <w:b/>
          <w:bCs/>
          <w:color w:val="9c7a2e"/>
          <w:sz w:val="26"/>
          <w:szCs w:val="26"/>
        </w:rPr>
        <w:t xml:space="preserve">8. Nutzungsrechte</w:t>
      </w:r>
    </w:p>
    <w:p>
      <w:pPr>
        <w:spacing w:after="120"/>
      </w:pPr>
      <w:r>
        <w:rPr>
          <w:i w:val="false"/>
          <w:iCs w:val="false"/>
          <w:color w:val="222222"/>
          <w:sz w:val="21"/>
          <w:szCs w:val="21"/>
        </w:rPr>
        <w:t xml:space="preserve">Der Abschlussbericht und alle im Rahmen des Projekts erstellten Analysen gehen in das Eigentum des Kunden über. Der Berater darf das Projekt, sofern der Kunde ausdrücklich zustimmt, als anonymisierte oder namentliche Referenz nutzen.</w:t>
      </w:r>
    </w:p>
    <w:p>
      <w:pPr>
        <w:pStyle w:val="Heading1"/>
        <w:pBdr>
          <w:bottom w:val="single" w:color="9c7a2e" w:sz="8" w:space="4"/>
        </w:pBdr>
        <w:spacing w:after="140" w:before="300"/>
      </w:pPr>
      <w:r>
        <w:rPr>
          <w:rFonts w:ascii="Georgia" w:cs="Georgia" w:eastAsia="Georgia" w:hAnsi="Georgia"/>
          <w:b/>
          <w:bCs/>
          <w:color w:val="9c7a2e"/>
          <w:sz w:val="26"/>
          <w:szCs w:val="26"/>
        </w:rPr>
        <w:t xml:space="preserve">9. Kündigung</w:t>
      </w:r>
    </w:p>
    <w:p>
      <w:pPr>
        <w:spacing w:after="120"/>
      </w:pPr>
      <w:r>
        <w:rPr>
          <w:i/>
          <w:iCs/>
          <w:color w:val="9c7a2e"/>
          <w:sz w:val="21"/>
          <w:szCs w:val="21"/>
          <w:highlight w:val="yellow"/>
          <w:highlightCs w:val="yellow"/>
        </w:rPr>
        <w:t xml:space="preserve">[Kündigungsfrist bzw. Regelung für vorzeitige Beendigung ergänzen]</w:t>
      </w:r>
    </w:p>
    <w:p>
      <w:pPr>
        <w:pStyle w:val="Heading1"/>
        <w:pBdr>
          <w:bottom w:val="single" w:color="9c7a2e" w:sz="8" w:space="4"/>
        </w:pBdr>
        <w:spacing w:after="140" w:before="300"/>
      </w:pPr>
      <w:r>
        <w:rPr>
          <w:rFonts w:ascii="Georgia" w:cs="Georgia" w:eastAsia="Georgia" w:hAnsi="Georgia"/>
          <w:b/>
          <w:bCs/>
          <w:color w:val="9c7a2e"/>
          <w:sz w:val="26"/>
          <w:szCs w:val="26"/>
        </w:rPr>
        <w:t xml:space="preserve">10. Schlussbestimmungen</w:t>
      </w:r>
    </w:p>
    <w:p>
      <w:pPr>
        <w:spacing w:after="120"/>
      </w:pPr>
      <w:r>
        <w:rPr>
          <w:i w:val="false"/>
          <w:iCs w:val="false"/>
          <w:color w:val="222222"/>
          <w:sz w:val="21"/>
          <w:szCs w:val="21"/>
        </w:rPr>
        <w:t xml:space="preserve">Änderungen und Ergänzungen dieser Vereinbarung bedürfen der Schriftform. Es gilt deutsches Recht.</w:t>
      </w:r>
    </w:p>
    <w:p>
      <w:pPr>
        <w:spacing w:before="500"/>
      </w:pPr>
      <w:r>
        <w:rPr>
          <w:color w:val="222222"/>
          <w:sz w:val="21"/>
          <w:szCs w:val="21"/>
        </w:rPr>
        <w:t xml:space="preserve">_____________________________</w:t>
      </w:r>
    </w:p>
    <w:p>
      <w:pPr>
        <w:spacing w:after="300"/>
      </w:pPr>
      <w:r>
        <w:rPr>
          <w:color w:val="6b6478"/>
          <w:sz w:val="18"/>
          <w:szCs w:val="18"/>
        </w:rPr>
        <w:t xml:space="preserve">Ort, Datum, Unterschrift Berater — Ort, Datum, Unterschrift Kunde</w:t>
      </w:r>
    </w:p>
    <w:p>
      <w:pPr>
        <w:pBdr>
          <w:top w:val="single" w:color="cccccc" w:sz="4" w:space="6"/>
        </w:pBdr>
        <w:spacing w:before="300"/>
      </w:pPr>
      <w:r>
        <w:rPr>
          <w:i/>
          <w:iCs/>
          <w:color w:val="6b6478"/>
          <w:sz w:val="16"/>
          <w:szCs w:val="16"/>
        </w:rPr>
        <w:t xml:space="preserve">Wiederverwendbare Vorlage, erstellt 10.08.2026. Honorarmodell Umsetzungsphase ergänzt 19.08.2026. Zugehörige Methodik: reference/ki-prozessberatung-kmu-methode.md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2026-08-19T19:15:16.227Z</dcterms:created>
  <dcterms:modified xsi:type="dcterms:W3CDTF">2026-08-19T19:15:16.228Z</dcterms:modified>
</cp:coreProperties>
</file>

<file path=docProps/custom.xml><?xml version="1.0" encoding="utf-8"?>
<Properties xmlns="http://schemas.openxmlformats.org/officeDocument/2006/custom-properties" xmlns:vt="http://schemas.openxmlformats.org/officeDocument/2006/docPropsVTypes"/>
</file>