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Der Optimalfall</w:t>
      </w:r>
    </w:p>
    <w:p>
      <w:pPr>
        <w:spacing w:after="60"/>
      </w:pPr>
      <w:r>
        <w:rPr>
          <w:b/>
          <w:bCs/>
          <w:color w:val="9c7a2e"/>
          <w:sz w:val="26"/>
          <w:szCs w:val="26"/>
        </w:rPr>
        <w:t xml:space="preserve">Wie gute Organisation bei B+H Bau aussehen müsste, damit KI-Unterstützung wirklich hilft</w:t>
      </w:r>
    </w:p>
    <w:p>
      <w:pPr>
        <w:spacing w:after="320"/>
      </w:pPr>
      <w:r>
        <w:rPr>
          <w:i/>
          <w:iCs/>
          <w:color w:val="555555"/>
        </w:rPr>
        <w:t xml:space="preserve">KI ist nur so gut wie die Organisation dahinter. Diese Liste ist kein Vorwurf und kein Angebot, sondern eine persönliche Checkliste, um beim Zuhören am Montag einzuschätzen, wie strukturiert die Firma schon ist, und wie realistisch der Zeitplan für die erste Phase ist.</w:t>
      </w:r>
    </w:p>
    <w:p>
      <w:pPr>
        <w:pStyle w:val="Heading1"/>
        <w:pBdr>
          <w:bottom w:val="single" w:color="9c7a2e" w:sz="6" w:space="4"/>
        </w:pBdr>
        <w:spacing w:after="140" w:before="340"/>
      </w:pPr>
      <w:r>
        <w:t xml:space="preserve">Grundvoraussetzung, bereichsübergreifend</w:t>
      </w:r>
    </w:p>
    <w:p>
      <w:pPr>
        <w:spacing w:after="120"/>
        <w:ind w:left="360"/>
      </w:pPr>
      <w:r>
        <w:rPr>
          <w:b/>
          <w:bCs/>
        </w:rPr>
        <w:t xml:space="preserve">☐  </w:t>
      </w:r>
      <w:r>
        <w:t xml:space="preserve">Einheitliche Bezeichnungen werden von allen gleich benutzt, zum Beispiel Bauwerksnummern wie BW 7 oder BW 12, keine abweichenden internen Bezeichnungen für dasselbe Bauwerk.</w:t>
      </w:r>
    </w:p>
    <w:p>
      <w:pPr>
        <w:spacing w:after="120"/>
        <w:ind w:left="360"/>
      </w:pPr>
      <w:r>
        <w:rPr>
          <w:b/>
          <w:bCs/>
        </w:rPr>
        <w:t xml:space="preserve">☐  </w:t>
      </w:r>
      <w:r>
        <w:t xml:space="preserve">Es gibt einen zentralen, allen relevanten Personen zugänglichen Ablageort für wichtige Informationen, nicht nur verstreut in einzelnen persönlichen Postfächern.</w:t>
      </w:r>
    </w:p>
    <w:p>
      <w:pPr>
        <w:pStyle w:val="Heading1"/>
        <w:pBdr>
          <w:bottom w:val="single" w:color="9c7a2e" w:sz="6" w:space="4"/>
        </w:pBdr>
        <w:spacing w:after="140" w:before="340"/>
      </w:pPr>
      <w:r>
        <w:t xml:space="preserve">Phase 1: E-Mail-Kommunikation</w:t>
      </w:r>
    </w:p>
    <w:p>
      <w:pPr>
        <w:spacing w:after="120"/>
        <w:ind w:left="360"/>
      </w:pPr>
      <w:r>
        <w:rPr>
          <w:b/>
          <w:bCs/>
        </w:rPr>
        <w:t xml:space="preserve">☐  </w:t>
      </w:r>
      <w:r>
        <w:t xml:space="preserve">Eine feste, von der Firma selbst bestätigte Kategorienliste existiert (zum Beispiel Nachtragsmanagement, Terminabstimmung, Angebotsanfrage, Rechnung).</w:t>
      </w:r>
    </w:p>
    <w:p>
      <w:pPr>
        <w:spacing w:after="120"/>
        <w:ind w:left="360"/>
      </w:pPr>
      <w:r>
        <w:rPr>
          <w:b/>
          <w:bCs/>
        </w:rPr>
        <w:t xml:space="preserve">☐  </w:t>
      </w:r>
      <w:r>
        <w:t xml:space="preserve">Es gibt eine aktuelle, gepflegte Zuordnung, wer für welche Kategorie zuständig ist.</w:t>
      </w:r>
    </w:p>
    <w:p>
      <w:pPr>
        <w:spacing w:after="120"/>
        <w:ind w:left="360"/>
      </w:pPr>
      <w:r>
        <w:rPr>
          <w:b/>
          <w:bCs/>
        </w:rPr>
        <w:t xml:space="preserve">☐  </w:t>
      </w:r>
      <w:r>
        <w:t xml:space="preserve">Diese Zuordnung wird nachgezogen, wenn sich Zuständigkeiten ändern, zum Beispiel bei einem Personalwechsel.</w:t>
      </w:r>
    </w:p>
    <w:p>
      <w:pPr>
        <w:pStyle w:val="Heading1"/>
        <w:pBdr>
          <w:bottom w:val="single" w:color="9c7a2e" w:sz="6" w:space="4"/>
        </w:pBdr>
        <w:spacing w:after="140" w:before="340"/>
      </w:pPr>
      <w:r>
        <w:t xml:space="preserve">Phase 3: Bautagebuch per Spracherkennung</w:t>
      </w:r>
    </w:p>
    <w:p>
      <w:pPr>
        <w:spacing w:after="120"/>
        <w:ind w:left="360"/>
      </w:pPr>
      <w:r>
        <w:rPr>
          <w:b/>
          <w:bCs/>
        </w:rPr>
        <w:t xml:space="preserve">☐  </w:t>
      </w:r>
      <w:r>
        <w:t xml:space="preserve">Es gibt eine klare Liste, wer (Poliere, Bauleiter) an der Spracherkennung teilnehmen soll.</w:t>
      </w:r>
    </w:p>
    <w:p>
      <w:pPr>
        <w:spacing w:after="120"/>
        <w:ind w:left="360"/>
      </w:pPr>
      <w:r>
        <w:rPr>
          <w:b/>
          <w:bCs/>
        </w:rPr>
        <w:t xml:space="preserve">☐  </w:t>
      </w:r>
      <w:r>
        <w:t xml:space="preserve">Bauwerksbezeichnungen werden einheitlich verwendet, siehe Grundvoraussetzung oben.</w:t>
      </w:r>
    </w:p>
    <w:p>
      <w:pPr>
        <w:pStyle w:val="Heading1"/>
        <w:pBdr>
          <w:bottom w:val="single" w:color="9c7a2e" w:sz="6" w:space="4"/>
        </w:pBdr>
        <w:spacing w:after="140" w:before="340"/>
      </w:pPr>
      <w:r>
        <w:t xml:space="preserve">Phase 2: Rechnungsprüfung</w:t>
      </w:r>
    </w:p>
    <w:p>
      <w:pPr>
        <w:spacing w:after="120"/>
        <w:ind w:left="360"/>
      </w:pPr>
      <w:r>
        <w:rPr>
          <w:b/>
          <w:bCs/>
        </w:rPr>
        <w:t xml:space="preserve">☐  </w:t>
      </w:r>
      <w:r>
        <w:t xml:space="preserve">Rechnungen kommen überwiegend digital rein, nicht nur auf Papier.</w:t>
      </w:r>
    </w:p>
    <w:p>
      <w:pPr>
        <w:spacing w:after="120"/>
        <w:ind w:left="360"/>
      </w:pPr>
      <w:r>
        <w:rPr>
          <w:b/>
          <w:bCs/>
        </w:rPr>
        <w:t xml:space="preserve">☐  </w:t>
      </w:r>
      <w:r>
        <w:t xml:space="preserve">Es gibt einen klaren Freigabeprozess, wer eine Rechnung tatsächlich bestätigen darf.</w:t>
      </w:r>
    </w:p>
    <w:p>
      <w:pPr>
        <w:pStyle w:val="Heading1"/>
        <w:pBdr>
          <w:bottom w:val="single" w:color="9c7a2e" w:sz="6" w:space="4"/>
        </w:pBdr>
        <w:spacing w:after="140" w:before="340"/>
      </w:pPr>
      <w:r>
        <w:t xml:space="preserve">Phase 4: Kalkulation und Angebotserstellung</w:t>
      </w:r>
    </w:p>
    <w:p>
      <w:pPr>
        <w:spacing w:after="120"/>
        <w:ind w:left="360"/>
      </w:pPr>
      <w:r>
        <w:rPr>
          <w:b/>
          <w:bCs/>
        </w:rPr>
        <w:t xml:space="preserve">☐  </w:t>
      </w:r>
      <w:r>
        <w:t xml:space="preserve">Standardisierte Kalkulationsvorlagen und feste Textbausteine existieren bereits.</w:t>
      </w:r>
    </w:p>
    <w:p>
      <w:pPr>
        <w:spacing w:after="120"/>
        <w:ind w:left="360"/>
      </w:pPr>
      <w:r>
        <w:rPr>
          <w:b/>
          <w:bCs/>
        </w:rPr>
        <w:t xml:space="preserve">☐  </w:t>
      </w:r>
      <w:r>
        <w:t xml:space="preserve">Es gibt eine einheitliche Struktur, wie Angebote aufgebaut werden.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2026-07-30T15:26:59.839Z</dcterms:created>
  <dcterms:modified xsi:type="dcterms:W3CDTF">2026-07-30T15:26:59.841Z</dcterms:modified>
</cp:coreProperties>
</file>

<file path=docProps/custom.xml><?xml version="1.0" encoding="utf-8"?>
<Properties xmlns="http://schemas.openxmlformats.org/officeDocument/2006/custom-properties" xmlns:vt="http://schemas.openxmlformats.org/officeDocument/2006/docPropsVTypes"/>
</file>