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Firmenübersicht</w:t>
      </w:r>
    </w:p>
    <w:p>
      <w:pPr>
        <w:spacing w:after="60"/>
      </w:pPr>
      <w:r>
        <w:rPr>
          <w:b/>
          <w:bCs/>
          <w:color w:val="9c7a2e"/>
          <w:sz w:val="26"/>
          <w:szCs w:val="26"/>
        </w:rPr>
        <w:t xml:space="preserve">B+H Bau GmbH, Drolshagen — Struktur, Bereiche, Partner</w:t>
      </w:r>
    </w:p>
    <w:p>
      <w:pPr>
        <w:spacing w:after="280"/>
      </w:pPr>
      <w:r>
        <w:rPr>
          <w:i/>
          <w:iCs/>
          <w:color w:val="555555"/>
        </w:rPr>
        <w:t xml:space="preserve">Recherchiert von b-h-bau.de, Stand 29.07.2026, als Vorbereitung für den Termin am Montag</w:t>
      </w:r>
    </w:p>
    <w:p>
      <w:pPr>
        <w:pStyle w:val="Heading1"/>
        <w:pBdr>
          <w:bottom w:val="single" w:color="9c7a2e" w:sz="6" w:space="4"/>
        </w:pBdr>
        <w:spacing w:after="160" w:before="380"/>
      </w:pPr>
      <w:r>
        <w:t xml:space="preserve">Unternehmensprofil</w:t>
      </w:r>
    </w:p>
    <w:p>
      <w:pPr>
        <w:pStyle w:val="ListParagraph"/>
        <w:numPr>
          <w:ilvl w:val="0"/>
          <w:numId w:val="2"/>
        </w:numPr>
        <w:spacing w:after="90"/>
      </w:pPr>
      <w:r>
        <w:t xml:space="preserve">Gegründet 2011, seit Februar 2023 in Drolshagen ansässig (vorher 10 Jahre in Ettlingen).</w:t>
      </w:r>
    </w:p>
    <w:p>
      <w:pPr>
        <w:pStyle w:val="ListParagraph"/>
        <w:numPr>
          <w:ilvl w:val="0"/>
          <w:numId w:val="2"/>
        </w:numPr>
        <w:spacing w:after="90"/>
      </w:pPr>
      <w:r>
        <w:t xml:space="preserve">Kerngeschäftsfelder: konstruktiver Ingenieurbau (Stahlbetonbrücken, massive Stützbauwerke, Bauen unter Eisenbahnbetrieb), Spezialtiefbau (Gründungen, Pfähle, Verankerungen), allgemeiner Erd- und Tiefbau.</w:t>
      </w:r>
    </w:p>
    <w:p>
      <w:pPr>
        <w:pStyle w:val="ListParagraph"/>
        <w:numPr>
          <w:ilvl w:val="0"/>
          <w:numId w:val="2"/>
        </w:numPr>
        <w:spacing w:after="90"/>
      </w:pPr>
      <w:r>
        <w:t xml:space="preserve">DB-präqualifiziert in allen drei Bereichen, das ist eine offizielle Zulassung als Auftragnehmer der Deutschen Bahn.</w:t>
      </w:r>
    </w:p>
    <w:p>
      <w:pPr>
        <w:pStyle w:val="ListParagraph"/>
        <w:numPr>
          <w:ilvl w:val="0"/>
          <w:numId w:val="2"/>
        </w:numPr>
        <w:spacing w:after="90"/>
      </w:pPr>
      <w:r>
        <w:t xml:space="preserve">Einsatzgebiet West-, Südwest- und Süddeutschland: Nordrhein-Westfalen, Hessen, Rheinland-Pfalz, Saarland, Baden-Württemberg, Bayern.</w:t>
      </w:r>
    </w:p>
    <w:p>
      <w:pPr>
        <w:pStyle w:val="ListParagraph"/>
        <w:numPr>
          <w:ilvl w:val="0"/>
          <w:numId w:val="2"/>
        </w:numPr>
        <w:spacing w:after="90"/>
      </w:pPr>
      <w:r>
        <w:t xml:space="preserve">Mitglied Bundesvereinigung mittelständischer Bauunternehmen (BVMB) und Bauwirtschaft Baden-Württemberg e.V., EcoVadis-zertifiziert seit 2024.</w:t>
      </w:r>
    </w:p>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a13d3d" w:sz="8"/>
              <w:left w:val="single" w:color="a13d3d" w:sz="8"/>
              <w:bottom w:val="single" w:color="a13d3d" w:sz="8"/>
              <w:right w:val="single" w:color="a13d3d" w:sz="8"/>
            </w:tcBorders>
            <w:shd w:fill="F6E7E7" w:val="clear"/>
            <w:tcMar>
              <w:top w:type="dxa" w:w="140"/>
              <w:left w:type="dxa" w:w="220"/>
              <w:bottom w:type="dxa" w:w="140"/>
              <w:right w:type="dxa" w:w="220"/>
            </w:tcMar>
          </w:tcPr>
          <w:p>
            <w:pPr>
              <w:spacing w:after="50"/>
            </w:pPr>
            <w:r>
              <w:rPr>
                <w:b/>
                <w:bCs/>
                <w:color w:val="1a1a2e"/>
                <w:sz w:val="23"/>
                <w:szCs w:val="23"/>
              </w:rPr>
              <w:t xml:space="preserve">Wichtiger Punkt zur Vorsicht</w:t>
            </w:r>
          </w:p>
          <w:p>
            <w:pPr>
              <w:spacing w:after="0"/>
            </w:pPr>
            <w:r>
              <w:rPr>
                <w:color w:val="444444"/>
                <w:sz w:val="19"/>
                <w:szCs w:val="19"/>
              </w:rPr>
              <w:t xml:space="preserve">Laut Impressum der Webseite ist die einzige eingetragene, vertretungsberechtigte Person Lilli Kettenbach, Geschäftsführerin seit 2018, nicht Matthias. Vor dem Termin oder ganz beiläufig im Gespräch klären, welchen genauen Titel Matthias aktuell trägt, bevor man ihn öffentlich als „den Geschäftsführer“ anspricht.</w:t>
            </w:r>
          </w:p>
        </w:tc>
      </w:tr>
    </w:tbl>
    <w:p>
      <w:pPr>
        <w:pStyle w:val="Heading1"/>
        <w:pBdr>
          <w:bottom w:val="single" w:color="9c7a2e" w:sz="6" w:space="4"/>
        </w:pBdr>
        <w:spacing w:after="160" w:before="380"/>
      </w:pPr>
      <w:r>
        <w:t xml:space="preserve">Interne Bereiche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Geschäftsführung / Gesellschafter</w:t>
            </w:r>
          </w:p>
          <w:p>
            <w:pPr>
              <w:spacing w:after="60"/>
            </w:pPr>
            <w:r>
              <w:rPr>
                <w:color w:val="444444"/>
                <w:sz w:val="19"/>
                <w:szCs w:val="19"/>
              </w:rPr>
              <w:t xml:space="preserve">Lilli Kettenbach (Geschäftsführerin lt. Impressum), Matthias, Sohn (Mitgesellschafter, in der Übergabe).</w:t>
            </w:r>
          </w:p>
          <w:p>
            <w:r>
              <w:rPr>
                <w:b/>
                <w:bCs/>
                <w:color w:val="9c7a2e"/>
                <w:sz w:val="18"/>
                <w:szCs w:val="18"/>
              </w:rPr>
              <w:t xml:space="preserve">KI-Anknüpfungspunkt: </w:t>
            </w:r>
            <w:r>
              <w:rPr>
                <w:i/>
                <w:iCs/>
                <w:color w:val="444444"/>
                <w:sz w:val="18"/>
                <w:szCs w:val="18"/>
              </w:rPr>
              <w:t xml:space="preserve">entscheidet über Einführung und Budget, größter Hebel für Vertrauen im gesamten Team.</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Kalkulation &amp; Angebotswesen</w:t>
            </w:r>
          </w:p>
          <w:p>
            <w:pPr>
              <w:spacing w:after="60"/>
            </w:pPr>
            <w:r>
              <w:rPr>
                <w:color w:val="444444"/>
                <w:sz w:val="19"/>
                <w:szCs w:val="19"/>
              </w:rPr>
              <w:t xml:space="preserve">Erstellung von Angeboten für öffentliche Ausschreibungen (VOB/A-Vergabeverfahren).</w:t>
            </w:r>
          </w:p>
          <w:p>
            <w:r>
              <w:rPr>
                <w:b/>
                <w:bCs/>
                <w:color w:val="9c7a2e"/>
                <w:sz w:val="18"/>
                <w:szCs w:val="18"/>
              </w:rPr>
              <w:t xml:space="preserve">KI-Anknüpfungspunkt: </w:t>
            </w:r>
            <w:r>
              <w:rPr>
                <w:i/>
                <w:iCs/>
                <w:color w:val="444444"/>
                <w:sz w:val="18"/>
                <w:szCs w:val="18"/>
              </w:rPr>
              <w:t xml:space="preserve">größter Zeitfresser und größtes Potenzial, aber auch höchstes Risiko, deshalb spätere Phase.</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Projektleitung &amp; Bauleitung</w:t>
            </w:r>
          </w:p>
          <w:p>
            <w:pPr>
              <w:spacing w:after="60"/>
            </w:pPr>
            <w:r>
              <w:rPr>
                <w:color w:val="444444"/>
                <w:sz w:val="19"/>
                <w:szCs w:val="19"/>
              </w:rPr>
              <w:t xml:space="preserve">Zentrale Schnittstelle zwischen Baustelle, Auftraggeber und Büro.</w:t>
            </w:r>
          </w:p>
          <w:p>
            <w:r>
              <w:rPr>
                <w:b/>
                <w:bCs/>
                <w:color w:val="9c7a2e"/>
                <w:sz w:val="18"/>
                <w:szCs w:val="18"/>
              </w:rPr>
              <w:t xml:space="preserve">KI-Anknüpfungspunkt: </w:t>
            </w:r>
            <w:r>
              <w:rPr>
                <w:i/>
                <w:iCs/>
                <w:color w:val="444444"/>
                <w:sz w:val="18"/>
                <w:szCs w:val="18"/>
              </w:rPr>
              <w:t xml:space="preserve">erste Automatisierungsphase (E-Mail, Nachtragsmanagement) betrifft diesen Bereich direkt.</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Bauausführung vor Ort</w:t>
            </w:r>
          </w:p>
          <w:p>
            <w:pPr>
              <w:spacing w:after="60"/>
            </w:pPr>
            <w:r>
              <w:rPr>
                <w:color w:val="444444"/>
                <w:sz w:val="19"/>
                <w:szCs w:val="19"/>
              </w:rPr>
              <w:t xml:space="preserve">Poliere, Werkpoliere, Baumaschinenführer/Baggerfahrer, SIVV-Betoninstandsetzer.</w:t>
            </w:r>
          </w:p>
          <w:p>
            <w:r>
              <w:rPr>
                <w:b/>
                <w:bCs/>
                <w:color w:val="9c7a2e"/>
                <w:sz w:val="18"/>
                <w:szCs w:val="18"/>
              </w:rPr>
              <w:t xml:space="preserve">KI-Anknüpfungspunkt: </w:t>
            </w:r>
            <w:r>
              <w:rPr>
                <w:i/>
                <w:iCs/>
                <w:color w:val="444444"/>
                <w:sz w:val="18"/>
                <w:szCs w:val="18"/>
              </w:rPr>
              <w:t xml:space="preserve">Bautagebuch per Spracherkennung setzt genau hier an.</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Technisches Büro / Statik</w:t>
            </w:r>
          </w:p>
          <w:p>
            <w:pPr>
              <w:spacing w:after="60"/>
            </w:pPr>
            <w:r>
              <w:rPr>
                <w:color w:val="444444"/>
                <w:sz w:val="19"/>
                <w:szCs w:val="19"/>
              </w:rPr>
              <w:t xml:space="preserve">Prüfung von Standsicherheit, Freigaben bei baulichen Auffälligkeiten.</w:t>
            </w:r>
          </w:p>
          <w:p>
            <w:r>
              <w:rPr>
                <w:b/>
                <w:bCs/>
                <w:color w:val="9c7a2e"/>
                <w:sz w:val="18"/>
                <w:szCs w:val="18"/>
              </w:rPr>
              <w:t xml:space="preserve">KI-Anknüpfungspunkt: </w:t>
            </w:r>
            <w:r>
              <w:rPr>
                <w:i/>
                <w:iCs/>
                <w:color w:val="444444"/>
                <w:sz w:val="18"/>
                <w:szCs w:val="18"/>
              </w:rPr>
              <w:t xml:space="preserve">sicherheitsrelevant, KI unterstützt nur, entscheidet nie autonom.</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Verwaltung &amp; Buchhaltung</w:t>
            </w:r>
          </w:p>
          <w:p>
            <w:pPr>
              <w:spacing w:after="60"/>
            </w:pPr>
            <w:r>
              <w:rPr>
                <w:color w:val="444444"/>
                <w:sz w:val="19"/>
                <w:szCs w:val="19"/>
              </w:rPr>
              <w:t xml:space="preserve">Rechnungsstellung, Rechnungsprüfung, allgemeine Bürovorgänge.</w:t>
            </w:r>
          </w:p>
          <w:p>
            <w:r>
              <w:rPr>
                <w:b/>
                <w:bCs/>
                <w:color w:val="9c7a2e"/>
                <w:sz w:val="18"/>
                <w:szCs w:val="18"/>
              </w:rPr>
              <w:t xml:space="preserve">KI-Anknüpfungspunkt: </w:t>
            </w:r>
            <w:r>
              <w:rPr>
                <w:i/>
                <w:iCs/>
                <w:color w:val="444444"/>
                <w:sz w:val="18"/>
                <w:szCs w:val="18"/>
              </w:rPr>
              <w:t xml:space="preserve">Rechnungsprüfung und Belegerfassung als zweite Automatisierungsphase.</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40"/>
              <w:left w:type="dxa" w:w="220"/>
              <w:bottom w:type="dxa" w:w="140"/>
              <w:right w:type="dxa" w:w="220"/>
            </w:tcMar>
          </w:tcPr>
          <w:p>
            <w:pPr>
              <w:spacing w:after="50"/>
            </w:pPr>
            <w:r>
              <w:rPr>
                <w:b/>
                <w:bCs/>
                <w:color w:val="1a1a2e"/>
                <w:sz w:val="23"/>
                <w:szCs w:val="23"/>
              </w:rPr>
              <w:t xml:space="preserve">IT</w:t>
            </w:r>
          </w:p>
          <w:p>
            <w:pPr>
              <w:spacing w:after="60"/>
            </w:pPr>
            <w:r>
              <w:rPr>
                <w:color w:val="444444"/>
                <w:sz w:val="19"/>
                <w:szCs w:val="19"/>
              </w:rPr>
              <w:t xml:space="preserve">Technischer Umsetzungspartner im Haus.</w:t>
            </w:r>
          </w:p>
          <w:p>
            <w:r>
              <w:rPr>
                <w:b/>
                <w:bCs/>
                <w:color w:val="9c7a2e"/>
                <w:sz w:val="18"/>
                <w:szCs w:val="18"/>
              </w:rPr>
              <w:t xml:space="preserve">KI-Anknüpfungspunkt: </w:t>
            </w:r>
            <w:r>
              <w:rPr>
                <w:i/>
                <w:iCs/>
                <w:color w:val="444444"/>
                <w:sz w:val="18"/>
                <w:szCs w:val="18"/>
              </w:rPr>
              <w:t xml:space="preserve">entscheidet über Zugänge und Schnittstellen, zentraler Ansprechpartner beim Termin.</w:t>
            </w:r>
          </w:p>
        </w:tc>
      </w:tr>
    </w:tbl>
    <w:p>
      <w:pPr>
        <w:pStyle w:val="Heading1"/>
        <w:pBdr>
          <w:bottom w:val="single" w:color="9c7a2e" w:sz="6" w:space="4"/>
        </w:pBdr>
        <w:spacing w:after="160" w:before="380"/>
      </w:pPr>
      <w:r>
        <w:t xml:space="preserve">Externe Partner und Auftraggeber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8"/>
              <w:left w:val="single" w:color="1f4e79" w:sz="8"/>
              <w:bottom w:val="single" w:color="1f4e79" w:sz="8"/>
              <w:right w:val="single" w:color="1f4e79" w:sz="8"/>
            </w:tcBorders>
            <w:shd w:fill="E8EEF5" w:val="clear"/>
            <w:tcMar>
              <w:top w:type="dxa" w:w="140"/>
              <w:left w:type="dxa" w:w="220"/>
              <w:bottom w:type="dxa" w:w="140"/>
              <w:right w:type="dxa" w:w="220"/>
            </w:tcMar>
          </w:tcPr>
          <w:p>
            <w:pPr>
              <w:spacing w:after="50"/>
            </w:pPr>
            <w:r>
              <w:rPr>
                <w:b/>
                <w:bCs/>
                <w:color w:val="1a1a2e"/>
                <w:sz w:val="23"/>
                <w:szCs w:val="23"/>
              </w:rPr>
              <w:t xml:space="preserve">Öffentliche Auftraggeber</w:t>
            </w:r>
          </w:p>
          <w:p>
            <w:pPr>
              <w:spacing w:after="60"/>
            </w:pPr>
            <w:r>
              <w:rPr>
                <w:color w:val="444444"/>
                <w:sz w:val="19"/>
                <w:szCs w:val="19"/>
              </w:rPr>
              <w:t xml:space="preserve">Landesbetriebe Straßenbau, Bauämter/Kreise, Deutsche Bahn AG, überwiegend die gesamte Kundschaft.</w:t>
            </w:r>
          </w:p>
          <w:p>
            <w:r>
              <w:rPr>
                <w:b/>
                <w:bCs/>
                <w:color w:val="1f4e79"/>
                <w:sz w:val="18"/>
                <w:szCs w:val="18"/>
              </w:rPr>
              <w:t xml:space="preserve">KI-Anknüpfungspunkt: </w:t>
            </w:r>
            <w:r>
              <w:rPr>
                <w:i/>
                <w:iCs/>
                <w:color w:val="444444"/>
                <w:sz w:val="18"/>
                <w:szCs w:val="18"/>
              </w:rPr>
              <w:t xml:space="preserve">Hauptkommunikationspartner für die E-Mail-Automatisierung in Phase eins.</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8"/>
              <w:left w:val="single" w:color="1f4e79" w:sz="8"/>
              <w:bottom w:val="single" w:color="1f4e79" w:sz="8"/>
              <w:right w:val="single" w:color="1f4e79" w:sz="8"/>
            </w:tcBorders>
            <w:shd w:fill="E8EEF5" w:val="clear"/>
            <w:tcMar>
              <w:top w:type="dxa" w:w="140"/>
              <w:left w:type="dxa" w:w="220"/>
              <w:bottom w:type="dxa" w:w="140"/>
              <w:right w:type="dxa" w:w="220"/>
            </w:tcMar>
          </w:tcPr>
          <w:p>
            <w:pPr>
              <w:spacing w:after="50"/>
            </w:pPr>
            <w:r>
              <w:rPr>
                <w:b/>
                <w:bCs/>
                <w:color w:val="1a1a2e"/>
                <w:sz w:val="23"/>
                <w:szCs w:val="23"/>
              </w:rPr>
              <w:t xml:space="preserve">Nachunternehmer / Subunternehmer</w:t>
            </w:r>
          </w:p>
          <w:p>
            <w:pPr>
              <w:spacing w:after="60"/>
            </w:pPr>
            <w:r>
              <w:rPr>
                <w:color w:val="444444"/>
                <w:sz w:val="19"/>
                <w:szCs w:val="19"/>
              </w:rPr>
              <w:t xml:space="preserve">Für Spezialgewerke wie Bewehrung, Spezialtiefbau.</w:t>
            </w:r>
          </w:p>
          <w:p>
            <w:r>
              <w:rPr>
                <w:b/>
                <w:bCs/>
                <w:color w:val="1f4e79"/>
                <w:sz w:val="18"/>
                <w:szCs w:val="18"/>
              </w:rPr>
              <w:t xml:space="preserve">KI-Anknüpfungspunkt: </w:t>
            </w:r>
            <w:r>
              <w:rPr>
                <w:i/>
                <w:iCs/>
                <w:color w:val="444444"/>
                <w:sz w:val="18"/>
                <w:szCs w:val="18"/>
              </w:rPr>
              <w:t xml:space="preserve">Koordination über Bautagebuch und Terminabstimmung.</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8"/>
              <w:left w:val="single" w:color="1f4e79" w:sz="8"/>
              <w:bottom w:val="single" w:color="1f4e79" w:sz="8"/>
              <w:right w:val="single" w:color="1f4e79" w:sz="8"/>
            </w:tcBorders>
            <w:shd w:fill="E8EEF5" w:val="clear"/>
            <w:tcMar>
              <w:top w:type="dxa" w:w="140"/>
              <w:left w:type="dxa" w:w="220"/>
              <w:bottom w:type="dxa" w:w="140"/>
              <w:right w:type="dxa" w:w="220"/>
            </w:tcMar>
          </w:tcPr>
          <w:p>
            <w:pPr>
              <w:spacing w:after="50"/>
            </w:pPr>
            <w:r>
              <w:rPr>
                <w:b/>
                <w:bCs/>
                <w:color w:val="1a1a2e"/>
                <w:sz w:val="23"/>
                <w:szCs w:val="23"/>
              </w:rPr>
              <w:t xml:space="preserve">Lieferanten</w:t>
            </w:r>
          </w:p>
          <w:p>
            <w:pPr>
              <w:spacing w:after="60"/>
            </w:pPr>
            <w:r>
              <w:rPr>
                <w:color w:val="444444"/>
                <w:sz w:val="19"/>
                <w:szCs w:val="19"/>
              </w:rPr>
              <w:t xml:space="preserve">Baustoffe, Bewehrungsstahl, Beton.</w:t>
            </w:r>
          </w:p>
          <w:p>
            <w:r>
              <w:rPr>
                <w:b/>
                <w:bCs/>
                <w:color w:val="1f4e79"/>
                <w:sz w:val="18"/>
                <w:szCs w:val="18"/>
              </w:rPr>
              <w:t xml:space="preserve">KI-Anknüpfungspunkt: </w:t>
            </w:r>
            <w:r>
              <w:rPr>
                <w:i/>
                <w:iCs/>
                <w:color w:val="444444"/>
                <w:sz w:val="18"/>
                <w:szCs w:val="18"/>
              </w:rPr>
              <w:t xml:space="preserve">Rechnungs- und Lieferscheinabgleich als spätere Phase.</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8"/>
              <w:left w:val="single" w:color="1f4e79" w:sz="8"/>
              <w:bottom w:val="single" w:color="1f4e79" w:sz="8"/>
              <w:right w:val="single" w:color="1f4e79" w:sz="8"/>
            </w:tcBorders>
            <w:shd w:fill="E8EEF5" w:val="clear"/>
            <w:tcMar>
              <w:top w:type="dxa" w:w="140"/>
              <w:left w:type="dxa" w:w="220"/>
              <w:bottom w:type="dxa" w:w="140"/>
              <w:right w:type="dxa" w:w="220"/>
            </w:tcMar>
          </w:tcPr>
          <w:p>
            <w:pPr>
              <w:spacing w:after="50"/>
            </w:pPr>
            <w:r>
              <w:rPr>
                <w:b/>
                <w:bCs/>
                <w:color w:val="1a1a2e"/>
                <w:sz w:val="23"/>
                <w:szCs w:val="23"/>
              </w:rPr>
              <w:t xml:space="preserve">Prüfingenieure / Gutachter</w:t>
            </w:r>
          </w:p>
          <w:p>
            <w:pPr>
              <w:spacing w:after="60"/>
            </w:pPr>
            <w:r>
              <w:rPr>
                <w:color w:val="444444"/>
                <w:sz w:val="19"/>
                <w:szCs w:val="19"/>
              </w:rPr>
              <w:t xml:space="preserve">Externe Statik-Prüfung, Abnahmen, Gutachten bei Auffälligkeiten.</w:t>
            </w:r>
          </w:p>
          <w:p>
            <w:r>
              <w:rPr>
                <w:b/>
                <w:bCs/>
                <w:color w:val="1f4e79"/>
                <w:sz w:val="18"/>
                <w:szCs w:val="18"/>
              </w:rPr>
              <w:t xml:space="preserve">KI-Anknüpfungspunkt: </w:t>
            </w:r>
            <w:r>
              <w:rPr>
                <w:i/>
                <w:iCs/>
                <w:color w:val="444444"/>
                <w:sz w:val="18"/>
                <w:szCs w:val="18"/>
              </w:rPr>
              <w:t xml:space="preserve">sicherheitsrelevante Rückmeldungen erhalten automatisch hohe Priorität in der Zuordnung.</w:t>
            </w:r>
          </w:p>
        </w:tc>
      </w:tr>
    </w:tbl>
    <w:p>
      <w:pPr>
        <w:spacing w:after="14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1f4e79" w:sz="8"/>
              <w:left w:val="single" w:color="1f4e79" w:sz="8"/>
              <w:bottom w:val="single" w:color="1f4e79" w:sz="8"/>
              <w:right w:val="single" w:color="1f4e79" w:sz="8"/>
            </w:tcBorders>
            <w:shd w:fill="E8EEF5" w:val="clear"/>
            <w:tcMar>
              <w:top w:type="dxa" w:w="140"/>
              <w:left w:type="dxa" w:w="220"/>
              <w:bottom w:type="dxa" w:w="140"/>
              <w:right w:type="dxa" w:w="220"/>
            </w:tcMar>
          </w:tcPr>
          <w:p>
            <w:pPr>
              <w:spacing w:after="50"/>
            </w:pPr>
            <w:r>
              <w:rPr>
                <w:b/>
                <w:bCs/>
                <w:color w:val="1a1a2e"/>
                <w:sz w:val="23"/>
                <w:szCs w:val="23"/>
              </w:rPr>
              <w:t xml:space="preserve">Verbände &amp; Zertifizierung</w:t>
            </w:r>
          </w:p>
          <w:p>
            <w:pPr>
              <w:spacing w:after="60"/>
            </w:pPr>
            <w:r>
              <w:rPr>
                <w:color w:val="444444"/>
                <w:sz w:val="19"/>
                <w:szCs w:val="19"/>
              </w:rPr>
              <w:t xml:space="preserve">BVMB, Bauwirtschaft Baden-Württemberg e.V., EcoVadis.</w:t>
            </w:r>
          </w:p>
          <w:p>
            <w:r>
              <w:rPr>
                <w:b/>
                <w:bCs/>
                <w:color w:val="1f4e79"/>
                <w:sz w:val="18"/>
                <w:szCs w:val="18"/>
              </w:rPr>
              <w:t xml:space="preserve">KI-Anknüpfungspunkt: </w:t>
            </w:r>
            <w:r>
              <w:rPr>
                <w:i/>
                <w:iCs/>
                <w:color w:val="444444"/>
                <w:sz w:val="18"/>
                <w:szCs w:val="18"/>
              </w:rPr>
              <w:t xml:space="preserve">kein direkter KI-Bezug, zeigt aber, dass die Firma an strukturierte Prozesse und Dokumentation gewöhnt ist.</w:t>
            </w:r>
          </w:p>
        </w:tc>
      </w:tr>
    </w:tbl>
    <w:p>
      <w:pPr>
        <w:pStyle w:val="Heading1"/>
        <w:pBdr>
          <w:bottom w:val="single" w:color="9c7a2e" w:sz="6" w:space="4"/>
        </w:pBdr>
        <w:spacing w:after="160" w:before="380"/>
      </w:pPr>
      <w:r>
        <w:t xml:space="preserve">Referenzprojekte (zur Einordnung der Größenordnung)</w:t>
      </w:r>
    </w:p>
    <w:p>
      <w:pPr>
        <w:pStyle w:val="ListParagraph"/>
        <w:numPr>
          <w:ilvl w:val="0"/>
          <w:numId w:val="2"/>
        </w:numPr>
        <w:spacing w:after="90"/>
      </w:pPr>
      <w:r>
        <w:t xml:space="preserve">Eisenbahnüberführungserneuerungen in Steinach, Aachen-Eilendorf, Meerbusch-Osterath, Karlsruhe und Eutingen.</w:t>
      </w:r>
    </w:p>
    <w:p>
      <w:pPr>
        <w:pStyle w:val="ListParagraph"/>
        <w:numPr>
          <w:ilvl w:val="0"/>
          <w:numId w:val="2"/>
        </w:numPr>
        <w:spacing w:after="90"/>
      </w:pPr>
      <w:r>
        <w:t xml:space="preserve">Diverse Personenunterführungen und Spezialtiefbauarbeiten.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2026-07-29T12:55:42.954Z</dcterms:created>
  <dcterms:modified xsi:type="dcterms:W3CDTF">2026-07-29T12:55:42.955Z</dcterms:modified>
</cp:coreProperties>
</file>

<file path=docProps/custom.xml><?xml version="1.0" encoding="utf-8"?>
<Properties xmlns="http://schemas.openxmlformats.org/officeDocument/2006/custom-properties" xmlns:vt="http://schemas.openxmlformats.org/officeDocument/2006/docPropsVTypes"/>
</file>