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aps/>
          <w:color w:val="9c7a2e"/>
          <w:spacing w:val="20"/>
          <w:sz w:val="18"/>
          <w:szCs w:val="18"/>
        </w:rPr>
        <w:t xml:space="preserve">KI-PROZESSBERATUNG FÜR KMU</w:t>
      </w:r>
    </w:p>
    <w:p>
      <w:pPr>
        <w:spacing w:after="200"/>
        <w:jc w:val="center"/>
      </w:pPr>
      <w:r>
        <w:rPr>
          <w:rFonts w:ascii="Georgia" w:cs="Georgia" w:eastAsia="Georgia" w:hAnsi="Georgia"/>
          <w:b/>
          <w:bCs/>
          <w:color w:val="222222"/>
          <w:sz w:val="40"/>
          <w:szCs w:val="40"/>
        </w:rPr>
        <w:t xml:space="preserve">Beratungsvereinbarung</w:t>
      </w:r>
    </w:p>
    <w:p>
      <w:pPr>
        <w:spacing w:after="300"/>
        <w:jc w:val="center"/>
      </w:pPr>
      <w:r>
        <w:rPr>
          <w:i/>
          <w:iCs/>
          <w:color w:val="6b6478"/>
          <w:sz w:val="20"/>
          <w:szCs w:val="20"/>
        </w:rPr>
        <w:t xml:space="preserve">Wiederverwendbare Vorlage — vor jedem Einsatz Platzhalter ausfüllen</w:t>
      </w:r>
    </w:p>
    <w:p>
      <w:pPr>
        <w:pBdr>
          <w:left w:val="single" w:color="9c7a2e" w:sz="18" w:space="8"/>
        </w:pBdr>
        <w:shd w:fill="f4ecd8" w:val="clear"/>
        <w:spacing w:after="160" w:before="160"/>
        <w:ind w:left="200" w:right="200"/>
      </w:pPr>
      <w:r>
        <w:rPr>
          <w:i/>
          <w:iCs/>
          <w:color w:val="222222"/>
          <w:sz w:val="20"/>
          <w:szCs w:val="20"/>
        </w:rPr>
        <w:t xml:space="preserve">Diese Vorlage ist keine Rechtsberatung. Honorarhöhe und Haftungsklausel sind projektspezifisch anzupassen; vor der ersten echten Verwendung empfiehlt sich ein kurzer Check durch eine Fachanwältin oder einen Fachanwalt.</w:t>
      </w:r>
    </w:p>
    <w:p>
      <w:pPr>
        <w:pStyle w:val="Heading1"/>
        <w:pBdr>
          <w:bottom w:val="single" w:color="9c7a2e" w:sz="8" w:space="4"/>
        </w:pBdr>
        <w:spacing w:after="140" w:before="300"/>
      </w:pPr>
      <w:r>
        <w:rPr>
          <w:rFonts w:ascii="Georgia" w:cs="Georgia" w:eastAsia="Georgia" w:hAnsi="Georgia"/>
          <w:b/>
          <w:bCs/>
          <w:color w:val="9c7a2e"/>
          <w:sz w:val="26"/>
          <w:szCs w:val="26"/>
        </w:rPr>
        <w:t xml:space="preserve">1. Parteien</w:t>
      </w:r>
    </w:p>
    <w:p>
      <w:pPr>
        <w:spacing w:after="120"/>
      </w:pPr>
      <w:r>
        <w:rPr>
          <w:i/>
          <w:iCs/>
          <w:color w:val="9c7a2e"/>
          <w:sz w:val="21"/>
          <w:szCs w:val="21"/>
          <w:highlight w:val="yellow"/>
          <w:highlightCs w:val="yellow"/>
        </w:rPr>
        <w:t xml:space="preserve">[Berater/Beraterin, Firma, Anschrift]</w:t>
      </w:r>
    </w:p>
    <w:p>
      <w:pPr>
        <w:spacing w:after="120"/>
      </w:pPr>
      <w:r>
        <w:rPr>
          <w:i/>
          <w:iCs/>
          <w:color w:val="9c7a2e"/>
          <w:sz w:val="21"/>
          <w:szCs w:val="21"/>
          <w:highlight w:val="yellow"/>
          <w:highlightCs w:val="yellow"/>
        </w:rPr>
        <w:t xml:space="preserve">[Kunde, Firma, Anschrift, vertreten durch]</w:t>
      </w:r>
    </w:p>
    <w:p>
      <w:pPr>
        <w:pStyle w:val="Heading1"/>
        <w:pBdr>
          <w:bottom w:val="single" w:color="9c7a2e" w:sz="8" w:space="4"/>
        </w:pBdr>
        <w:spacing w:after="140" w:before="300"/>
      </w:pPr>
      <w:r>
        <w:rPr>
          <w:rFonts w:ascii="Georgia" w:cs="Georgia" w:eastAsia="Georgia" w:hAnsi="Georgia"/>
          <w:b/>
          <w:bCs/>
          <w:color w:val="9c7a2e"/>
          <w:sz w:val="26"/>
          <w:szCs w:val="26"/>
        </w:rPr>
        <w:t xml:space="preserve">2. Leistungsbeschreibung</w:t>
      </w:r>
    </w:p>
    <w:p>
      <w:pPr>
        <w:spacing w:after="120"/>
      </w:pPr>
      <w:r>
        <w:rPr>
          <w:i w:val="false"/>
          <w:iCs w:val="false"/>
          <w:color w:val="222222"/>
          <w:sz w:val="21"/>
          <w:szCs w:val="21"/>
        </w:rPr>
        <w:t xml:space="preserve">Der Berater führt für den Kunden eine strukturierte KI-Prozessanalyse durch, bestehend aus folgenden Schritten:</w:t>
      </w:r>
    </w:p>
    <w:p>
      <w:pPr>
        <w:pStyle w:val="ListParagraph"/>
        <w:numPr>
          <w:ilvl w:val="0"/>
          <w:numId w:val="2"/>
        </w:numPr>
        <w:spacing w:after="80"/>
      </w:pPr>
      <w:r>
        <w:rPr>
          <w:color w:val="222222"/>
          <w:sz w:val="21"/>
          <w:szCs w:val="21"/>
        </w:rPr>
        <w:t xml:space="preserve">Unternehmensprofil: Erfassung von Branche, Größe, Aufbau und Geschäftsmodell</w:t>
      </w:r>
    </w:p>
    <w:p>
      <w:pPr>
        <w:pStyle w:val="ListParagraph"/>
        <w:numPr>
          <w:ilvl w:val="0"/>
          <w:numId w:val="2"/>
        </w:numPr>
        <w:spacing w:after="80"/>
      </w:pPr>
      <w:r>
        <w:rPr>
          <w:color w:val="222222"/>
          <w:sz w:val="21"/>
          <w:szCs w:val="21"/>
        </w:rPr>
        <w:t xml:space="preserve">Branchenanalyse: typische Herausforderungen und KI-Anwendungsbereiche</w:t>
      </w:r>
    </w:p>
    <w:p>
      <w:pPr>
        <w:pStyle w:val="ListParagraph"/>
        <w:numPr>
          <w:ilvl w:val="0"/>
          <w:numId w:val="2"/>
        </w:numPr>
        <w:spacing w:after="80"/>
      </w:pPr>
      <w:r>
        <w:rPr>
          <w:color w:val="222222"/>
          <w:sz w:val="21"/>
          <w:szCs w:val="21"/>
        </w:rPr>
        <w:t xml:space="preserve">Prozess-Mapping: strukturierte Aufnahme der wichtigsten Abläufe (Vertrieb, Kundenkommunikation, Projektabwicklung, Verwaltung, Fachbereich)</w:t>
      </w:r>
    </w:p>
    <w:p>
      <w:pPr>
        <w:pStyle w:val="ListParagraph"/>
        <w:numPr>
          <w:ilvl w:val="0"/>
          <w:numId w:val="2"/>
        </w:numPr>
        <w:spacing w:after="80"/>
      </w:pPr>
      <w:r>
        <w:rPr>
          <w:color w:val="222222"/>
          <w:sz w:val="21"/>
          <w:szCs w:val="21"/>
        </w:rPr>
        <w:t xml:space="preserve">Zeitfresser-Analyse: wiederkehrende und zeitintensive Aufgaben</w:t>
      </w:r>
    </w:p>
    <w:p>
      <w:pPr>
        <w:pStyle w:val="ListParagraph"/>
        <w:numPr>
          <w:ilvl w:val="0"/>
          <w:numId w:val="2"/>
        </w:numPr>
        <w:spacing w:after="80"/>
      </w:pPr>
      <w:r>
        <w:rPr>
          <w:color w:val="222222"/>
          <w:sz w:val="21"/>
          <w:szCs w:val="21"/>
        </w:rPr>
        <w:t xml:space="preserve">Software-Analyse: eingesetzte Systeme, Schnittstellen, Automatisierungspotenzial</w:t>
      </w:r>
    </w:p>
    <w:p>
      <w:pPr>
        <w:pStyle w:val="ListParagraph"/>
        <w:numPr>
          <w:ilvl w:val="0"/>
          <w:numId w:val="2"/>
        </w:numPr>
        <w:spacing w:after="80"/>
      </w:pPr>
      <w:r>
        <w:rPr>
          <w:color w:val="222222"/>
          <w:sz w:val="21"/>
          <w:szCs w:val="21"/>
        </w:rPr>
        <w:t xml:space="preserve">KI-Potenzialanalyse: Bewertung konkreter Prozesse nach Nutzen und Aufwand</w:t>
      </w:r>
    </w:p>
    <w:p>
      <w:pPr>
        <w:pStyle w:val="ListParagraph"/>
        <w:numPr>
          <w:ilvl w:val="0"/>
          <w:numId w:val="2"/>
        </w:numPr>
        <w:spacing w:after="80"/>
      </w:pPr>
      <w:r>
        <w:rPr>
          <w:color w:val="222222"/>
          <w:sz w:val="21"/>
          <w:szCs w:val="21"/>
        </w:rPr>
        <w:t xml:space="preserve">Priorisierung: Einordnung in sofort umsetzbar, Projektplanung oder nicht priorisiert</w:t>
      </w:r>
    </w:p>
    <w:p>
      <w:pPr>
        <w:pStyle w:val="ListParagraph"/>
        <w:numPr>
          <w:ilvl w:val="0"/>
          <w:numId w:val="2"/>
        </w:numPr>
        <w:spacing w:after="80"/>
      </w:pPr>
      <w:r>
        <w:rPr>
          <w:color w:val="222222"/>
          <w:sz w:val="21"/>
          <w:szCs w:val="21"/>
        </w:rPr>
        <w:t xml:space="preserve">Abschlussbericht mit konkreten nächsten Schritten</w:t>
      </w:r>
    </w:p>
    <w:p>
      <w:pPr>
        <w:spacing w:after="120"/>
      </w:pPr>
      <w:r>
        <w:rPr>
          <w:i w:val="false"/>
          <w:iCs w:val="false"/>
          <w:color w:val="222222"/>
          <w:sz w:val="21"/>
          <w:szCs w:val="21"/>
        </w:rPr>
        <w:t xml:space="preserve">Die Durchführung der Automatisierung selbst (z. B. Aufbau in Make.com oder n8n) ist nicht Teil dieser Leistung, sofern nicht gesondert vereinbart.</w:t>
      </w:r>
    </w:p>
    <w:p>
      <w:pPr>
        <w:pStyle w:val="Heading1"/>
        <w:pBdr>
          <w:bottom w:val="single" w:color="9c7a2e" w:sz="8" w:space="4"/>
        </w:pBdr>
        <w:spacing w:after="140" w:before="300"/>
      </w:pPr>
      <w:r>
        <w:rPr>
          <w:rFonts w:ascii="Georgia" w:cs="Georgia" w:eastAsia="Georgia" w:hAnsi="Georgia"/>
          <w:b/>
          <w:bCs/>
          <w:color w:val="9c7a2e"/>
          <w:sz w:val="26"/>
          <w:szCs w:val="26"/>
        </w:rPr>
        <w:t xml:space="preserve">3. Ablauf und Zeitrahmen</w:t>
      </w:r>
    </w:p>
    <w:p>
      <w:pPr>
        <w:spacing w:after="120"/>
      </w:pPr>
      <w:r>
        <w:rPr>
          <w:i/>
          <w:iCs/>
          <w:color w:val="9c7a2e"/>
          <w:sz w:val="21"/>
          <w:szCs w:val="21"/>
          <w:highlight w:val="yellow"/>
          <w:highlightCs w:val="yellow"/>
        </w:rPr>
        <w:t xml:space="preserve">[Voraussichtliche Dauer ab Kickoff-Termin, z. B. X Wochen, abhängig von Verfügbarkeit der Ansprechpartner beim Kunden]</w:t>
      </w:r>
    </w:p>
    <w:p>
      <w:pPr>
        <w:pStyle w:val="Heading1"/>
        <w:pBdr>
          <w:bottom w:val="single" w:color="9c7a2e" w:sz="8" w:space="4"/>
        </w:pBdr>
        <w:spacing w:after="140" w:before="300"/>
      </w:pPr>
      <w:r>
        <w:rPr>
          <w:rFonts w:ascii="Georgia" w:cs="Georgia" w:eastAsia="Georgia" w:hAnsi="Georgia"/>
          <w:b/>
          <w:bCs/>
          <w:color w:val="9c7a2e"/>
          <w:sz w:val="26"/>
          <w:szCs w:val="26"/>
        </w:rPr>
        <w:t xml:space="preserve">4. Honorar und Zahlungsbedingungen</w:t>
      </w:r>
    </w:p>
    <w:p>
      <w:pPr>
        <w:spacing w:after="120"/>
      </w:pPr>
      <w:r>
        <w:rPr>
          <w:i/>
          <w:iCs/>
          <w:color w:val="9c7a2e"/>
          <w:sz w:val="21"/>
          <w:szCs w:val="21"/>
          <w:highlight w:val="yellow"/>
          <w:highlightCs w:val="yellow"/>
        </w:rPr>
        <w:t xml:space="preserve">[Wird projektspezifisch vereinbart — siehe gesondertes Angebot. Empfohlenes Modell: Festpreis für die abgegrenzte Analysephase, nicht Abrechnung nach Stunden, damit der Kunde die Kosten vorab klar vergleichen kann. Übliche Zahlungsstruktur: Anzahlung bei Start, Restzahlung bei Übergabe des Abschlussberichts.]</w:t>
      </w:r>
    </w:p>
    <w:p>
      <w:pPr>
        <w:pStyle w:val="Heading1"/>
        <w:pBdr>
          <w:bottom w:val="single" w:color="9c7a2e" w:sz="8" w:space="4"/>
        </w:pBdr>
        <w:spacing w:after="140" w:before="300"/>
      </w:pPr>
      <w:r>
        <w:rPr>
          <w:rFonts w:ascii="Georgia" w:cs="Georgia" w:eastAsia="Georgia" w:hAnsi="Georgia"/>
          <w:b/>
          <w:bCs/>
          <w:color w:val="9c7a2e"/>
          <w:sz w:val="26"/>
          <w:szCs w:val="26"/>
        </w:rPr>
        <w:t xml:space="preserve">5. Mitwirkungspflichten des Kunden</w:t>
      </w:r>
    </w:p>
    <w:p>
      <w:pPr>
        <w:pStyle w:val="ListParagraph"/>
        <w:numPr>
          <w:ilvl w:val="0"/>
          <w:numId w:val="2"/>
        </w:numPr>
        <w:spacing w:after="80"/>
      </w:pPr>
      <w:r>
        <w:rPr>
          <w:color w:val="222222"/>
          <w:sz w:val="21"/>
          <w:szCs w:val="21"/>
        </w:rPr>
        <w:t xml:space="preserve">Benennung von Ansprechpartnern für Interview und Fragebogen</w:t>
      </w:r>
    </w:p>
    <w:p>
      <w:pPr>
        <w:pStyle w:val="ListParagraph"/>
        <w:numPr>
          <w:ilvl w:val="0"/>
          <w:numId w:val="2"/>
        </w:numPr>
        <w:spacing w:after="80"/>
      </w:pPr>
      <w:r>
        <w:rPr>
          <w:color w:val="222222"/>
          <w:sz w:val="21"/>
          <w:szCs w:val="21"/>
        </w:rPr>
        <w:t xml:space="preserve">Zugang zu den für die Analyse notwendigen Informationen (z. B. Prozessbeschreibungen, Organigramm)</w:t>
      </w:r>
    </w:p>
    <w:p>
      <w:pPr>
        <w:pStyle w:val="ListParagraph"/>
        <w:numPr>
          <w:ilvl w:val="0"/>
          <w:numId w:val="2"/>
        </w:numPr>
        <w:spacing w:after="80"/>
      </w:pPr>
      <w:r>
        <w:rPr>
          <w:color w:val="222222"/>
          <w:sz w:val="21"/>
          <w:szCs w:val="21"/>
        </w:rPr>
        <w:t xml:space="preserve">Zeitnahe Rückmeldung bei Rückfragen, damit der vereinbarte Zeitrahmen eingehalten werden kann</w:t>
      </w:r>
    </w:p>
    <w:p>
      <w:pPr>
        <w:pStyle w:val="Heading1"/>
        <w:pBdr>
          <w:bottom w:val="single" w:color="9c7a2e" w:sz="8" w:space="4"/>
        </w:pBdr>
        <w:spacing w:after="140" w:before="300"/>
      </w:pPr>
      <w:r>
        <w:rPr>
          <w:rFonts w:ascii="Georgia" w:cs="Georgia" w:eastAsia="Georgia" w:hAnsi="Georgia"/>
          <w:b/>
          <w:bCs/>
          <w:color w:val="9c7a2e"/>
          <w:sz w:val="26"/>
          <w:szCs w:val="26"/>
        </w:rPr>
        <w:t xml:space="preserve">6. Vertraulichkeit</w:t>
      </w:r>
    </w:p>
    <w:p>
      <w:pPr>
        <w:spacing w:after="120"/>
      </w:pPr>
      <w:r>
        <w:rPr>
          <w:i w:val="false"/>
          <w:iCs w:val="false"/>
          <w:color w:val="222222"/>
          <w:sz w:val="21"/>
          <w:szCs w:val="21"/>
        </w:rPr>
        <w:t xml:space="preserve">Beide Seiten behandeln alle im Rahmen der Analyse bekannt gewordenen internen Informationen vertraulich und geben sie nicht ohne Zustimmung an Dritte weiter. Dies gilt insbesondere für Geschäftszahlen, Kundendaten und interne Abläufe.</w:t>
      </w:r>
    </w:p>
    <w:p>
      <w:pPr>
        <w:pStyle w:val="Heading1"/>
        <w:pBdr>
          <w:bottom w:val="single" w:color="9c7a2e" w:sz="8" w:space="4"/>
        </w:pBdr>
        <w:spacing w:after="140" w:before="300"/>
      </w:pPr>
      <w:r>
        <w:rPr>
          <w:rFonts w:ascii="Georgia" w:cs="Georgia" w:eastAsia="Georgia" w:hAnsi="Georgia"/>
          <w:b/>
          <w:bCs/>
          <w:color w:val="9c7a2e"/>
          <w:sz w:val="26"/>
          <w:szCs w:val="26"/>
        </w:rPr>
        <w:t xml:space="preserve">7. Haftungsbeschränkung</w:t>
      </w:r>
    </w:p>
    <w:p>
      <w:pPr>
        <w:spacing w:after="120"/>
      </w:pPr>
      <w:r>
        <w:rPr>
          <w:i w:val="false"/>
          <w:iCs w:val="false"/>
          <w:color w:val="222222"/>
          <w:sz w:val="21"/>
          <w:szCs w:val="21"/>
        </w:rPr>
        <w:t xml:space="preserve">Der Berater erbringt Prozess- und Technologieberatung. Er erbringt ausdrücklich keine Rechts-, Steuer- oder Finanzberatung. Bei datenschutz- oder haftungsrechtlich relevanten Fragen (z. B. Auftragsverarbeitungsverträge, Datenschutz-Folgenabschätzung) verweist der Berater auf die Einbindung einer Fachanwältin oder eines Fachanwalts durch den Kunden.</w:t>
      </w:r>
    </w:p>
    <w:p>
      <w:pPr>
        <w:spacing w:after="120"/>
      </w:pPr>
      <w:r>
        <w:rPr>
          <w:i/>
          <w:iCs/>
          <w:color w:val="9c7a2e"/>
          <w:sz w:val="21"/>
          <w:szCs w:val="21"/>
          <w:highlight w:val="yellow"/>
          <w:highlightCs w:val="yellow"/>
        </w:rPr>
        <w:t xml:space="preserve">[Haftungsobergrenze und Ausschluss für leichte Fahrlässigkeit hier ergänzen, nach rechtlicher Prüfung]</w:t>
      </w:r>
    </w:p>
    <w:p>
      <w:pPr>
        <w:pStyle w:val="Heading1"/>
        <w:pBdr>
          <w:bottom w:val="single" w:color="9c7a2e" w:sz="8" w:space="4"/>
        </w:pBdr>
        <w:spacing w:after="140" w:before="300"/>
      </w:pPr>
      <w:r>
        <w:rPr>
          <w:rFonts w:ascii="Georgia" w:cs="Georgia" w:eastAsia="Georgia" w:hAnsi="Georgia"/>
          <w:b/>
          <w:bCs/>
          <w:color w:val="9c7a2e"/>
          <w:sz w:val="26"/>
          <w:szCs w:val="26"/>
        </w:rPr>
        <w:t xml:space="preserve">8. Nutzungsrechte</w:t>
      </w:r>
    </w:p>
    <w:p>
      <w:pPr>
        <w:spacing w:after="120"/>
      </w:pPr>
      <w:r>
        <w:rPr>
          <w:i w:val="false"/>
          <w:iCs w:val="false"/>
          <w:color w:val="222222"/>
          <w:sz w:val="21"/>
          <w:szCs w:val="21"/>
        </w:rPr>
        <w:t xml:space="preserve">Der Abschlussbericht und alle im Rahmen des Projekts erstellten Analysen gehen in das Eigentum des Kunden über. Der Berater darf das Projekt, sofern der Kunde ausdrücklich zustimmt, als anonymisierte oder namentliche Referenz nutzen.</w:t>
      </w:r>
    </w:p>
    <w:p>
      <w:pPr>
        <w:pStyle w:val="Heading1"/>
        <w:pBdr>
          <w:bottom w:val="single" w:color="9c7a2e" w:sz="8" w:space="4"/>
        </w:pBdr>
        <w:spacing w:after="140" w:before="300"/>
      </w:pPr>
      <w:r>
        <w:rPr>
          <w:rFonts w:ascii="Georgia" w:cs="Georgia" w:eastAsia="Georgia" w:hAnsi="Georgia"/>
          <w:b/>
          <w:bCs/>
          <w:color w:val="9c7a2e"/>
          <w:sz w:val="26"/>
          <w:szCs w:val="26"/>
        </w:rPr>
        <w:t xml:space="preserve">9. Kündigung</w:t>
      </w:r>
    </w:p>
    <w:p>
      <w:pPr>
        <w:spacing w:after="120"/>
      </w:pPr>
      <w:r>
        <w:rPr>
          <w:i/>
          <w:iCs/>
          <w:color w:val="9c7a2e"/>
          <w:sz w:val="21"/>
          <w:szCs w:val="21"/>
          <w:highlight w:val="yellow"/>
          <w:highlightCs w:val="yellow"/>
        </w:rPr>
        <w:t xml:space="preserve">[Kündigungsfrist bzw. Regelung für vorzeitige Beendigung ergänzen]</w:t>
      </w:r>
    </w:p>
    <w:p>
      <w:pPr>
        <w:pStyle w:val="Heading1"/>
        <w:pBdr>
          <w:bottom w:val="single" w:color="9c7a2e" w:sz="8" w:space="4"/>
        </w:pBdr>
        <w:spacing w:after="140" w:before="300"/>
      </w:pPr>
      <w:r>
        <w:rPr>
          <w:rFonts w:ascii="Georgia" w:cs="Georgia" w:eastAsia="Georgia" w:hAnsi="Georgia"/>
          <w:b/>
          <w:bCs/>
          <w:color w:val="9c7a2e"/>
          <w:sz w:val="26"/>
          <w:szCs w:val="26"/>
        </w:rPr>
        <w:t xml:space="preserve">10. Schlussbestimmungen</w:t>
      </w:r>
    </w:p>
    <w:p>
      <w:pPr>
        <w:spacing w:after="120"/>
      </w:pPr>
      <w:r>
        <w:rPr>
          <w:i w:val="false"/>
          <w:iCs w:val="false"/>
          <w:color w:val="222222"/>
          <w:sz w:val="21"/>
          <w:szCs w:val="21"/>
        </w:rPr>
        <w:t xml:space="preserve">Änderungen und Ergänzungen dieser Vereinbarung bedürfen der Schriftform. Es gilt deutsches Recht.</w:t>
      </w:r>
    </w:p>
    <w:p>
      <w:pPr>
        <w:spacing w:before="500"/>
      </w:pPr>
      <w:r>
        <w:rPr>
          <w:color w:val="222222"/>
          <w:sz w:val="21"/>
          <w:szCs w:val="21"/>
        </w:rPr>
        <w:t xml:space="preserve">_____________________________</w:t>
      </w:r>
    </w:p>
    <w:p>
      <w:pPr>
        <w:spacing w:after="300"/>
      </w:pPr>
      <w:r>
        <w:rPr>
          <w:color w:val="6b6478"/>
          <w:sz w:val="18"/>
          <w:szCs w:val="18"/>
        </w:rPr>
        <w:t xml:space="preserve">Ort, Datum, Unterschrift Berater — Ort, Datum, Unterschrift Kunde</w:t>
      </w:r>
    </w:p>
    <w:p>
      <w:pPr>
        <w:pBdr>
          <w:top w:val="single" w:color="cccccc" w:sz="4" w:space="6"/>
        </w:pBdr>
        <w:spacing w:before="300"/>
      </w:pPr>
      <w:r>
        <w:rPr>
          <w:i/>
          <w:iCs/>
          <w:color w:val="6b6478"/>
          <w:sz w:val="16"/>
          <w:szCs w:val="16"/>
        </w:rPr>
        <w:t xml:space="preserve">Wiederverwendbare Vorlage, erstellt 10.08.2026. Zugehörige Methodik: reference/ki-prozessberatung-kmu-methode.md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2026-08-10T19:29:22.060Z</dcterms:created>
  <dcterms:modified xsi:type="dcterms:W3CDTF">2026-08-10T19:29:22.061Z</dcterms:modified>
</cp:coreProperties>
</file>

<file path=docProps/custom.xml><?xml version="1.0" encoding="utf-8"?>
<Properties xmlns="http://schemas.openxmlformats.org/officeDocument/2006/custom-properties" xmlns:vt="http://schemas.openxmlformats.org/officeDocument/2006/docPropsVTypes"/>
</file>