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7143" w14:textId="77777777" w:rsidR="00C92583" w:rsidRDefault="00F32E0A">
      <w:pPr>
        <w:pStyle w:val="Titel"/>
        <w:spacing w:after="40"/>
      </w:pPr>
      <w:r>
        <w:t>RIB-Bestandsaufnahme — Vorbereitung</w:t>
      </w:r>
    </w:p>
    <w:p w14:paraId="05C5CF17" w14:textId="77777777" w:rsidR="00C92583" w:rsidRDefault="00F32E0A">
      <w:pPr>
        <w:spacing w:after="320"/>
      </w:pPr>
      <w:r>
        <w:rPr>
          <w:b/>
          <w:bCs/>
          <w:color w:val="9C7A2E"/>
          <w:sz w:val="26"/>
          <w:szCs w:val="26"/>
        </w:rPr>
        <w:t>Was RIB iTWO schon kann, bevor neue Automatisierung oder KI gebaut wird — B+H Bau GmbH</w:t>
      </w:r>
    </w:p>
    <w:p w14:paraId="10A65E3B" w14:textId="77777777" w:rsidR="00C92583" w:rsidRDefault="00F32E0A">
      <w:pPr>
        <w:spacing w:after="140"/>
      </w:pPr>
      <w:r>
        <w:t>Erster konkreter Schritt aus dem Masterplan-Entwurf: vorhandene Module, genutzte Funktionen, ungenutztes Potenzial und Schnittstellen prüfen, bevor extern investiert wird. Dieses Dokument fasst die bekannten technischen Andockpunkte zusammen und liefert eine Checkliste für das Gespräch mit den RIB-Nutzern bei B+H.</w:t>
      </w:r>
    </w:p>
    <w:p w14:paraId="5979ABBD" w14:textId="77777777" w:rsidR="00C92583" w:rsidRDefault="00F32E0A">
      <w:pPr>
        <w:pStyle w:val="berschrift1"/>
        <w:pBdr>
          <w:bottom w:val="single" w:sz="6" w:space="4" w:color="9C7A2E"/>
        </w:pBdr>
        <w:spacing w:before="380" w:after="160"/>
      </w:pPr>
      <w:r>
        <w:t>Bekannte Schnittstellen und Andockpunkte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50"/>
        <w:gridCol w:w="2500"/>
      </w:tblGrid>
      <w:tr w:rsidR="00C92583" w14:paraId="43216F76" w14:textId="77777777">
        <w:tblPrEx>
          <w:tblCellMar>
            <w:top w:w="0" w:type="dxa"/>
            <w:bottom w:w="0" w:type="dxa"/>
          </w:tblCellMar>
        </w:tblPrEx>
        <w:tc>
          <w:tcPr>
            <w:tcW w:w="2200" w:type="dxa"/>
            <w:shd w:val="clear" w:color="auto" w:fill="F2F2F2"/>
          </w:tcPr>
          <w:p w14:paraId="2BBE553E" w14:textId="77777777" w:rsidR="00C92583" w:rsidRDefault="00F32E0A">
            <w:pPr>
              <w:rPr>
                <w:b/>
              </w:rPr>
            </w:pPr>
            <w:r>
              <w:rPr>
                <w:b/>
              </w:rPr>
              <w:t>Schnittstelle</w:t>
            </w:r>
          </w:p>
        </w:tc>
        <w:tc>
          <w:tcPr>
            <w:tcW w:w="4650" w:type="dxa"/>
            <w:shd w:val="clear" w:color="auto" w:fill="F2F2F2"/>
          </w:tcPr>
          <w:p w14:paraId="3FD8EE5C" w14:textId="77777777" w:rsidR="00C92583" w:rsidRDefault="00F32E0A">
            <w:pPr>
              <w:rPr>
                <w:b/>
              </w:rPr>
            </w:pPr>
            <w:r>
              <w:rPr>
                <w:b/>
              </w:rPr>
              <w:t>Was sie kann</w:t>
            </w:r>
          </w:p>
        </w:tc>
        <w:tc>
          <w:tcPr>
            <w:tcW w:w="2500" w:type="dxa"/>
            <w:shd w:val="clear" w:color="auto" w:fill="F2F2F2"/>
          </w:tcPr>
          <w:p w14:paraId="003D1A2A" w14:textId="77777777" w:rsidR="00C92583" w:rsidRDefault="00F32E0A">
            <w:pPr>
              <w:rPr>
                <w:b/>
              </w:rPr>
            </w:pPr>
            <w:r>
              <w:rPr>
                <w:b/>
              </w:rPr>
              <w:t>Sicherheit der Angabe</w:t>
            </w:r>
          </w:p>
        </w:tc>
      </w:tr>
      <w:tr w:rsidR="00C92583" w14:paraId="3C9E19EB" w14:textId="77777777">
        <w:tblPrEx>
          <w:tblCellMar>
            <w:top w:w="0" w:type="dxa"/>
            <w:bottom w:w="0" w:type="dxa"/>
          </w:tblCellMar>
        </w:tblPrEx>
        <w:tc>
          <w:tcPr>
            <w:tcW w:w="2200" w:type="dxa"/>
          </w:tcPr>
          <w:p w14:paraId="74BDD02A" w14:textId="77777777" w:rsidR="00C92583" w:rsidRDefault="00F32E0A">
            <w:r>
              <w:t>GAEB (90 / 2000 / XML)</w:t>
            </w:r>
          </w:p>
        </w:tc>
        <w:tc>
          <w:tcPr>
            <w:tcW w:w="4650" w:type="dxa"/>
          </w:tcPr>
          <w:p w14:paraId="30E7E2BB" w14:textId="77777777" w:rsidR="00C92583" w:rsidRDefault="00F32E0A">
            <w:r>
              <w:t>Branchenstandard für Import/Export von Leistungsverzeichnissen. RIB iTWO kann LVs als GAEB-Datei exportieren und importieren, unabhängig vom Hersteller.</w:t>
            </w:r>
          </w:p>
        </w:tc>
        <w:tc>
          <w:tcPr>
            <w:tcW w:w="2500" w:type="dxa"/>
          </w:tcPr>
          <w:p w14:paraId="4AF1E2FE" w14:textId="77777777" w:rsidR="00C92583" w:rsidRDefault="00F32E0A">
            <w:r>
              <w:t>Gesichert, offener Standard</w:t>
            </w:r>
          </w:p>
        </w:tc>
      </w:tr>
      <w:tr w:rsidR="00C92583" w14:paraId="03F225C1" w14:textId="77777777">
        <w:tblPrEx>
          <w:tblCellMar>
            <w:top w:w="0" w:type="dxa"/>
            <w:bottom w:w="0" w:type="dxa"/>
          </w:tblCellMar>
        </w:tblPrEx>
        <w:tc>
          <w:tcPr>
            <w:tcW w:w="2200" w:type="dxa"/>
          </w:tcPr>
          <w:p w14:paraId="18551893" w14:textId="77777777" w:rsidR="00C92583" w:rsidRDefault="00F32E0A">
            <w:r>
              <w:t>IFC</w:t>
            </w:r>
          </w:p>
        </w:tc>
        <w:tc>
          <w:tcPr>
            <w:tcW w:w="4650" w:type="dxa"/>
          </w:tcPr>
          <w:p w14:paraId="139C8ED4" w14:textId="77777777" w:rsidR="00C92583" w:rsidRDefault="00F32E0A">
            <w:r>
              <w:t>Internationaler Standard für den Austausch von 3D-/BIM-Bauwerksmodellen, relevant für modellbasierte Mengenermittlung.</w:t>
            </w:r>
          </w:p>
        </w:tc>
        <w:tc>
          <w:tcPr>
            <w:tcW w:w="2500" w:type="dxa"/>
          </w:tcPr>
          <w:p w14:paraId="7820232B" w14:textId="77777777" w:rsidR="00C92583" w:rsidRDefault="00F32E0A">
            <w:r>
              <w:t>Gesichert, offener Standard</w:t>
            </w:r>
          </w:p>
        </w:tc>
      </w:tr>
      <w:tr w:rsidR="00C92583" w14:paraId="0A3069FB" w14:textId="77777777">
        <w:tblPrEx>
          <w:tblCellMar>
            <w:top w:w="0" w:type="dxa"/>
            <w:bottom w:w="0" w:type="dxa"/>
          </w:tblCellMar>
        </w:tblPrEx>
        <w:tc>
          <w:tcPr>
            <w:tcW w:w="2200" w:type="dxa"/>
          </w:tcPr>
          <w:p w14:paraId="7B9F1DC6" w14:textId="77777777" w:rsidR="00C92583" w:rsidRDefault="00F32E0A">
            <w:r>
              <w:t>REST-API / Web-Services</w:t>
            </w:r>
          </w:p>
        </w:tc>
        <w:tc>
          <w:tcPr>
            <w:tcW w:w="4650" w:type="dxa"/>
          </w:tcPr>
          <w:p w14:paraId="22462BC5" w14:textId="77777777" w:rsidR="00C92583" w:rsidRDefault="00F32E0A">
            <w:r>
              <w:t>Hinweise auf Echtzeit- oder intervallbasierte Datensynchronisation mit anderen Systemen (z. B. ERP). Genauer Umfang und ob im B+H-Lizenzpaket enthalten, nicht öffentlich einsehbar.</w:t>
            </w:r>
          </w:p>
        </w:tc>
        <w:tc>
          <w:tcPr>
            <w:tcW w:w="2500" w:type="dxa"/>
          </w:tcPr>
          <w:p w14:paraId="7909DB56" w14:textId="77777777" w:rsidR="00C92583" w:rsidRDefault="00F32E0A">
            <w:r>
              <w:t>Ungesichert, mit RIB oder Lizenzunterlagen zu klären</w:t>
            </w:r>
          </w:p>
        </w:tc>
      </w:tr>
    </w:tbl>
    <w:p w14:paraId="7E5E7FD9" w14:textId="77777777" w:rsidR="00C92583" w:rsidRDefault="00F32E0A">
      <w:pPr>
        <w:pStyle w:val="berschrift1"/>
        <w:pBdr>
          <w:bottom w:val="single" w:sz="6" w:space="4" w:color="9C7A2E"/>
        </w:pBdr>
        <w:spacing w:before="380" w:after="160"/>
      </w:pPr>
      <w:r>
        <w:t>Checkliste für die Bestandsaufnahme</w:t>
      </w:r>
    </w:p>
    <w:p w14:paraId="0A5B947B" w14:textId="77777777" w:rsidR="00C92583" w:rsidRDefault="00F32E0A">
      <w:pPr>
        <w:spacing w:before="120" w:after="60"/>
      </w:pPr>
      <w:r>
        <w:rPr>
          <w:b/>
          <w:bCs/>
        </w:rPr>
        <w:t>Lizenz und Module</w:t>
      </w:r>
    </w:p>
    <w:p w14:paraId="765BF4D8" w14:textId="77777777" w:rsidR="00C92583" w:rsidRDefault="00F32E0A">
      <w:pPr>
        <w:pStyle w:val="Listenabsatz"/>
        <w:numPr>
          <w:ilvl w:val="0"/>
          <w:numId w:val="3"/>
        </w:numPr>
        <w:spacing w:after="80"/>
      </w:pPr>
      <w:r>
        <w:t>Welches RIB-Lizenzpaket hat B+H genau (iTWO DB, iTWO Baubetrieb, weitere Module)?</w:t>
      </w:r>
    </w:p>
    <w:p w14:paraId="40CCEB38" w14:textId="77777777" w:rsidR="00C92583" w:rsidRDefault="00F32E0A">
      <w:pPr>
        <w:pStyle w:val="Listenabsatz"/>
        <w:numPr>
          <w:ilvl w:val="0"/>
          <w:numId w:val="3"/>
        </w:numPr>
        <w:spacing w:after="80"/>
      </w:pPr>
      <w:r>
        <w:t>Ist API-/Web-Service-Zugriff im aktuellen Paket enthalten oder separat zubuchbar?</w:t>
      </w:r>
    </w:p>
    <w:p w14:paraId="10689ACA" w14:textId="77777777" w:rsidR="00C92583" w:rsidRDefault="00F32E0A">
      <w:pPr>
        <w:pStyle w:val="Listenabsatz"/>
        <w:numPr>
          <w:ilvl w:val="0"/>
          <w:numId w:val="3"/>
        </w:numPr>
        <w:spacing w:after="80"/>
      </w:pPr>
      <w:r>
        <w:t>Wer bei B+H administriert RIB, wer kennt die Detailkonfiguration am besten?</w:t>
      </w:r>
    </w:p>
    <w:p w14:paraId="1806E9E3" w14:textId="77777777" w:rsidR="00C92583" w:rsidRDefault="00F32E0A">
      <w:pPr>
        <w:spacing w:before="160" w:after="60"/>
      </w:pPr>
      <w:r>
        <w:rPr>
          <w:b/>
          <w:bCs/>
        </w:rPr>
        <w:t>Tatsächliche Nutzung</w:t>
      </w:r>
    </w:p>
    <w:p w14:paraId="5C476D46" w14:textId="77777777" w:rsidR="00C92583" w:rsidRDefault="00F32E0A">
      <w:pPr>
        <w:pStyle w:val="Listenabsatz"/>
        <w:numPr>
          <w:ilvl w:val="0"/>
          <w:numId w:val="3"/>
        </w:numPr>
        <w:spacing w:after="80"/>
      </w:pPr>
      <w:r>
        <w:t>Welche Funktionen werden aktiv genutzt (Kalkulation, LV, Abrechnung, Terminplanung, 5D-BIM)?</w:t>
      </w:r>
    </w:p>
    <w:p w14:paraId="3B37FF08" w14:textId="77777777" w:rsidR="00C92583" w:rsidRDefault="00F32E0A">
      <w:pPr>
        <w:pStyle w:val="Listenabsatz"/>
        <w:numPr>
          <w:ilvl w:val="0"/>
          <w:numId w:val="3"/>
        </w:numPr>
        <w:spacing w:after="80"/>
      </w:pPr>
      <w:r>
        <w:t>Wird der GAEB-Export/-Import bereits regelmäßig genutzt, oder laufen LVs noch über Excel/E-Mail?</w:t>
      </w:r>
    </w:p>
    <w:p w14:paraId="6E3F9F42" w14:textId="77777777" w:rsidR="00C92583" w:rsidRDefault="00F32E0A">
      <w:pPr>
        <w:pStyle w:val="Listenabsatz"/>
        <w:numPr>
          <w:ilvl w:val="0"/>
          <w:numId w:val="3"/>
        </w:numPr>
        <w:spacing w:after="80"/>
      </w:pPr>
      <w:r>
        <w:t>Gibt es bereits eine RIB-Funktion für Bautagesberichte/mobile Erfassung, und wird sie genutzt?</w:t>
      </w:r>
    </w:p>
    <w:p w14:paraId="19CDA083" w14:textId="77777777" w:rsidR="00C92583" w:rsidRDefault="00F32E0A">
      <w:pPr>
        <w:pStyle w:val="Listenabsatz"/>
        <w:numPr>
          <w:ilvl w:val="0"/>
          <w:numId w:val="3"/>
        </w:numPr>
        <w:spacing w:after="80"/>
      </w:pPr>
      <w:r>
        <w:t>Welche Auswertungen/Reports werden heute manuell erstellt, obwohl RIB sie liefern könnte?</w:t>
      </w:r>
    </w:p>
    <w:p w14:paraId="00938D0C" w14:textId="77777777" w:rsidR="00C92583" w:rsidRDefault="00F32E0A">
      <w:pPr>
        <w:spacing w:before="160" w:after="60"/>
      </w:pPr>
      <w:r>
        <w:rPr>
          <w:b/>
          <w:bCs/>
        </w:rPr>
        <w:t>Lücken und Grenzen</w:t>
      </w:r>
    </w:p>
    <w:p w14:paraId="3796B577" w14:textId="77777777" w:rsidR="00C92583" w:rsidRDefault="00F32E0A">
      <w:pPr>
        <w:pStyle w:val="Listenabsatz"/>
        <w:numPr>
          <w:ilvl w:val="0"/>
          <w:numId w:val="3"/>
        </w:numPr>
        <w:spacing w:after="80"/>
      </w:pPr>
      <w:r>
        <w:t>Wo stößt RIB an Grenzen, die heute mit Excel, E-Mail oder Nebenlisten überbrückt werden?</w:t>
      </w:r>
    </w:p>
    <w:p w14:paraId="2BBC613D" w14:textId="77777777" w:rsidR="00C92583" w:rsidRDefault="00F32E0A">
      <w:pPr>
        <w:pStyle w:val="Listenabsatz"/>
        <w:numPr>
          <w:ilvl w:val="0"/>
          <w:numId w:val="3"/>
        </w:numPr>
        <w:spacing w:after="80"/>
      </w:pPr>
      <w:r>
        <w:t>Offline-Fähigkeit auf der Baustelle bei schlechtem Empfang, ist das mit RIB mobil schon gelöst?</w:t>
      </w:r>
    </w:p>
    <w:p w14:paraId="74EB1947" w14:textId="77777777" w:rsidR="00C92583" w:rsidRDefault="00F32E0A">
      <w:pPr>
        <w:pStyle w:val="berschrift1"/>
        <w:pBdr>
          <w:bottom w:val="single" w:sz="6" w:space="4" w:color="9C7A2E"/>
        </w:pBdr>
        <w:spacing w:before="380" w:after="160"/>
      </w:pPr>
      <w:r>
        <w:t>Bezug zu den fünf priorisierten Bausteinen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6"/>
        <w:gridCol w:w="1545"/>
        <w:gridCol w:w="5229"/>
      </w:tblGrid>
      <w:tr w:rsidR="00C92583" w14:paraId="7264C598" w14:textId="77777777">
        <w:tblPrEx>
          <w:tblCellMar>
            <w:top w:w="0" w:type="dxa"/>
            <w:bottom w:w="0" w:type="dxa"/>
          </w:tblCellMar>
        </w:tblPrEx>
        <w:tc>
          <w:tcPr>
            <w:tcW w:w="2350" w:type="dxa"/>
            <w:shd w:val="clear" w:color="auto" w:fill="F2F2F2"/>
          </w:tcPr>
          <w:p w14:paraId="7A35BADE" w14:textId="77777777" w:rsidR="00C92583" w:rsidRDefault="00F32E0A">
            <w:pPr>
              <w:rPr>
                <w:b/>
              </w:rPr>
            </w:pPr>
            <w:r>
              <w:rPr>
                <w:b/>
              </w:rPr>
              <w:t>Baustein</w:t>
            </w:r>
          </w:p>
        </w:tc>
        <w:tc>
          <w:tcPr>
            <w:tcW w:w="1600" w:type="dxa"/>
            <w:shd w:val="clear" w:color="auto" w:fill="F2F2F2"/>
          </w:tcPr>
          <w:p w14:paraId="7A4EBD12" w14:textId="77777777" w:rsidR="00C92583" w:rsidRDefault="00F32E0A">
            <w:pPr>
              <w:rPr>
                <w:b/>
              </w:rPr>
            </w:pPr>
            <w:r>
              <w:rPr>
                <w:b/>
              </w:rPr>
              <w:t>RIB-Bezug</w:t>
            </w:r>
          </w:p>
        </w:tc>
        <w:tc>
          <w:tcPr>
            <w:tcW w:w="5400" w:type="dxa"/>
            <w:shd w:val="clear" w:color="auto" w:fill="F2F2F2"/>
          </w:tcPr>
          <w:p w14:paraId="39B8676E" w14:textId="77777777" w:rsidR="00C92583" w:rsidRDefault="00F32E0A">
            <w:pPr>
              <w:rPr>
                <w:b/>
              </w:rPr>
            </w:pPr>
            <w:r>
              <w:rPr>
                <w:b/>
              </w:rPr>
              <w:t>Einordnung</w:t>
            </w:r>
          </w:p>
        </w:tc>
      </w:tr>
      <w:tr w:rsidR="00C92583" w14:paraId="4B0ADC9C" w14:textId="77777777">
        <w:tblPrEx>
          <w:tblCellMar>
            <w:top w:w="0" w:type="dxa"/>
            <w:bottom w:w="0" w:type="dxa"/>
          </w:tblCellMar>
        </w:tblPrEx>
        <w:tc>
          <w:tcPr>
            <w:tcW w:w="2350" w:type="dxa"/>
          </w:tcPr>
          <w:p w14:paraId="1EFD41DF" w14:textId="77777777" w:rsidR="00C92583" w:rsidRDefault="00F32E0A">
            <w:r>
              <w:t>Nachtragsmanagement</w:t>
            </w:r>
          </w:p>
        </w:tc>
        <w:tc>
          <w:tcPr>
            <w:tcW w:w="1600" w:type="dxa"/>
          </w:tcPr>
          <w:p w14:paraId="74D4BFFB" w14:textId="77777777" w:rsidR="00C92583" w:rsidRDefault="00F32E0A">
            <w:r>
              <w:t>Hoch</w:t>
            </w:r>
          </w:p>
        </w:tc>
        <w:tc>
          <w:tcPr>
            <w:tcW w:w="5400" w:type="dxa"/>
          </w:tcPr>
          <w:p w14:paraId="20D5F453" w14:textId="77777777" w:rsidR="00C92583" w:rsidRDefault="00F32E0A">
            <w:r>
              <w:t>Direkt über GAEB-Export/-Import anbindbar: altes und neues LV aus RIB exportieren, KI-gestützt abgleichen, Nachtragsangebot als GAEB-Datei zurückspielen.</w:t>
            </w:r>
          </w:p>
        </w:tc>
      </w:tr>
      <w:tr w:rsidR="00C92583" w14:paraId="57017F54" w14:textId="77777777">
        <w:tblPrEx>
          <w:tblCellMar>
            <w:top w:w="0" w:type="dxa"/>
            <w:bottom w:w="0" w:type="dxa"/>
          </w:tblCellMar>
        </w:tblPrEx>
        <w:tc>
          <w:tcPr>
            <w:tcW w:w="2350" w:type="dxa"/>
          </w:tcPr>
          <w:p w14:paraId="7ABE18F2" w14:textId="77777777" w:rsidR="00C92583" w:rsidRDefault="00F32E0A">
            <w:r>
              <w:t>Kalkulation/Angebotserstellung</w:t>
            </w:r>
          </w:p>
        </w:tc>
        <w:tc>
          <w:tcPr>
            <w:tcW w:w="1600" w:type="dxa"/>
          </w:tcPr>
          <w:p w14:paraId="69CFF8AB" w14:textId="77777777" w:rsidR="00C92583" w:rsidRDefault="00F32E0A">
            <w:r>
              <w:t>Hoch</w:t>
            </w:r>
          </w:p>
        </w:tc>
        <w:tc>
          <w:tcPr>
            <w:tcW w:w="5400" w:type="dxa"/>
          </w:tcPr>
          <w:p w14:paraId="6A83A298" w14:textId="77777777" w:rsidR="00C92583" w:rsidRDefault="00F32E0A">
            <w:r>
              <w:t>Kernkompetenz von iTWO. Hier am wahrscheinlichsten, dass schon Funktionen vorhanden, aber ungenutzt sind, zuerst prüfen statt neu bauen.</w:t>
            </w:r>
          </w:p>
        </w:tc>
      </w:tr>
      <w:tr w:rsidR="00C92583" w14:paraId="0C4282B9" w14:textId="77777777">
        <w:tblPrEx>
          <w:tblCellMar>
            <w:top w:w="0" w:type="dxa"/>
            <w:bottom w:w="0" w:type="dxa"/>
          </w:tblCellMar>
        </w:tblPrEx>
        <w:tc>
          <w:tcPr>
            <w:tcW w:w="2350" w:type="dxa"/>
          </w:tcPr>
          <w:p w14:paraId="6F7E98BF" w14:textId="77777777" w:rsidR="00C92583" w:rsidRDefault="00F32E0A">
            <w:r>
              <w:t>Rechnungsprüfung/-eingang</w:t>
            </w:r>
          </w:p>
        </w:tc>
        <w:tc>
          <w:tcPr>
            <w:tcW w:w="1600" w:type="dxa"/>
          </w:tcPr>
          <w:p w14:paraId="66B6D26B" w14:textId="77777777" w:rsidR="00C92583" w:rsidRDefault="00F32E0A">
            <w:r>
              <w:t>Mittel</w:t>
            </w:r>
          </w:p>
        </w:tc>
        <w:tc>
          <w:tcPr>
            <w:tcW w:w="5400" w:type="dxa"/>
          </w:tcPr>
          <w:p w14:paraId="0EB3369B" w14:textId="77777777" w:rsidR="00C92583" w:rsidRDefault="00F32E0A">
            <w:r>
              <w:t>Abrechnung ist RIB-Funktion, ob auch Eingangsrechnungsprüfung gegen Bestellungen abgedeckt ist, muss in der Bestandsaufnahme geklärt werden.</w:t>
            </w:r>
          </w:p>
        </w:tc>
      </w:tr>
      <w:tr w:rsidR="00C92583" w14:paraId="7C808125" w14:textId="77777777">
        <w:tblPrEx>
          <w:tblCellMar>
            <w:top w:w="0" w:type="dxa"/>
            <w:bottom w:w="0" w:type="dxa"/>
          </w:tblCellMar>
        </w:tblPrEx>
        <w:tc>
          <w:tcPr>
            <w:tcW w:w="2350" w:type="dxa"/>
          </w:tcPr>
          <w:p w14:paraId="6E9D9F56" w14:textId="77777777" w:rsidR="00C92583" w:rsidRDefault="00F32E0A">
            <w:r>
              <w:lastRenderedPageBreak/>
              <w:t>Bautagebuch per Spracherkennung</w:t>
            </w:r>
          </w:p>
        </w:tc>
        <w:tc>
          <w:tcPr>
            <w:tcW w:w="1600" w:type="dxa"/>
          </w:tcPr>
          <w:p w14:paraId="2FF6A5EC" w14:textId="77777777" w:rsidR="00C92583" w:rsidRDefault="00F32E0A">
            <w:r>
              <w:t>Mittel</w:t>
            </w:r>
          </w:p>
        </w:tc>
        <w:tc>
          <w:tcPr>
            <w:tcW w:w="5400" w:type="dxa"/>
          </w:tcPr>
          <w:p w14:paraId="244815FE" w14:textId="77777777" w:rsidR="00C92583" w:rsidRDefault="00F32E0A">
            <w:r>
              <w:t>Prüfen, ob RIB bereits eine mobile Bautagesbericht-Funktion bietet und warum sie ggf. nicht genutzt wird, bevor eine neue Lösung gebaut wird.</w:t>
            </w:r>
          </w:p>
        </w:tc>
      </w:tr>
      <w:tr w:rsidR="00C92583" w14:paraId="24151231" w14:textId="77777777">
        <w:tblPrEx>
          <w:tblCellMar>
            <w:top w:w="0" w:type="dxa"/>
            <w:bottom w:w="0" w:type="dxa"/>
          </w:tblCellMar>
        </w:tblPrEx>
        <w:tc>
          <w:tcPr>
            <w:tcW w:w="2350" w:type="dxa"/>
          </w:tcPr>
          <w:p w14:paraId="68E75A68" w14:textId="77777777" w:rsidR="00C92583" w:rsidRDefault="00F32E0A">
            <w:r>
              <w:t>E-Mail-Automatisierung</w:t>
            </w:r>
          </w:p>
        </w:tc>
        <w:tc>
          <w:tcPr>
            <w:tcW w:w="1600" w:type="dxa"/>
          </w:tcPr>
          <w:p w14:paraId="0E842C43" w14:textId="77777777" w:rsidR="00C92583" w:rsidRDefault="00F32E0A">
            <w:r>
              <w:t>Gering</w:t>
            </w:r>
          </w:p>
        </w:tc>
        <w:tc>
          <w:tcPr>
            <w:tcW w:w="5400" w:type="dxa"/>
          </w:tcPr>
          <w:p w14:paraId="7FA2D011" w14:textId="77777777" w:rsidR="00C92583" w:rsidRDefault="00F32E0A">
            <w:r>
              <w:t>Reine Kommunikations-/Fristerkennung, weitgehend unabhängig von RIB, eigenständig umsetzbar.</w:t>
            </w:r>
          </w:p>
        </w:tc>
      </w:tr>
    </w:tbl>
    <w:p w14:paraId="57679892" w14:textId="77777777" w:rsidR="00C92583" w:rsidRDefault="00F32E0A">
      <w:pPr>
        <w:pStyle w:val="berschrift1"/>
        <w:pBdr>
          <w:bottom w:val="single" w:sz="6" w:space="4" w:color="9C7A2E"/>
        </w:pBdr>
        <w:spacing w:before="380" w:after="160"/>
      </w:pPr>
      <w:r>
        <w:t>Nächste Schritte</w:t>
      </w:r>
    </w:p>
    <w:p w14:paraId="3C5510C6" w14:textId="77777777" w:rsidR="00C92583" w:rsidRDefault="00F32E0A">
      <w:pPr>
        <w:pStyle w:val="Listenabsatz"/>
        <w:numPr>
          <w:ilvl w:val="0"/>
          <w:numId w:val="3"/>
        </w:numPr>
        <w:spacing w:after="80"/>
      </w:pPr>
      <w:r>
        <w:t>Kurzes Gespräch mit dem RIB-Administrator bei B+H anhand der Checkliste oben.</w:t>
      </w:r>
    </w:p>
    <w:p w14:paraId="26715FD0" w14:textId="77777777" w:rsidR="00C92583" w:rsidRDefault="00F32E0A">
      <w:pPr>
        <w:pStyle w:val="Listenabsatz"/>
        <w:numPr>
          <w:ilvl w:val="0"/>
          <w:numId w:val="3"/>
        </w:numPr>
        <w:spacing w:after="80"/>
      </w:pPr>
      <w:r>
        <w:t>Lizenzunterlagen auf API-/Web-Service-Umfang prüfen, bei Bedarf direkt bei RIB nachfragen.</w:t>
      </w:r>
    </w:p>
    <w:p w14:paraId="667566E8" w14:textId="77777777" w:rsidR="00C92583" w:rsidRDefault="00F32E0A">
      <w:pPr>
        <w:pStyle w:val="Listenabsatz"/>
        <w:numPr>
          <w:ilvl w:val="0"/>
          <w:numId w:val="3"/>
        </w:numPr>
        <w:spacing w:after="80"/>
      </w:pPr>
      <w:r>
        <w:t>Ergebnis in den Abschlussbericht und die Priorisierung der Bausteine einarbeiten, bevor der erste Testfall (voraussichtlich Nachtragsmanagement oder Kalkulation) final festgelegt wird.</w:t>
      </w:r>
    </w:p>
    <w:sectPr w:rsidR="00C9258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44B"/>
    <w:multiLevelType w:val="hybridMultilevel"/>
    <w:tmpl w:val="58C8713E"/>
    <w:lvl w:ilvl="0" w:tplc="F79A53D4">
      <w:start w:val="1"/>
      <w:numFmt w:val="bullet"/>
      <w:lvlText w:val="•"/>
      <w:lvlJc w:val="left"/>
      <w:pPr>
        <w:ind w:left="720" w:hanging="360"/>
      </w:pPr>
    </w:lvl>
    <w:lvl w:ilvl="1" w:tplc="70E21334">
      <w:numFmt w:val="decimal"/>
      <w:lvlText w:val=""/>
      <w:lvlJc w:val="left"/>
    </w:lvl>
    <w:lvl w:ilvl="2" w:tplc="02EA1D4E">
      <w:numFmt w:val="decimal"/>
      <w:lvlText w:val=""/>
      <w:lvlJc w:val="left"/>
    </w:lvl>
    <w:lvl w:ilvl="3" w:tplc="B836845A">
      <w:numFmt w:val="decimal"/>
      <w:lvlText w:val=""/>
      <w:lvlJc w:val="left"/>
    </w:lvl>
    <w:lvl w:ilvl="4" w:tplc="10DC326A">
      <w:numFmt w:val="decimal"/>
      <w:lvlText w:val=""/>
      <w:lvlJc w:val="left"/>
    </w:lvl>
    <w:lvl w:ilvl="5" w:tplc="9E6C19CE">
      <w:numFmt w:val="decimal"/>
      <w:lvlText w:val=""/>
      <w:lvlJc w:val="left"/>
    </w:lvl>
    <w:lvl w:ilvl="6" w:tplc="561A7DC8">
      <w:numFmt w:val="decimal"/>
      <w:lvlText w:val=""/>
      <w:lvlJc w:val="left"/>
    </w:lvl>
    <w:lvl w:ilvl="7" w:tplc="EDC4FBEA">
      <w:numFmt w:val="decimal"/>
      <w:lvlText w:val=""/>
      <w:lvlJc w:val="left"/>
    </w:lvl>
    <w:lvl w:ilvl="8" w:tplc="E9E8FD06">
      <w:numFmt w:val="decimal"/>
      <w:lvlText w:val=""/>
      <w:lvlJc w:val="left"/>
    </w:lvl>
  </w:abstractNum>
  <w:abstractNum w:abstractNumId="1" w15:restartNumberingAfterBreak="0">
    <w:nsid w:val="38612371"/>
    <w:multiLevelType w:val="hybridMultilevel"/>
    <w:tmpl w:val="B6542728"/>
    <w:lvl w:ilvl="0" w:tplc="AF0CD5CA">
      <w:start w:val="1"/>
      <w:numFmt w:val="decimal"/>
      <w:lvlText w:val="Phase %1"/>
      <w:lvlJc w:val="left"/>
      <w:pPr>
        <w:ind w:left="720" w:hanging="620"/>
      </w:pPr>
    </w:lvl>
    <w:lvl w:ilvl="1" w:tplc="66706616">
      <w:numFmt w:val="decimal"/>
      <w:lvlText w:val=""/>
      <w:lvlJc w:val="left"/>
    </w:lvl>
    <w:lvl w:ilvl="2" w:tplc="E4CE6234">
      <w:numFmt w:val="decimal"/>
      <w:lvlText w:val=""/>
      <w:lvlJc w:val="left"/>
    </w:lvl>
    <w:lvl w:ilvl="3" w:tplc="C49E8CAC">
      <w:numFmt w:val="decimal"/>
      <w:lvlText w:val=""/>
      <w:lvlJc w:val="left"/>
    </w:lvl>
    <w:lvl w:ilvl="4" w:tplc="2ECE1D10">
      <w:numFmt w:val="decimal"/>
      <w:lvlText w:val=""/>
      <w:lvlJc w:val="left"/>
    </w:lvl>
    <w:lvl w:ilvl="5" w:tplc="592AF504">
      <w:numFmt w:val="decimal"/>
      <w:lvlText w:val=""/>
      <w:lvlJc w:val="left"/>
    </w:lvl>
    <w:lvl w:ilvl="6" w:tplc="2DE0738C">
      <w:numFmt w:val="decimal"/>
      <w:lvlText w:val=""/>
      <w:lvlJc w:val="left"/>
    </w:lvl>
    <w:lvl w:ilvl="7" w:tplc="5658EF5A">
      <w:numFmt w:val="decimal"/>
      <w:lvlText w:val=""/>
      <w:lvlJc w:val="left"/>
    </w:lvl>
    <w:lvl w:ilvl="8" w:tplc="0F7EB6F0">
      <w:numFmt w:val="decimal"/>
      <w:lvlText w:val=""/>
      <w:lvlJc w:val="left"/>
    </w:lvl>
  </w:abstractNum>
  <w:abstractNum w:abstractNumId="2" w15:restartNumberingAfterBreak="0">
    <w:nsid w:val="3D436AC2"/>
    <w:multiLevelType w:val="hybridMultilevel"/>
    <w:tmpl w:val="C7C20CC0"/>
    <w:lvl w:ilvl="0" w:tplc="68F05856">
      <w:start w:val="1"/>
      <w:numFmt w:val="decimal"/>
      <w:lvlText w:val="%1."/>
      <w:lvlJc w:val="left"/>
      <w:pPr>
        <w:ind w:left="720" w:hanging="420"/>
      </w:pPr>
    </w:lvl>
    <w:lvl w:ilvl="1" w:tplc="3850B6B4">
      <w:numFmt w:val="decimal"/>
      <w:lvlText w:val=""/>
      <w:lvlJc w:val="left"/>
    </w:lvl>
    <w:lvl w:ilvl="2" w:tplc="99BADE86">
      <w:numFmt w:val="decimal"/>
      <w:lvlText w:val=""/>
      <w:lvlJc w:val="left"/>
    </w:lvl>
    <w:lvl w:ilvl="3" w:tplc="6862F9C0">
      <w:numFmt w:val="decimal"/>
      <w:lvlText w:val=""/>
      <w:lvlJc w:val="left"/>
    </w:lvl>
    <w:lvl w:ilvl="4" w:tplc="F8465018">
      <w:numFmt w:val="decimal"/>
      <w:lvlText w:val=""/>
      <w:lvlJc w:val="left"/>
    </w:lvl>
    <w:lvl w:ilvl="5" w:tplc="204C82B6">
      <w:numFmt w:val="decimal"/>
      <w:lvlText w:val=""/>
      <w:lvlJc w:val="left"/>
    </w:lvl>
    <w:lvl w:ilvl="6" w:tplc="21EA99A2">
      <w:numFmt w:val="decimal"/>
      <w:lvlText w:val=""/>
      <w:lvlJc w:val="left"/>
    </w:lvl>
    <w:lvl w:ilvl="7" w:tplc="8C32CB1E">
      <w:numFmt w:val="decimal"/>
      <w:lvlText w:val=""/>
      <w:lvlJc w:val="left"/>
    </w:lvl>
    <w:lvl w:ilvl="8" w:tplc="CB7831B4">
      <w:numFmt w:val="decimal"/>
      <w:lvlText w:val=""/>
      <w:lvlJc w:val="left"/>
    </w:lvl>
  </w:abstractNum>
  <w:abstractNum w:abstractNumId="3" w15:restartNumberingAfterBreak="0">
    <w:nsid w:val="676E33E6"/>
    <w:multiLevelType w:val="hybridMultilevel"/>
    <w:tmpl w:val="A8CE8B44"/>
    <w:lvl w:ilvl="0" w:tplc="1B82A884">
      <w:start w:val="1"/>
      <w:numFmt w:val="bullet"/>
      <w:lvlText w:val="●"/>
      <w:lvlJc w:val="left"/>
      <w:pPr>
        <w:ind w:left="720" w:hanging="360"/>
      </w:pPr>
    </w:lvl>
    <w:lvl w:ilvl="1" w:tplc="503C8134">
      <w:start w:val="1"/>
      <w:numFmt w:val="bullet"/>
      <w:lvlText w:val="○"/>
      <w:lvlJc w:val="left"/>
      <w:pPr>
        <w:ind w:left="1440" w:hanging="360"/>
      </w:pPr>
    </w:lvl>
    <w:lvl w:ilvl="2" w:tplc="4A061EAE">
      <w:start w:val="1"/>
      <w:numFmt w:val="bullet"/>
      <w:lvlText w:val="■"/>
      <w:lvlJc w:val="left"/>
      <w:pPr>
        <w:ind w:left="2160" w:hanging="360"/>
      </w:pPr>
    </w:lvl>
    <w:lvl w:ilvl="3" w:tplc="8174BD28">
      <w:start w:val="1"/>
      <w:numFmt w:val="bullet"/>
      <w:lvlText w:val="●"/>
      <w:lvlJc w:val="left"/>
      <w:pPr>
        <w:ind w:left="2880" w:hanging="360"/>
      </w:pPr>
    </w:lvl>
    <w:lvl w:ilvl="4" w:tplc="212AC5D6">
      <w:start w:val="1"/>
      <w:numFmt w:val="bullet"/>
      <w:lvlText w:val="○"/>
      <w:lvlJc w:val="left"/>
      <w:pPr>
        <w:ind w:left="3600" w:hanging="360"/>
      </w:pPr>
    </w:lvl>
    <w:lvl w:ilvl="5" w:tplc="38D8220C">
      <w:start w:val="1"/>
      <w:numFmt w:val="bullet"/>
      <w:lvlText w:val="■"/>
      <w:lvlJc w:val="left"/>
      <w:pPr>
        <w:ind w:left="4320" w:hanging="360"/>
      </w:pPr>
    </w:lvl>
    <w:lvl w:ilvl="6" w:tplc="9FEC92D8">
      <w:start w:val="1"/>
      <w:numFmt w:val="bullet"/>
      <w:lvlText w:val="●"/>
      <w:lvlJc w:val="left"/>
      <w:pPr>
        <w:ind w:left="5040" w:hanging="360"/>
      </w:pPr>
    </w:lvl>
    <w:lvl w:ilvl="7" w:tplc="14F8C70C">
      <w:start w:val="1"/>
      <w:numFmt w:val="bullet"/>
      <w:lvlText w:val="●"/>
      <w:lvlJc w:val="left"/>
      <w:pPr>
        <w:ind w:left="5760" w:hanging="360"/>
      </w:pPr>
    </w:lvl>
    <w:lvl w:ilvl="8" w:tplc="B68A5EFA">
      <w:start w:val="1"/>
      <w:numFmt w:val="bullet"/>
      <w:lvlText w:val="●"/>
      <w:lvlJc w:val="left"/>
      <w:pPr>
        <w:ind w:left="6480" w:hanging="360"/>
      </w:pPr>
    </w:lvl>
  </w:abstractNum>
  <w:num w:numId="1" w16cid:durableId="763041268">
    <w:abstractNumId w:val="3"/>
    <w:lvlOverride w:ilvl="0">
      <w:startOverride w:val="1"/>
    </w:lvlOverride>
  </w:num>
  <w:num w:numId="2" w16cid:durableId="1887179791">
    <w:abstractNumId w:val="2"/>
    <w:lvlOverride w:ilvl="0">
      <w:startOverride w:val="1"/>
    </w:lvlOverride>
  </w:num>
  <w:num w:numId="3" w16cid:durableId="230041007">
    <w:abstractNumId w:val="0"/>
    <w:lvlOverride w:ilvl="0">
      <w:startOverride w:val="1"/>
    </w:lvlOverride>
  </w:num>
  <w:num w:numId="4" w16cid:durableId="12368933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583"/>
    <w:rsid w:val="006D65D3"/>
    <w:rsid w:val="008E5ACC"/>
    <w:rsid w:val="00C92583"/>
    <w:rsid w:val="00F32E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88543"/>
  <w15:docId w15:val="{51A75F62-F050-46F7-BCF7-0D66C9D8D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keepNext/>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2919</Characters>
  <Application>Microsoft Office Word</Application>
  <DocSecurity>0</DocSecurity>
  <Lines>75</Lines>
  <Paragraphs>52</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Andreas Stock</cp:lastModifiedBy>
  <cp:revision>2</cp:revision>
  <cp:lastPrinted>2026-09-02T08:06:00Z</cp:lastPrinted>
  <dcterms:created xsi:type="dcterms:W3CDTF">2026-08-03T11:17:00Z</dcterms:created>
  <dcterms:modified xsi:type="dcterms:W3CDTF">2026-09-02T08:06:00Z</dcterms:modified>
</cp:coreProperties>
</file>