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Problem Identification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Despite substantial progress in stock forecasting, reliable next-day prediction remains difficult because financial markets are non-stationary, noisy, and highly sensitive to exogenous information shocks. Price-only pipelines can model historical structure, but they remain reactive to new information and therefore lag event-driven moves.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Research Gap to be Solved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Chapter 2, the core unresolved gap is not the absence of powerful models, but the absence of a consistent, leakage-safe integration strategy for combining: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itemize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linear and seasonal price structure,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non-linear residual behavior,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and temporally aligned sentiment signals.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itemize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Existing work often addresses one or two of these elements, but rarely all three in a reproducible, deployment-oriented pipeline.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Existing Methods Are Insufficient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single-model systems underperform during regime shifts or event-heavy periods. Many hybrid systems improve accuracy but still rely on weak sentiment alignment, static weighting, and limited uncertainty reporting. As a result, published gains may not transfer reliably to realistic out-of-sample trading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Research Objectives and Hypotheses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enumerate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Build a hybrid forecasting workflow that separates linear trend/seasonal structure from non-linear residual learning.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Integrate domain-adapted sentiment features into residual learning using leakage-safe temporal assignment.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Evaluate whether sentiment features improve directional and error-based performance relative to a price-only baseline.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enumerate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Hypotheses: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itemize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H1: Residual-based hybrid modeling outperforms standalone statistical and standalone ML baselines.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H2: Sentiment-augmented residual features improve directional performance over the price-only hybrid baseline.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H3: Leakage-safe temporal alignment of news to trading days yields more reliable out-of-sample behavior than naive same-date matching.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itemize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Challenges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itemize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Data alignment: matching asynchronous news events to tradable time windows without look-ahead leakage.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Regime sensitivity: maintaining stability when sentiment-price coupling changes across market conditions.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Feature reliability: controlling multicollinearity and preserving interpretability in expanded feature spaces.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Evaluation realism: prioritizing walk-forward, out-of-sample validation over single split optimism.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itemize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