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B5B6" w14:textId="69B4C987" w:rsidR="004F4702" w:rsidRPr="007A7595" w:rsidRDefault="007A7595" w:rsidP="007A7595">
      <w:pPr>
        <w:jc w:val="right"/>
        <w:rPr>
          <w:b/>
          <w:bCs/>
          <w:lang w:val="es-ES_tradnl"/>
        </w:rPr>
      </w:pPr>
      <w:r w:rsidRPr="007A7595">
        <w:rPr>
          <w:b/>
          <w:bCs/>
          <w:lang w:val="es-ES_tradnl"/>
        </w:rPr>
        <w:t xml:space="preserve">Documento de trabajo </w:t>
      </w:r>
      <w:r w:rsidR="001B73AF">
        <w:rPr>
          <w:b/>
          <w:bCs/>
          <w:lang w:val="es-ES_tradnl"/>
        </w:rPr>
        <w:t>2</w:t>
      </w:r>
    </w:p>
    <w:p w14:paraId="2A873690" w14:textId="48CCF31D" w:rsidR="007A7595" w:rsidRPr="007A7595" w:rsidRDefault="007A7595" w:rsidP="007A7595">
      <w:pPr>
        <w:jc w:val="right"/>
        <w:rPr>
          <w:lang w:val="es-ES_tradnl"/>
        </w:rPr>
      </w:pPr>
      <w:r w:rsidRPr="007A7595">
        <w:rPr>
          <w:lang w:val="es-ES_tradnl"/>
        </w:rPr>
        <w:t xml:space="preserve">Miquel </w:t>
      </w:r>
      <w:proofErr w:type="spellStart"/>
      <w:r w:rsidRPr="007A7595">
        <w:rPr>
          <w:lang w:val="es-ES_tradnl"/>
        </w:rPr>
        <w:t>Salicrú</w:t>
      </w:r>
      <w:proofErr w:type="spellEnd"/>
    </w:p>
    <w:p w14:paraId="425D51F4" w14:textId="77777777" w:rsidR="007A7595" w:rsidRPr="007A7595" w:rsidRDefault="007A7595" w:rsidP="007A7595">
      <w:pPr>
        <w:jc w:val="right"/>
        <w:rPr>
          <w:lang w:val="es-ES_tradnl"/>
        </w:rPr>
      </w:pPr>
    </w:p>
    <w:p w14:paraId="36C6690D" w14:textId="77777777" w:rsidR="005133A1" w:rsidRDefault="005133A1" w:rsidP="007A7595">
      <w:pPr>
        <w:jc w:val="center"/>
        <w:rPr>
          <w:b/>
          <w:bCs/>
          <w:sz w:val="28"/>
          <w:szCs w:val="28"/>
          <w:lang w:val="es-ES_tradnl"/>
        </w:rPr>
      </w:pPr>
    </w:p>
    <w:p w14:paraId="40B81D2B" w14:textId="739F066D" w:rsidR="007A7595" w:rsidRPr="007A7595" w:rsidRDefault="005133A1" w:rsidP="007A7595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Identificar características representativas y distintivas de los</w:t>
      </w:r>
      <w:r w:rsidR="007A7595" w:rsidRPr="007A7595">
        <w:rPr>
          <w:b/>
          <w:bCs/>
          <w:sz w:val="28"/>
          <w:szCs w:val="28"/>
          <w:lang w:val="es-ES_tradnl"/>
        </w:rPr>
        <w:t xml:space="preserve"> dialectos</w:t>
      </w:r>
    </w:p>
    <w:p w14:paraId="41A95474" w14:textId="77777777" w:rsidR="007A7595" w:rsidRPr="007A7595" w:rsidRDefault="007A7595" w:rsidP="007A7595">
      <w:pPr>
        <w:jc w:val="both"/>
        <w:rPr>
          <w:b/>
          <w:bCs/>
          <w:lang w:val="es-ES_tradnl"/>
        </w:rPr>
      </w:pPr>
    </w:p>
    <w:p w14:paraId="586C53B1" w14:textId="74B8EF76" w:rsidR="007A7595" w:rsidRDefault="007A7595" w:rsidP="007A7595">
      <w:pPr>
        <w:spacing w:after="120" w:line="360" w:lineRule="auto"/>
        <w:jc w:val="both"/>
        <w:rPr>
          <w:lang w:val="es-ES_tradnl"/>
        </w:rPr>
      </w:pPr>
      <w:r w:rsidRPr="007A7595">
        <w:rPr>
          <w:b/>
          <w:bCs/>
          <w:lang w:val="es-ES_tradnl"/>
        </w:rPr>
        <w:t xml:space="preserve">Objetivo. </w:t>
      </w:r>
      <w:r>
        <w:rPr>
          <w:lang w:val="es-ES_tradnl"/>
        </w:rPr>
        <w:t>Identificar de forma cuantitativa los ítems/formas y las reglas subyacentes que explican la clasificación dialectal.</w:t>
      </w:r>
    </w:p>
    <w:p w14:paraId="3A19392F" w14:textId="4CBD7509" w:rsidR="005133A1" w:rsidRDefault="005133A1" w:rsidP="007A7595">
      <w:pPr>
        <w:spacing w:after="120" w:line="360" w:lineRule="auto"/>
        <w:jc w:val="both"/>
        <w:rPr>
          <w:lang w:val="es-ES_tradnl"/>
        </w:rPr>
      </w:pPr>
      <w:r w:rsidRPr="005133A1">
        <w:rPr>
          <w:b/>
          <w:bCs/>
          <w:lang w:val="es-ES_tradnl"/>
        </w:rPr>
        <w:t>C</w:t>
      </w:r>
      <w:r>
        <w:rPr>
          <w:b/>
          <w:bCs/>
          <w:lang w:val="es-ES_tradnl"/>
        </w:rPr>
        <w:t xml:space="preserve">omponentes </w:t>
      </w:r>
      <w:r w:rsidRPr="005133A1">
        <w:rPr>
          <w:b/>
          <w:bCs/>
          <w:lang w:val="es-ES_tradnl"/>
        </w:rPr>
        <w:t>del trabajo</w:t>
      </w:r>
      <w:r>
        <w:rPr>
          <w:lang w:val="es-ES_tradnl"/>
        </w:rPr>
        <w:t xml:space="preserve">. a) Conceptualización cuantitativa; b) implementación en software; y c) aplicación en una base de datos lingüística. </w:t>
      </w:r>
    </w:p>
    <w:p w14:paraId="5B1D5B48" w14:textId="63951206" w:rsidR="005133A1" w:rsidRDefault="005133A1" w:rsidP="007A7595">
      <w:pPr>
        <w:spacing w:after="120" w:line="360" w:lineRule="auto"/>
        <w:jc w:val="both"/>
        <w:rPr>
          <w:lang w:val="es-ES_tradnl"/>
        </w:rPr>
      </w:pPr>
      <w:r w:rsidRPr="006A28EC">
        <w:rPr>
          <w:b/>
          <w:bCs/>
          <w:lang w:val="es-ES_tradnl"/>
        </w:rPr>
        <w:t xml:space="preserve">Valor </w:t>
      </w:r>
      <w:r w:rsidR="006A28EC" w:rsidRPr="006A28EC">
        <w:rPr>
          <w:b/>
          <w:bCs/>
          <w:lang w:val="es-ES_tradnl"/>
        </w:rPr>
        <w:t>diferencial del trabajo</w:t>
      </w:r>
      <w:r w:rsidR="006A28EC">
        <w:rPr>
          <w:lang w:val="es-ES_tradnl"/>
        </w:rPr>
        <w:t>. La caracterización dialectal se basa en el barrido manual y sistemático de los ítems que componen el Corpus Dialectal. La automatización del barrido en los ítems que intervienen en la clasificación dialectal se orienta a centrar al investigador en lo importante y, en consecuencia, a simplificar y reducir los tiempos de análisis.</w:t>
      </w:r>
    </w:p>
    <w:p w14:paraId="29ADFA2E" w14:textId="77777777" w:rsidR="005133A1" w:rsidRDefault="005133A1" w:rsidP="007A7595">
      <w:pPr>
        <w:spacing w:after="120" w:line="360" w:lineRule="auto"/>
        <w:jc w:val="both"/>
        <w:rPr>
          <w:lang w:val="es-ES_tradnl"/>
        </w:rPr>
      </w:pPr>
      <w:r w:rsidRPr="005133A1">
        <w:rPr>
          <w:b/>
          <w:bCs/>
          <w:lang w:val="es-ES_tradnl"/>
        </w:rPr>
        <w:t>Valorización esperada</w:t>
      </w:r>
      <w:r>
        <w:rPr>
          <w:lang w:val="es-ES_tradnl"/>
        </w:rPr>
        <w:t xml:space="preserve">. Defensa de un TFG, implementación de una función en R o integración en </w:t>
      </w:r>
      <w:proofErr w:type="spellStart"/>
      <w:r>
        <w:rPr>
          <w:lang w:val="es-ES_tradnl"/>
        </w:rPr>
        <w:t>DiaTech</w:t>
      </w:r>
      <w:proofErr w:type="spellEnd"/>
      <w:r>
        <w:rPr>
          <w:lang w:val="es-ES_tradnl"/>
        </w:rPr>
        <w:t xml:space="preserve"> y publicación de trabajos en revistas académicas (herramienta y aplicación).</w:t>
      </w:r>
    </w:p>
    <w:p w14:paraId="0E855BBA" w14:textId="30CF2922" w:rsidR="005133A1" w:rsidRDefault="005133A1" w:rsidP="005133A1">
      <w:pPr>
        <w:spacing w:after="120" w:line="360" w:lineRule="auto"/>
        <w:jc w:val="center"/>
        <w:rPr>
          <w:lang w:val="es-ES_tradnl"/>
        </w:rPr>
      </w:pPr>
      <w:r>
        <w:rPr>
          <w:lang w:val="es-ES_tradnl"/>
        </w:rPr>
        <w:t>--------------------------------------</w:t>
      </w:r>
    </w:p>
    <w:p w14:paraId="48D75F0E" w14:textId="5B42BAB7" w:rsidR="00C27653" w:rsidRDefault="0071198B" w:rsidP="00C27653">
      <w:pPr>
        <w:spacing w:after="0" w:line="360" w:lineRule="auto"/>
        <w:jc w:val="both"/>
        <w:rPr>
          <w:lang w:val="es-ES_tradnl"/>
        </w:rPr>
      </w:pPr>
      <w:r w:rsidRPr="0071198B">
        <w:rPr>
          <w:b/>
          <w:bCs/>
          <w:lang w:val="es-ES_tradnl"/>
        </w:rPr>
        <w:t xml:space="preserve">Antecedentes </w:t>
      </w:r>
      <w:r>
        <w:rPr>
          <w:b/>
          <w:bCs/>
          <w:lang w:val="es-ES_tradnl"/>
        </w:rPr>
        <w:t>técnicos</w:t>
      </w:r>
      <w:r>
        <w:rPr>
          <w:lang w:val="es-ES_tradnl"/>
        </w:rPr>
        <w:t xml:space="preserve">. En términos cuantitativos, la clasificación dialectal </w:t>
      </w:r>
      <w:r w:rsidR="00C27653">
        <w:rPr>
          <w:lang w:val="es-ES_tradnl"/>
        </w:rPr>
        <w:t xml:space="preserve">se compone </w:t>
      </w:r>
      <w:r w:rsidR="00FC24AB">
        <w:rPr>
          <w:lang w:val="es-ES_tradnl"/>
        </w:rPr>
        <w:t>de los siguientes elementos</w:t>
      </w:r>
      <w:r w:rsidR="00955E37">
        <w:rPr>
          <w:lang w:val="es-ES_tradnl"/>
        </w:rPr>
        <w:t xml:space="preserve">: </w:t>
      </w:r>
    </w:p>
    <w:p w14:paraId="1D6488DD" w14:textId="34E34D18" w:rsidR="004B37D7" w:rsidRDefault="004E1582" w:rsidP="004B37D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lang w:val="es-ES_tradnl"/>
        </w:rPr>
      </w:pPr>
      <w:r w:rsidRPr="004B37D7">
        <w:rPr>
          <w:b/>
          <w:bCs/>
          <w:lang w:val="es-ES_tradnl"/>
        </w:rPr>
        <w:t>Información base</w:t>
      </w:r>
      <w:r w:rsidRPr="004B37D7">
        <w:rPr>
          <w:lang w:val="es-ES_tradnl"/>
        </w:rPr>
        <w:t xml:space="preserve">. Tabla de doble entrada </w:t>
      </w:r>
      <w:r w:rsidR="00013C10" w:rsidRPr="004B37D7">
        <w:rPr>
          <w:lang w:val="es-ES_tradnl"/>
        </w:rPr>
        <w:t xml:space="preserve">(Población/ítem) en la que se explicita </w:t>
      </w:r>
      <w:r w:rsidR="004B37D7" w:rsidRPr="004B37D7">
        <w:rPr>
          <w:lang w:val="es-ES_tradnl"/>
        </w:rPr>
        <w:t>de los ítems en cada una de las poblaciones (Tabla 1).</w:t>
      </w: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899"/>
        <w:gridCol w:w="899"/>
        <w:gridCol w:w="732"/>
        <w:gridCol w:w="903"/>
      </w:tblGrid>
      <w:tr w:rsidR="00BC50B9" w14:paraId="555B2E97" w14:textId="77777777" w:rsidTr="00C75CE1">
        <w:trPr>
          <w:jc w:val="center"/>
        </w:trPr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87046" w14:textId="77777777" w:rsidR="00BC50B9" w:rsidRDefault="00BC50B9" w:rsidP="00696C63">
            <w:pPr>
              <w:jc w:val="center"/>
              <w:rPr>
                <w:lang w:val="es-ES_tradnl"/>
              </w:rPr>
            </w:pPr>
          </w:p>
        </w:tc>
        <w:tc>
          <w:tcPr>
            <w:tcW w:w="8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48132E" w14:textId="73E40050" w:rsidR="00BC50B9" w:rsidRPr="003F5E35" w:rsidRDefault="00BC50B9" w:rsidP="00696C63">
            <w:pPr>
              <w:jc w:val="center"/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>Ítem 1</w:t>
            </w:r>
          </w:p>
        </w:tc>
        <w:tc>
          <w:tcPr>
            <w:tcW w:w="8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4BF2E" w14:textId="34F0BAD7" w:rsidR="00BC50B9" w:rsidRPr="003F5E35" w:rsidRDefault="00BC50B9" w:rsidP="00696C63">
            <w:pPr>
              <w:jc w:val="center"/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>Ítem 2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F7BD" w14:textId="69661F41" w:rsidR="00BC50B9" w:rsidRPr="003F5E35" w:rsidRDefault="006E67F8" w:rsidP="00696C63">
            <w:pPr>
              <w:jc w:val="center"/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>….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8AF810" w14:textId="6A6259D9" w:rsidR="00BC50B9" w:rsidRPr="003F5E35" w:rsidRDefault="00BC50B9" w:rsidP="00696C63">
            <w:pPr>
              <w:jc w:val="center"/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 xml:space="preserve">Ítem </w:t>
            </w:r>
            <w:r w:rsidR="006E67F8" w:rsidRPr="003F5E35">
              <w:rPr>
                <w:b/>
                <w:bCs/>
                <w:lang w:val="es-ES_tradnl"/>
              </w:rPr>
              <w:t>p</w:t>
            </w:r>
          </w:p>
        </w:tc>
      </w:tr>
      <w:tr w:rsidR="00BC50B9" w14:paraId="5E4DF2E9" w14:textId="77777777" w:rsidTr="00C75CE1">
        <w:trPr>
          <w:jc w:val="center"/>
        </w:trPr>
        <w:tc>
          <w:tcPr>
            <w:tcW w:w="1811" w:type="dxa"/>
            <w:tcBorders>
              <w:top w:val="single" w:sz="12" w:space="0" w:color="auto"/>
            </w:tcBorders>
            <w:vAlign w:val="center"/>
          </w:tcPr>
          <w:p w14:paraId="26173A36" w14:textId="271BFCD6" w:rsidR="00BC50B9" w:rsidRPr="003F5E35" w:rsidRDefault="00BC50B9" w:rsidP="003F5E35">
            <w:pPr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>Población 1</w:t>
            </w:r>
            <w:r w:rsidR="00E67D19">
              <w:rPr>
                <w:b/>
                <w:bCs/>
                <w:lang w:val="es-ES_tradnl"/>
              </w:rPr>
              <w:t xml:space="preserve"> (P</w:t>
            </w:r>
            <w:r w:rsidR="00E67D19" w:rsidRPr="00C75CE1">
              <w:rPr>
                <w:b/>
                <w:bCs/>
                <w:vertAlign w:val="subscript"/>
                <w:lang w:val="es-ES_tradnl"/>
              </w:rPr>
              <w:t>1</w:t>
            </w:r>
            <w:r w:rsidR="00E67D19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899" w:type="dxa"/>
            <w:tcBorders>
              <w:top w:val="single" w:sz="12" w:space="0" w:color="auto"/>
            </w:tcBorders>
            <w:vAlign w:val="center"/>
          </w:tcPr>
          <w:p w14:paraId="6420FDE9" w14:textId="13E9C8D4" w:rsidR="00BC50B9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 w:rsidRPr="002C0110">
              <w:rPr>
                <w:vertAlign w:val="subscript"/>
                <w:lang w:val="es-ES_tradnl"/>
              </w:rPr>
              <w:t>11</w:t>
            </w:r>
          </w:p>
        </w:tc>
        <w:tc>
          <w:tcPr>
            <w:tcW w:w="899" w:type="dxa"/>
            <w:tcBorders>
              <w:top w:val="single" w:sz="12" w:space="0" w:color="auto"/>
            </w:tcBorders>
            <w:vAlign w:val="center"/>
          </w:tcPr>
          <w:p w14:paraId="60B9BABF" w14:textId="41D1608B" w:rsidR="00BC50B9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 w:rsidRPr="002C0110">
              <w:rPr>
                <w:vertAlign w:val="subscript"/>
                <w:lang w:val="es-ES_tradnl"/>
              </w:rPr>
              <w:t>1</w:t>
            </w:r>
            <w:r>
              <w:rPr>
                <w:vertAlign w:val="subscript"/>
                <w:lang w:val="es-ES_tradnl"/>
              </w:rPr>
              <w:t>2</w:t>
            </w:r>
          </w:p>
        </w:tc>
        <w:tc>
          <w:tcPr>
            <w:tcW w:w="732" w:type="dxa"/>
            <w:tcBorders>
              <w:top w:val="single" w:sz="12" w:space="0" w:color="auto"/>
            </w:tcBorders>
            <w:vAlign w:val="center"/>
          </w:tcPr>
          <w:p w14:paraId="503E08D4" w14:textId="1701A0F5" w:rsidR="00BC50B9" w:rsidRDefault="00FF2676" w:rsidP="00696C6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….</w:t>
            </w:r>
          </w:p>
        </w:tc>
        <w:tc>
          <w:tcPr>
            <w:tcW w:w="903" w:type="dxa"/>
            <w:tcBorders>
              <w:top w:val="single" w:sz="12" w:space="0" w:color="auto"/>
            </w:tcBorders>
            <w:vAlign w:val="center"/>
          </w:tcPr>
          <w:p w14:paraId="76E585E1" w14:textId="554663BE" w:rsidR="00BC50B9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 w:rsidRPr="002C0110">
              <w:rPr>
                <w:vertAlign w:val="subscript"/>
                <w:lang w:val="es-ES_tradnl"/>
              </w:rPr>
              <w:t>1</w:t>
            </w:r>
            <w:r>
              <w:rPr>
                <w:vertAlign w:val="subscript"/>
                <w:lang w:val="es-ES_tradnl"/>
              </w:rPr>
              <w:t>p</w:t>
            </w:r>
          </w:p>
        </w:tc>
      </w:tr>
      <w:tr w:rsidR="00BC50B9" w14:paraId="68820D04" w14:textId="77777777" w:rsidTr="00C75CE1">
        <w:trPr>
          <w:jc w:val="center"/>
        </w:trPr>
        <w:tc>
          <w:tcPr>
            <w:tcW w:w="1811" w:type="dxa"/>
            <w:vAlign w:val="center"/>
          </w:tcPr>
          <w:p w14:paraId="6F6CBD51" w14:textId="0D6AB2E5" w:rsidR="00BC50B9" w:rsidRPr="003F5E35" w:rsidRDefault="00BC50B9" w:rsidP="003F5E35">
            <w:pPr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>Población 2</w:t>
            </w:r>
            <w:r w:rsidR="00E67D19">
              <w:rPr>
                <w:b/>
                <w:bCs/>
                <w:lang w:val="es-ES_tradnl"/>
              </w:rPr>
              <w:t xml:space="preserve"> (P</w:t>
            </w:r>
            <w:r w:rsidR="00E67D19" w:rsidRPr="00C75CE1">
              <w:rPr>
                <w:b/>
                <w:bCs/>
                <w:vertAlign w:val="subscript"/>
                <w:lang w:val="es-ES_tradnl"/>
              </w:rPr>
              <w:t>2</w:t>
            </w:r>
            <w:r w:rsidR="00E67D19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899" w:type="dxa"/>
            <w:vAlign w:val="center"/>
          </w:tcPr>
          <w:p w14:paraId="39A7C31D" w14:textId="79C68968" w:rsidR="00BC50B9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>
              <w:rPr>
                <w:vertAlign w:val="subscript"/>
                <w:lang w:val="es-ES_tradnl"/>
              </w:rPr>
              <w:t>21</w:t>
            </w:r>
          </w:p>
        </w:tc>
        <w:tc>
          <w:tcPr>
            <w:tcW w:w="899" w:type="dxa"/>
            <w:vAlign w:val="center"/>
          </w:tcPr>
          <w:p w14:paraId="73F4FE95" w14:textId="6B5712B8" w:rsidR="00BC50B9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>
              <w:rPr>
                <w:vertAlign w:val="subscript"/>
                <w:lang w:val="es-ES_tradnl"/>
              </w:rPr>
              <w:t>22</w:t>
            </w:r>
          </w:p>
        </w:tc>
        <w:tc>
          <w:tcPr>
            <w:tcW w:w="732" w:type="dxa"/>
            <w:vAlign w:val="center"/>
          </w:tcPr>
          <w:p w14:paraId="18D78C2C" w14:textId="775A69A7" w:rsidR="00BC50B9" w:rsidRDefault="00FF2676" w:rsidP="00696C6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….</w:t>
            </w:r>
          </w:p>
        </w:tc>
        <w:tc>
          <w:tcPr>
            <w:tcW w:w="903" w:type="dxa"/>
            <w:vAlign w:val="center"/>
          </w:tcPr>
          <w:p w14:paraId="20293925" w14:textId="11F51542" w:rsidR="00BC50B9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>
              <w:rPr>
                <w:vertAlign w:val="subscript"/>
                <w:lang w:val="es-ES_tradnl"/>
              </w:rPr>
              <w:t>2p</w:t>
            </w:r>
          </w:p>
        </w:tc>
      </w:tr>
      <w:tr w:rsidR="00FF2676" w14:paraId="03F13DF1" w14:textId="77777777" w:rsidTr="00C75CE1">
        <w:trPr>
          <w:jc w:val="center"/>
        </w:trPr>
        <w:tc>
          <w:tcPr>
            <w:tcW w:w="1811" w:type="dxa"/>
            <w:vAlign w:val="center"/>
          </w:tcPr>
          <w:p w14:paraId="603A44B8" w14:textId="00C84896" w:rsidR="00FF2676" w:rsidRPr="003F5E35" w:rsidRDefault="00FF2676" w:rsidP="003F5E35">
            <w:pPr>
              <w:jc w:val="center"/>
              <w:rPr>
                <w:b/>
                <w:bCs/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899" w:type="dxa"/>
            <w:vAlign w:val="center"/>
          </w:tcPr>
          <w:p w14:paraId="366B20C2" w14:textId="0135424C" w:rsidR="00FF2676" w:rsidRDefault="00FF2676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⁞</w:t>
            </w:r>
          </w:p>
        </w:tc>
        <w:tc>
          <w:tcPr>
            <w:tcW w:w="899" w:type="dxa"/>
            <w:vAlign w:val="center"/>
          </w:tcPr>
          <w:p w14:paraId="46D48B1E" w14:textId="325024F6" w:rsidR="00FF2676" w:rsidRDefault="00FF2676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⁞</w:t>
            </w:r>
          </w:p>
        </w:tc>
        <w:tc>
          <w:tcPr>
            <w:tcW w:w="732" w:type="dxa"/>
            <w:vAlign w:val="center"/>
          </w:tcPr>
          <w:p w14:paraId="62E9D32A" w14:textId="77777777" w:rsidR="00FF2676" w:rsidRDefault="00FF2676" w:rsidP="00696C63">
            <w:pPr>
              <w:jc w:val="center"/>
              <w:rPr>
                <w:lang w:val="es-ES_tradnl"/>
              </w:rPr>
            </w:pPr>
          </w:p>
        </w:tc>
        <w:tc>
          <w:tcPr>
            <w:tcW w:w="903" w:type="dxa"/>
            <w:vAlign w:val="center"/>
          </w:tcPr>
          <w:p w14:paraId="3F56E739" w14:textId="65F8FF30" w:rsidR="00FF2676" w:rsidRDefault="00FF2676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⁞</w:t>
            </w:r>
          </w:p>
        </w:tc>
      </w:tr>
      <w:tr w:rsidR="00FF2676" w14:paraId="6FB0B449" w14:textId="77777777" w:rsidTr="00C75CE1">
        <w:trPr>
          <w:jc w:val="center"/>
        </w:trPr>
        <w:tc>
          <w:tcPr>
            <w:tcW w:w="1811" w:type="dxa"/>
            <w:tcBorders>
              <w:bottom w:val="single" w:sz="12" w:space="0" w:color="auto"/>
            </w:tcBorders>
            <w:vAlign w:val="center"/>
          </w:tcPr>
          <w:p w14:paraId="1794E5F9" w14:textId="1E9AAC0C" w:rsidR="00FF2676" w:rsidRPr="003F5E35" w:rsidRDefault="00FF2676" w:rsidP="003F5E35">
            <w:pPr>
              <w:rPr>
                <w:b/>
                <w:bCs/>
                <w:lang w:val="es-ES_tradnl"/>
              </w:rPr>
            </w:pPr>
            <w:r w:rsidRPr="003F5E35">
              <w:rPr>
                <w:b/>
                <w:bCs/>
                <w:lang w:val="es-ES_tradnl"/>
              </w:rPr>
              <w:t xml:space="preserve">Población </w:t>
            </w:r>
            <w:r w:rsidR="00F4710C">
              <w:rPr>
                <w:b/>
                <w:bCs/>
                <w:lang w:val="es-ES_tradnl"/>
              </w:rPr>
              <w:t>n</w:t>
            </w:r>
            <w:r w:rsidR="00C75CE1">
              <w:rPr>
                <w:b/>
                <w:bCs/>
                <w:lang w:val="es-ES_tradnl"/>
              </w:rPr>
              <w:t xml:space="preserve"> (</w:t>
            </w:r>
            <w:proofErr w:type="spellStart"/>
            <w:r w:rsidR="00C75CE1">
              <w:rPr>
                <w:b/>
                <w:bCs/>
                <w:lang w:val="es-ES_tradnl"/>
              </w:rPr>
              <w:t>P</w:t>
            </w:r>
            <w:r w:rsidR="00C75CE1" w:rsidRPr="00C75CE1">
              <w:rPr>
                <w:b/>
                <w:bCs/>
                <w:vertAlign w:val="subscript"/>
                <w:lang w:val="es-ES_tradnl"/>
              </w:rPr>
              <w:t>n</w:t>
            </w:r>
            <w:proofErr w:type="spellEnd"/>
            <w:r w:rsidR="00C75CE1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899" w:type="dxa"/>
            <w:tcBorders>
              <w:bottom w:val="single" w:sz="12" w:space="0" w:color="auto"/>
            </w:tcBorders>
            <w:vAlign w:val="center"/>
          </w:tcPr>
          <w:p w14:paraId="46474FD5" w14:textId="4ACEA69D" w:rsidR="00FF2676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>
              <w:rPr>
                <w:vertAlign w:val="subscript"/>
                <w:lang w:val="es-ES_tradnl"/>
              </w:rPr>
              <w:t>n1</w:t>
            </w:r>
          </w:p>
        </w:tc>
        <w:tc>
          <w:tcPr>
            <w:tcW w:w="899" w:type="dxa"/>
            <w:tcBorders>
              <w:bottom w:val="single" w:sz="12" w:space="0" w:color="auto"/>
            </w:tcBorders>
            <w:vAlign w:val="center"/>
          </w:tcPr>
          <w:p w14:paraId="38CE7812" w14:textId="3B4FDFC8" w:rsidR="00FF2676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r>
              <w:rPr>
                <w:vertAlign w:val="subscript"/>
                <w:lang w:val="es-ES_tradnl"/>
              </w:rPr>
              <w:t>n2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vAlign w:val="center"/>
          </w:tcPr>
          <w:p w14:paraId="63E10E46" w14:textId="6658DEBB" w:rsidR="00FF2676" w:rsidRDefault="00FF2676" w:rsidP="00696C6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….</w:t>
            </w:r>
          </w:p>
        </w:tc>
        <w:tc>
          <w:tcPr>
            <w:tcW w:w="903" w:type="dxa"/>
            <w:tcBorders>
              <w:bottom w:val="single" w:sz="12" w:space="0" w:color="auto"/>
            </w:tcBorders>
            <w:vAlign w:val="center"/>
          </w:tcPr>
          <w:p w14:paraId="4BED7510" w14:textId="68D6B953" w:rsidR="00FF2676" w:rsidRDefault="002C0110" w:rsidP="00696C63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α</w:t>
            </w:r>
            <w:proofErr w:type="spellStart"/>
            <w:r>
              <w:rPr>
                <w:vertAlign w:val="subscript"/>
                <w:lang w:val="es-ES_tradnl"/>
              </w:rPr>
              <w:t>np</w:t>
            </w:r>
            <w:proofErr w:type="spellEnd"/>
          </w:p>
        </w:tc>
      </w:tr>
    </w:tbl>
    <w:p w14:paraId="5CDFDA1C" w14:textId="77777777" w:rsidR="00E85B80" w:rsidRDefault="002A6F87" w:rsidP="009D0D92">
      <w:pPr>
        <w:pStyle w:val="Prrafodelista"/>
        <w:numPr>
          <w:ilvl w:val="0"/>
          <w:numId w:val="1"/>
        </w:numPr>
        <w:spacing w:before="120" w:after="120" w:line="360" w:lineRule="auto"/>
        <w:ind w:left="714" w:hanging="357"/>
        <w:jc w:val="both"/>
        <w:rPr>
          <w:lang w:val="es-ES_tradnl"/>
        </w:rPr>
      </w:pPr>
      <w:r w:rsidRPr="009D0D92">
        <w:rPr>
          <w:b/>
          <w:bCs/>
          <w:lang w:val="es-ES_tradnl"/>
        </w:rPr>
        <w:t>Distancia entre poblaciones</w:t>
      </w:r>
      <w:r>
        <w:rPr>
          <w:lang w:val="es-ES_tradnl"/>
        </w:rPr>
        <w:t xml:space="preserve">. </w:t>
      </w:r>
      <w:r w:rsidR="00161F64">
        <w:rPr>
          <w:lang w:val="es-ES_tradnl"/>
        </w:rPr>
        <w:t>Para caracterizar las analogías y diferencias entre las poblaciones se considera una medida de distancia</w:t>
      </w:r>
      <w:r w:rsidR="006D0676">
        <w:rPr>
          <w:lang w:val="es-ES_tradnl"/>
        </w:rPr>
        <w:t xml:space="preserve">. En lingüística, </w:t>
      </w:r>
      <w:r w:rsidR="001A083F">
        <w:rPr>
          <w:lang w:val="es-ES_tradnl"/>
        </w:rPr>
        <w:t xml:space="preserve">las distancias </w:t>
      </w:r>
      <w:r w:rsidR="00DF6F9E">
        <w:rPr>
          <w:lang w:val="es-ES_tradnl"/>
        </w:rPr>
        <w:t>entre poblaciones</w:t>
      </w:r>
      <w:r w:rsidR="00986806">
        <w:rPr>
          <w:lang w:val="es-ES_tradnl"/>
        </w:rPr>
        <w:t xml:space="preserve"> (IRI, IPI, </w:t>
      </w:r>
      <w:proofErr w:type="spellStart"/>
      <w:r w:rsidR="00986806">
        <w:rPr>
          <w:lang w:val="es-ES_tradnl"/>
        </w:rPr>
        <w:t>Lewenstein</w:t>
      </w:r>
      <w:proofErr w:type="spellEnd"/>
      <w:r w:rsidR="00986806">
        <w:rPr>
          <w:lang w:val="es-ES_tradnl"/>
        </w:rPr>
        <w:t xml:space="preserve">, </w:t>
      </w:r>
      <w:proofErr w:type="gramStart"/>
      <w:r w:rsidR="00986806">
        <w:rPr>
          <w:lang w:val="es-ES_tradnl"/>
        </w:rPr>
        <w:t>COD,…</w:t>
      </w:r>
      <w:proofErr w:type="gramEnd"/>
      <w:r w:rsidR="00986806">
        <w:rPr>
          <w:lang w:val="es-ES_tradnl"/>
        </w:rPr>
        <w:t>)</w:t>
      </w:r>
      <w:r w:rsidR="00DF6F9E">
        <w:rPr>
          <w:lang w:val="es-ES_tradnl"/>
        </w:rPr>
        <w:t xml:space="preserve"> </w:t>
      </w:r>
      <w:r w:rsidR="0081140F">
        <w:rPr>
          <w:lang w:val="es-ES_tradnl"/>
        </w:rPr>
        <w:t xml:space="preserve">evalúan </w:t>
      </w:r>
      <w:r w:rsidR="005E5E7F">
        <w:rPr>
          <w:lang w:val="es-ES_tradnl"/>
        </w:rPr>
        <w:t xml:space="preserve">las diferencias en cada ítem </w:t>
      </w:r>
    </w:p>
    <w:p w14:paraId="01B08532" w14:textId="18C1F037" w:rsidR="008C3662" w:rsidRPr="00872919" w:rsidRDefault="003E3726" w:rsidP="008C3662">
      <w:pPr>
        <w:pStyle w:val="Prrafodelista"/>
        <w:spacing w:before="120" w:after="120" w:line="360" w:lineRule="auto"/>
        <w:ind w:left="714"/>
        <w:jc w:val="center"/>
        <w:rPr>
          <w:lang w:val="es-ES"/>
        </w:rPr>
      </w:pPr>
      <w:r w:rsidRPr="00872919">
        <w:rPr>
          <w:lang w:val="es-ES"/>
        </w:rPr>
        <w:t>d</w:t>
      </w:r>
      <w:r w:rsidRPr="00872919">
        <w:rPr>
          <w:vertAlign w:val="superscript"/>
          <w:lang w:val="es-ES"/>
        </w:rPr>
        <w:t>(k</w:t>
      </w:r>
      <w:proofErr w:type="gramStart"/>
      <w:r w:rsidRPr="00872919">
        <w:rPr>
          <w:vertAlign w:val="superscript"/>
          <w:lang w:val="es-ES"/>
        </w:rPr>
        <w:t>)</w:t>
      </w:r>
      <w:r w:rsidRPr="00872919">
        <w:rPr>
          <w:lang w:val="es-ES"/>
        </w:rPr>
        <w:t>(</w:t>
      </w:r>
      <w:proofErr w:type="gramEnd"/>
      <w:r w:rsidRPr="00872919">
        <w:rPr>
          <w:lang w:val="es-ES"/>
        </w:rPr>
        <w:t>P</w:t>
      </w:r>
      <w:r w:rsidRPr="00872919">
        <w:rPr>
          <w:vertAlign w:val="subscript"/>
          <w:lang w:val="es-ES"/>
        </w:rPr>
        <w:t>i</w:t>
      </w:r>
      <w:r w:rsidRPr="00872919">
        <w:rPr>
          <w:lang w:val="es-ES"/>
        </w:rPr>
        <w:t xml:space="preserve">, </w:t>
      </w:r>
      <w:proofErr w:type="spellStart"/>
      <w:r w:rsidRPr="00872919">
        <w:rPr>
          <w:lang w:val="es-ES"/>
        </w:rPr>
        <w:t>P</w:t>
      </w:r>
      <w:r w:rsidRPr="00872919">
        <w:rPr>
          <w:vertAlign w:val="subscript"/>
          <w:lang w:val="es-ES"/>
        </w:rPr>
        <w:t>j</w:t>
      </w:r>
      <w:proofErr w:type="spellEnd"/>
      <w:r w:rsidRPr="00872919">
        <w:rPr>
          <w:lang w:val="es-ES"/>
        </w:rPr>
        <w:t>)=</w:t>
      </w:r>
      <w:r w:rsidR="00192E73" w:rsidRPr="00872919">
        <w:rPr>
          <w:lang w:val="es-ES"/>
        </w:rPr>
        <w:t>d</w:t>
      </w:r>
      <w:r w:rsidR="00192E73" w:rsidRPr="00872919">
        <w:rPr>
          <w:vertAlign w:val="superscript"/>
          <w:lang w:val="es-ES"/>
        </w:rPr>
        <w:t>(k)</w:t>
      </w:r>
      <w:r w:rsidR="00192E73" w:rsidRPr="00872919">
        <w:rPr>
          <w:lang w:val="es-ES"/>
        </w:rPr>
        <w:t>(Pob</w:t>
      </w:r>
      <w:r w:rsidRPr="00872919">
        <w:rPr>
          <w:lang w:val="es-ES"/>
        </w:rPr>
        <w:t xml:space="preserve">lación </w:t>
      </w:r>
      <w:r w:rsidR="00192E73" w:rsidRPr="00872919">
        <w:rPr>
          <w:lang w:val="es-ES"/>
        </w:rPr>
        <w:t>i, Pob</w:t>
      </w:r>
      <w:r w:rsidR="00872919" w:rsidRPr="00872919">
        <w:rPr>
          <w:lang w:val="es-ES"/>
        </w:rPr>
        <w:t xml:space="preserve">lación </w:t>
      </w:r>
      <w:r w:rsidR="00192E73" w:rsidRPr="00872919">
        <w:rPr>
          <w:lang w:val="es-ES"/>
        </w:rPr>
        <w:t>j)</w:t>
      </w:r>
      <w:r w:rsidR="009374C5">
        <w:rPr>
          <w:lang w:val="es-ES"/>
        </w:rPr>
        <w:t>=d</w:t>
      </w:r>
      <w:r w:rsidR="009374C5" w:rsidRPr="009374C5">
        <w:rPr>
          <w:vertAlign w:val="superscript"/>
          <w:lang w:val="es-ES"/>
        </w:rPr>
        <w:t>(k)</w:t>
      </w:r>
      <w:r w:rsidR="009374C5">
        <w:rPr>
          <w:lang w:val="es-ES"/>
        </w:rPr>
        <w:t>(</w:t>
      </w:r>
      <w:r w:rsidR="009374C5">
        <w:rPr>
          <w:rFonts w:cstheme="minorHAnsi"/>
          <w:lang w:val="es-ES_tradnl"/>
        </w:rPr>
        <w:t>α</w:t>
      </w:r>
      <w:r w:rsidR="009374C5">
        <w:rPr>
          <w:vertAlign w:val="subscript"/>
          <w:lang w:val="es-ES_tradnl"/>
        </w:rPr>
        <w:t>ik</w:t>
      </w:r>
      <w:r w:rsidR="008C3662" w:rsidRPr="00872919">
        <w:rPr>
          <w:lang w:val="es-ES"/>
        </w:rPr>
        <w:t>,</w:t>
      </w:r>
      <w:r w:rsidR="009374C5">
        <w:rPr>
          <w:lang w:val="es-ES"/>
        </w:rPr>
        <w:t xml:space="preserve"> </w:t>
      </w:r>
      <w:r w:rsidR="009374C5">
        <w:rPr>
          <w:rFonts w:cstheme="minorHAnsi"/>
          <w:lang w:val="es-ES_tradnl"/>
        </w:rPr>
        <w:t>α</w:t>
      </w:r>
      <w:proofErr w:type="spellStart"/>
      <w:r w:rsidR="009374C5">
        <w:rPr>
          <w:vertAlign w:val="subscript"/>
          <w:lang w:val="es-ES_tradnl"/>
        </w:rPr>
        <w:t>jk</w:t>
      </w:r>
      <w:proofErr w:type="spellEnd"/>
      <w:r w:rsidR="009374C5">
        <w:rPr>
          <w:lang w:val="es-ES_tradnl"/>
        </w:rPr>
        <w:t>)</w:t>
      </w:r>
      <w:r w:rsidR="008C3662" w:rsidRPr="00872919">
        <w:rPr>
          <w:lang w:val="es-ES"/>
        </w:rPr>
        <w:t xml:space="preserve"> </w:t>
      </w:r>
      <w:r w:rsidR="00872919" w:rsidRPr="00872919">
        <w:rPr>
          <w:lang w:val="es-ES"/>
        </w:rPr>
        <w:t xml:space="preserve">  </w:t>
      </w:r>
      <w:r w:rsidR="009374C5">
        <w:rPr>
          <w:lang w:val="es-ES"/>
        </w:rPr>
        <w:t xml:space="preserve">   </w:t>
      </w:r>
      <w:r w:rsidR="00872919" w:rsidRPr="00872919">
        <w:rPr>
          <w:lang w:val="es-ES"/>
        </w:rPr>
        <w:t xml:space="preserve"> </w:t>
      </w:r>
      <w:r w:rsidR="008C3662" w:rsidRPr="00872919">
        <w:rPr>
          <w:lang w:val="es-ES"/>
        </w:rPr>
        <w:t xml:space="preserve"> </w:t>
      </w:r>
      <w:r w:rsidR="00A34805" w:rsidRPr="00872919">
        <w:rPr>
          <w:lang w:val="es-ES"/>
        </w:rPr>
        <w:t>k=1,2,…,p</w:t>
      </w:r>
    </w:p>
    <w:p w14:paraId="17E05C9E" w14:textId="59C2411E" w:rsidR="0096524F" w:rsidRDefault="005E5E7F" w:rsidP="008C3662">
      <w:pPr>
        <w:pStyle w:val="Prrafodelista"/>
        <w:spacing w:before="120" w:after="120" w:line="360" w:lineRule="auto"/>
        <w:ind w:left="714"/>
        <w:jc w:val="both"/>
        <w:rPr>
          <w:lang w:val="es-ES_tradnl"/>
        </w:rPr>
      </w:pPr>
      <w:r>
        <w:rPr>
          <w:lang w:val="es-ES_tradnl"/>
        </w:rPr>
        <w:t>y</w:t>
      </w:r>
      <w:r w:rsidR="00A34805">
        <w:rPr>
          <w:lang w:val="es-ES_tradnl"/>
        </w:rPr>
        <w:t xml:space="preserve">, si procede, </w:t>
      </w:r>
      <w:r>
        <w:rPr>
          <w:lang w:val="es-ES_tradnl"/>
        </w:rPr>
        <w:t xml:space="preserve">las ponderan por un peso </w:t>
      </w:r>
      <w:r w:rsidR="00DE1713">
        <w:rPr>
          <w:lang w:val="es-ES_tradnl"/>
        </w:rPr>
        <w:t>(</w:t>
      </w:r>
      <w:proofErr w:type="spellStart"/>
      <w:r w:rsidR="00DE1713">
        <w:rPr>
          <w:rFonts w:cstheme="minorHAnsi"/>
          <w:lang w:val="es-ES_tradnl"/>
        </w:rPr>
        <w:t>λ</w:t>
      </w:r>
      <w:r w:rsidR="00A34805">
        <w:rPr>
          <w:rFonts w:cstheme="minorHAnsi"/>
          <w:vertAlign w:val="subscript"/>
          <w:lang w:val="es-ES_tradnl"/>
        </w:rPr>
        <w:t>k</w:t>
      </w:r>
      <w:proofErr w:type="spellEnd"/>
      <w:r w:rsidR="00DE1713">
        <w:rPr>
          <w:rFonts w:cstheme="minorHAnsi"/>
          <w:lang w:val="es-ES_tradnl"/>
        </w:rPr>
        <w:t>)</w:t>
      </w:r>
      <w:r w:rsidR="00A34805">
        <w:rPr>
          <w:lang w:val="es-ES_tradnl"/>
        </w:rPr>
        <w:t xml:space="preserve">. </w:t>
      </w:r>
      <w:r w:rsidR="0077102D">
        <w:rPr>
          <w:lang w:val="es-ES_tradnl"/>
        </w:rPr>
        <w:t xml:space="preserve">Formalmente, la matriz de </w:t>
      </w:r>
      <w:proofErr w:type="spellStart"/>
      <w:r w:rsidR="0077102D">
        <w:rPr>
          <w:lang w:val="es-ES_tradnl"/>
        </w:rPr>
        <w:t>interdistancias</w:t>
      </w:r>
      <w:proofErr w:type="spellEnd"/>
      <w:r w:rsidR="0077102D">
        <w:rPr>
          <w:lang w:val="es-ES_tradnl"/>
        </w:rPr>
        <w:t xml:space="preserve"> </w:t>
      </w:r>
      <w:r w:rsidR="00E9709C">
        <w:rPr>
          <w:lang w:val="es-ES_tradnl"/>
        </w:rPr>
        <w:t>D=(</w:t>
      </w:r>
      <w:proofErr w:type="spellStart"/>
      <w:r w:rsidR="00E9709C">
        <w:rPr>
          <w:lang w:val="es-ES_tradnl"/>
        </w:rPr>
        <w:t>d</w:t>
      </w:r>
      <w:r w:rsidR="00B8479B">
        <w:rPr>
          <w:vertAlign w:val="subscript"/>
          <w:lang w:val="es-ES_tradnl"/>
        </w:rPr>
        <w:t>ij</w:t>
      </w:r>
      <w:proofErr w:type="spellEnd"/>
      <w:r w:rsidR="00E9709C">
        <w:rPr>
          <w:lang w:val="es-ES_tradnl"/>
        </w:rPr>
        <w:t>)</w:t>
      </w:r>
      <w:r w:rsidR="00872919">
        <w:rPr>
          <w:lang w:val="es-ES_tradnl"/>
        </w:rPr>
        <w:t xml:space="preserve"> </w:t>
      </w:r>
      <w:r w:rsidR="0096524F">
        <w:rPr>
          <w:lang w:val="es-ES_tradnl"/>
        </w:rPr>
        <w:t xml:space="preserve">tiene la </w:t>
      </w:r>
      <w:r w:rsidR="003E7F33">
        <w:rPr>
          <w:lang w:val="es-ES_tradnl"/>
        </w:rPr>
        <w:t>siguiente expresión</w:t>
      </w:r>
      <w:r w:rsidR="0096524F">
        <w:rPr>
          <w:lang w:val="es-ES_tradnl"/>
        </w:rPr>
        <w:t xml:space="preserve">: </w:t>
      </w:r>
      <w:r w:rsidR="00C95590">
        <w:rPr>
          <w:lang w:val="es-ES_tradnl"/>
        </w:rPr>
        <w:t xml:space="preserve"> </w:t>
      </w:r>
    </w:p>
    <w:p w14:paraId="2CA518D0" w14:textId="0C49052D" w:rsidR="007B2099" w:rsidRPr="007B2099" w:rsidRDefault="00C95590" w:rsidP="00C95590">
      <w:pPr>
        <w:pStyle w:val="Prrafodelista"/>
        <w:spacing w:before="120" w:after="120" w:line="360" w:lineRule="auto"/>
        <w:ind w:left="714"/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D=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=(d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naryPr>
              <m:sub>
                <m:r>
                  <w:rPr>
                    <w:rFonts w:ascii="Cambria Math" w:hAnsi="Cambria Math"/>
                    <w:lang w:val="es-ES_tradnl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_tradnl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</w:p>
    <w:p w14:paraId="491AD469" w14:textId="77777777" w:rsidR="00723C0C" w:rsidRDefault="00F73AB9" w:rsidP="00F73AB9">
      <w:pPr>
        <w:pStyle w:val="Prrafodelista"/>
        <w:numPr>
          <w:ilvl w:val="0"/>
          <w:numId w:val="1"/>
        </w:numPr>
        <w:spacing w:before="120" w:after="120" w:line="360" w:lineRule="auto"/>
        <w:ind w:left="714" w:hanging="357"/>
        <w:jc w:val="both"/>
        <w:rPr>
          <w:lang w:val="es-ES_tradnl"/>
        </w:rPr>
      </w:pPr>
      <w:r>
        <w:rPr>
          <w:b/>
          <w:bCs/>
          <w:lang w:val="es-ES_tradnl"/>
        </w:rPr>
        <w:lastRenderedPageBreak/>
        <w:t xml:space="preserve">Clasificación dialectal. </w:t>
      </w:r>
      <w:r w:rsidR="00AA7EEE">
        <w:rPr>
          <w:lang w:val="es-ES_tradnl"/>
        </w:rPr>
        <w:t xml:space="preserve">En general, la clasificación dialectal utiliza técnicas deterministas </w:t>
      </w:r>
      <w:r w:rsidR="0023275E">
        <w:rPr>
          <w:lang w:val="es-ES_tradnl"/>
        </w:rPr>
        <w:t>jerárquicas (WARD o UPGMA) o no jerárquicas (</w:t>
      </w:r>
      <w:r w:rsidR="00104F83">
        <w:rPr>
          <w:lang w:val="es-ES_tradnl"/>
        </w:rPr>
        <w:t>K-mean) y técnicas no deterministas (</w:t>
      </w:r>
      <w:proofErr w:type="spellStart"/>
      <w:r w:rsidR="00104F83">
        <w:rPr>
          <w:lang w:val="es-ES_tradnl"/>
        </w:rPr>
        <w:t>fuzzy</w:t>
      </w:r>
      <w:proofErr w:type="spellEnd"/>
      <w:r w:rsidR="00104F83">
        <w:rPr>
          <w:lang w:val="es-ES_tradnl"/>
        </w:rPr>
        <w:t xml:space="preserve"> K-mean)</w:t>
      </w:r>
      <w:r w:rsidR="00B66541">
        <w:rPr>
          <w:lang w:val="es-ES_tradnl"/>
        </w:rPr>
        <w:t xml:space="preserve">. La clasificación determinista proporciona </w:t>
      </w:r>
      <w:proofErr w:type="spellStart"/>
      <w:proofErr w:type="gramStart"/>
      <w:r w:rsidR="00B66541">
        <w:rPr>
          <w:lang w:val="es-ES_tradnl"/>
        </w:rPr>
        <w:t>clusters</w:t>
      </w:r>
      <w:proofErr w:type="spellEnd"/>
      <w:proofErr w:type="gramEnd"/>
      <w:r w:rsidR="00B66541">
        <w:rPr>
          <w:lang w:val="es-ES_tradnl"/>
        </w:rPr>
        <w:t xml:space="preserve"> disjuntos y la clasificación no determinista </w:t>
      </w:r>
      <w:r w:rsidR="00723C0C">
        <w:rPr>
          <w:lang w:val="es-ES_tradnl"/>
        </w:rPr>
        <w:t>permite poner de manifiesto las regiones de transición.</w:t>
      </w:r>
    </w:p>
    <w:p w14:paraId="1278414A" w14:textId="045EB149" w:rsidR="00385059" w:rsidRDefault="00F22462" w:rsidP="00F73AB9">
      <w:pPr>
        <w:pStyle w:val="Prrafodelista"/>
        <w:numPr>
          <w:ilvl w:val="0"/>
          <w:numId w:val="1"/>
        </w:numPr>
        <w:spacing w:before="120" w:after="120" w:line="360" w:lineRule="auto"/>
        <w:ind w:left="714" w:hanging="357"/>
        <w:jc w:val="both"/>
        <w:rPr>
          <w:lang w:val="es-ES_tradnl"/>
        </w:rPr>
      </w:pPr>
      <w:r>
        <w:rPr>
          <w:b/>
          <w:bCs/>
          <w:lang w:val="es-ES_tradnl"/>
        </w:rPr>
        <w:t>Resultado</w:t>
      </w:r>
      <w:r w:rsidR="00D45D9E">
        <w:rPr>
          <w:b/>
          <w:bCs/>
          <w:lang w:val="es-ES_tradnl"/>
        </w:rPr>
        <w:t>.</w:t>
      </w:r>
      <w:r>
        <w:rPr>
          <w:lang w:val="es-ES_tradnl"/>
        </w:rPr>
        <w:t xml:space="preserve"> </w:t>
      </w:r>
      <w:r w:rsidR="00B31649" w:rsidRPr="00B31649">
        <w:rPr>
          <w:lang w:val="es-ES_tradnl"/>
        </w:rPr>
        <w:t>Una clasificación</w:t>
      </w:r>
      <w:r w:rsidR="00B31649">
        <w:rPr>
          <w:lang w:val="es-ES_tradnl"/>
        </w:rPr>
        <w:t xml:space="preserve"> en s grupos</w:t>
      </w:r>
      <w:r w:rsidR="004534F9">
        <w:rPr>
          <w:lang w:val="es-ES_tradnl"/>
        </w:rPr>
        <w:t xml:space="preserve">, donde s es compatible con la maximización de los estadísticos </w:t>
      </w:r>
      <w:r w:rsidR="004534F9">
        <w:rPr>
          <w:rFonts w:cstheme="minorHAnsi"/>
          <w:lang w:val="es-ES_tradnl"/>
        </w:rPr>
        <w:t>Δ</w:t>
      </w:r>
      <w:r w:rsidR="004534F9">
        <w:rPr>
          <w:lang w:val="es-ES_tradnl"/>
        </w:rPr>
        <w:t xml:space="preserve">TESS, </w:t>
      </w:r>
      <w:r w:rsidR="00F96934">
        <w:rPr>
          <w:lang w:val="es-ES_tradnl"/>
        </w:rPr>
        <w:t xml:space="preserve">Silueta y Pseudo-F. </w:t>
      </w:r>
      <w:r w:rsidR="00551E55">
        <w:rPr>
          <w:lang w:val="es-ES_tradnl"/>
        </w:rPr>
        <w:t xml:space="preserve">En concreto, </w:t>
      </w:r>
      <w:r w:rsidR="00D46EEF">
        <w:rPr>
          <w:lang w:val="es-ES_tradnl"/>
        </w:rPr>
        <w:t xml:space="preserve">se dispone de un listado: </w:t>
      </w:r>
    </w:p>
    <w:p w14:paraId="5CAA8B93" w14:textId="4C8F3F4C" w:rsidR="00D45D9E" w:rsidRDefault="00385059" w:rsidP="00D45D9E">
      <w:pPr>
        <w:pStyle w:val="Prrafodelista"/>
        <w:spacing w:before="120" w:after="120" w:line="360" w:lineRule="auto"/>
        <w:ind w:left="714" w:firstLine="420"/>
        <w:jc w:val="both"/>
        <w:rPr>
          <w:lang w:val="es-ES_tradnl"/>
        </w:rPr>
      </w:pPr>
      <w:r>
        <w:rPr>
          <w:lang w:val="es-ES_tradnl"/>
        </w:rPr>
        <w:t>G</w:t>
      </w:r>
      <w:r w:rsidRPr="008215AD">
        <w:rPr>
          <w:vertAlign w:val="subscript"/>
          <w:lang w:val="es-ES_tradnl"/>
        </w:rPr>
        <w:t>1</w:t>
      </w:r>
      <w:proofErr w:type="gramStart"/>
      <w:r>
        <w:rPr>
          <w:lang w:val="es-ES_tradnl"/>
        </w:rPr>
        <w:t>={</w:t>
      </w:r>
      <w:proofErr w:type="gramEnd"/>
      <w:r w:rsidR="00E67D19">
        <w:rPr>
          <w:lang w:val="es-ES_tradnl"/>
        </w:rPr>
        <w:t>P</w:t>
      </w:r>
      <w:r w:rsidR="00E67D19" w:rsidRPr="00D6014C">
        <w:rPr>
          <w:vertAlign w:val="subscript"/>
          <w:lang w:val="es-ES_tradnl"/>
        </w:rPr>
        <w:t>11</w:t>
      </w:r>
      <w:r w:rsidR="008215AD">
        <w:rPr>
          <w:lang w:val="es-ES_tradnl"/>
        </w:rPr>
        <w:t>, P</w:t>
      </w:r>
      <w:r w:rsidR="008215AD" w:rsidRPr="00D6014C">
        <w:rPr>
          <w:vertAlign w:val="subscript"/>
          <w:lang w:val="es-ES_tradnl"/>
        </w:rPr>
        <w:t>12</w:t>
      </w:r>
      <w:r w:rsidR="008215AD">
        <w:rPr>
          <w:lang w:val="es-ES_tradnl"/>
        </w:rPr>
        <w:t>,…., P</w:t>
      </w:r>
      <w:r w:rsidR="008215AD" w:rsidRPr="00D6014C">
        <w:rPr>
          <w:vertAlign w:val="subscript"/>
          <w:lang w:val="es-ES_tradnl"/>
        </w:rPr>
        <w:t>1</w:t>
      </w:r>
      <w:r w:rsidR="00D6014C" w:rsidRPr="00D6014C">
        <w:rPr>
          <w:vertAlign w:val="subscript"/>
          <w:lang w:val="es-ES_tradnl"/>
        </w:rPr>
        <w:t>n1</w:t>
      </w:r>
      <w:r>
        <w:rPr>
          <w:lang w:val="es-ES_tradnl"/>
        </w:rPr>
        <w:t>}</w:t>
      </w:r>
      <w:r w:rsidR="00A456D4">
        <w:rPr>
          <w:lang w:val="es-ES_tradnl"/>
        </w:rPr>
        <w:t xml:space="preserve">; </w:t>
      </w:r>
      <w:r w:rsidR="00D45D9E">
        <w:rPr>
          <w:lang w:val="es-ES_tradnl"/>
        </w:rPr>
        <w:t>G</w:t>
      </w:r>
      <w:r w:rsidR="00D45D9E">
        <w:rPr>
          <w:vertAlign w:val="subscript"/>
          <w:lang w:val="es-ES_tradnl"/>
        </w:rPr>
        <w:t>2</w:t>
      </w:r>
      <w:r w:rsidR="00D45D9E">
        <w:rPr>
          <w:lang w:val="es-ES_tradnl"/>
        </w:rPr>
        <w:t>={P</w:t>
      </w:r>
      <w:r w:rsidR="00D46EEF">
        <w:rPr>
          <w:vertAlign w:val="subscript"/>
          <w:lang w:val="es-ES_tradnl"/>
        </w:rPr>
        <w:t>2</w:t>
      </w:r>
      <w:r w:rsidR="00D45D9E" w:rsidRPr="00D6014C">
        <w:rPr>
          <w:vertAlign w:val="subscript"/>
          <w:lang w:val="es-ES_tradnl"/>
        </w:rPr>
        <w:t>1</w:t>
      </w:r>
      <w:r w:rsidR="00D45D9E">
        <w:rPr>
          <w:lang w:val="es-ES_tradnl"/>
        </w:rPr>
        <w:t>, P</w:t>
      </w:r>
      <w:r w:rsidR="00D46EEF">
        <w:rPr>
          <w:vertAlign w:val="subscript"/>
          <w:lang w:val="es-ES_tradnl"/>
        </w:rPr>
        <w:t>2</w:t>
      </w:r>
      <w:r w:rsidR="00D45D9E" w:rsidRPr="00D6014C">
        <w:rPr>
          <w:vertAlign w:val="subscript"/>
          <w:lang w:val="es-ES_tradnl"/>
        </w:rPr>
        <w:t>2</w:t>
      </w:r>
      <w:r w:rsidR="00D45D9E">
        <w:rPr>
          <w:lang w:val="es-ES_tradnl"/>
        </w:rPr>
        <w:t>,…., P</w:t>
      </w:r>
      <w:r w:rsidR="00D46EEF">
        <w:rPr>
          <w:vertAlign w:val="subscript"/>
          <w:lang w:val="es-ES_tradnl"/>
        </w:rPr>
        <w:t>2</w:t>
      </w:r>
      <w:r w:rsidR="00D45D9E" w:rsidRPr="00D6014C">
        <w:rPr>
          <w:vertAlign w:val="subscript"/>
          <w:lang w:val="es-ES_tradnl"/>
        </w:rPr>
        <w:t>n</w:t>
      </w:r>
      <w:r w:rsidR="00D46EEF">
        <w:rPr>
          <w:vertAlign w:val="subscript"/>
          <w:lang w:val="es-ES_tradnl"/>
        </w:rPr>
        <w:t>2</w:t>
      </w:r>
      <w:r w:rsidR="00D45D9E">
        <w:rPr>
          <w:lang w:val="es-ES_tradnl"/>
        </w:rPr>
        <w:t>}</w:t>
      </w:r>
      <w:r w:rsidR="00A456D4">
        <w:rPr>
          <w:lang w:val="es-ES_tradnl"/>
        </w:rPr>
        <w:t xml:space="preserve">; …..; </w:t>
      </w:r>
      <w:r w:rsidR="00D45D9E">
        <w:rPr>
          <w:lang w:val="es-ES_tradnl"/>
        </w:rPr>
        <w:t>G</w:t>
      </w:r>
      <w:r w:rsidR="00950081">
        <w:rPr>
          <w:vertAlign w:val="subscript"/>
          <w:lang w:val="es-ES_tradnl"/>
        </w:rPr>
        <w:t>s</w:t>
      </w:r>
      <w:r w:rsidR="00D45D9E">
        <w:rPr>
          <w:lang w:val="es-ES_tradnl"/>
        </w:rPr>
        <w:t>={P</w:t>
      </w:r>
      <w:r w:rsidR="00950081">
        <w:rPr>
          <w:lang w:val="es-ES_tradnl"/>
        </w:rPr>
        <w:t>s</w:t>
      </w:r>
      <w:r w:rsidR="00D45D9E" w:rsidRPr="00D6014C">
        <w:rPr>
          <w:vertAlign w:val="subscript"/>
          <w:lang w:val="es-ES_tradnl"/>
        </w:rPr>
        <w:t>1</w:t>
      </w:r>
      <w:r w:rsidR="00D45D9E">
        <w:rPr>
          <w:lang w:val="es-ES_tradnl"/>
        </w:rPr>
        <w:t>, P</w:t>
      </w:r>
      <w:r w:rsidR="00950081">
        <w:rPr>
          <w:vertAlign w:val="subscript"/>
          <w:lang w:val="es-ES_tradnl"/>
        </w:rPr>
        <w:t>s2</w:t>
      </w:r>
      <w:r w:rsidR="00D45D9E">
        <w:rPr>
          <w:lang w:val="es-ES_tradnl"/>
        </w:rPr>
        <w:t xml:space="preserve">,…., </w:t>
      </w:r>
      <w:proofErr w:type="spellStart"/>
      <w:r w:rsidR="00D45D9E">
        <w:rPr>
          <w:lang w:val="es-ES_tradnl"/>
        </w:rPr>
        <w:t>P</w:t>
      </w:r>
      <w:r w:rsidR="00950081">
        <w:rPr>
          <w:vertAlign w:val="subscript"/>
          <w:lang w:val="es-ES_tradnl"/>
        </w:rPr>
        <w:t>s</w:t>
      </w:r>
      <w:r w:rsidR="00D45D9E" w:rsidRPr="00D6014C">
        <w:rPr>
          <w:vertAlign w:val="subscript"/>
          <w:lang w:val="es-ES_tradnl"/>
        </w:rPr>
        <w:t>n</w:t>
      </w:r>
      <w:r w:rsidR="00950081">
        <w:rPr>
          <w:vertAlign w:val="subscript"/>
          <w:lang w:val="es-ES_tradnl"/>
        </w:rPr>
        <w:t>s</w:t>
      </w:r>
      <w:proofErr w:type="spellEnd"/>
      <w:r w:rsidR="00D45D9E">
        <w:rPr>
          <w:lang w:val="es-ES_tradnl"/>
        </w:rPr>
        <w:t>}</w:t>
      </w:r>
    </w:p>
    <w:p w14:paraId="0D8BF205" w14:textId="265C2FC5" w:rsidR="00B62EDE" w:rsidRDefault="008830F9" w:rsidP="00F73AB9">
      <w:pPr>
        <w:pStyle w:val="Prrafodelista"/>
        <w:numPr>
          <w:ilvl w:val="0"/>
          <w:numId w:val="1"/>
        </w:numPr>
        <w:spacing w:before="120" w:after="120" w:line="360" w:lineRule="auto"/>
        <w:ind w:left="714" w:hanging="357"/>
        <w:jc w:val="both"/>
        <w:rPr>
          <w:lang w:val="es-ES_tradnl"/>
        </w:rPr>
      </w:pPr>
      <w:r w:rsidRPr="00B62EDE">
        <w:rPr>
          <w:b/>
          <w:bCs/>
          <w:lang w:val="es-ES_tradnl"/>
        </w:rPr>
        <w:t>Representación gráfica</w:t>
      </w:r>
      <w:r>
        <w:rPr>
          <w:lang w:val="es-ES_tradnl"/>
        </w:rPr>
        <w:t xml:space="preserve">. En </w:t>
      </w:r>
      <w:r w:rsidR="00EC5BEE">
        <w:rPr>
          <w:lang w:val="es-ES_tradnl"/>
        </w:rPr>
        <w:t xml:space="preserve">geolocalización </w:t>
      </w:r>
      <w:r w:rsidR="00B62EDE">
        <w:rPr>
          <w:lang w:val="es-ES_tradnl"/>
        </w:rPr>
        <w:t>(Figura 1a) o en un espacio de dimensión reducida (MDS) (Figura 1b)</w:t>
      </w:r>
    </w:p>
    <w:tbl>
      <w:tblPr>
        <w:tblStyle w:val="Tablaconcuadrcula"/>
        <w:tblW w:w="7503" w:type="dxa"/>
        <w:tblInd w:w="714" w:type="dxa"/>
        <w:tblLook w:val="04A0" w:firstRow="1" w:lastRow="0" w:firstColumn="1" w:lastColumn="0" w:noHBand="0" w:noVBand="1"/>
      </w:tblPr>
      <w:tblGrid>
        <w:gridCol w:w="3971"/>
        <w:gridCol w:w="3590"/>
      </w:tblGrid>
      <w:tr w:rsidR="003C100B" w14:paraId="0B66FDB4" w14:textId="77777777" w:rsidTr="004A0B52">
        <w:tc>
          <w:tcPr>
            <w:tcW w:w="3986" w:type="dxa"/>
          </w:tcPr>
          <w:p w14:paraId="57B3AE8C" w14:textId="524DBCDF" w:rsidR="003C100B" w:rsidRDefault="003C100B" w:rsidP="003C100B">
            <w:pPr>
              <w:pStyle w:val="Prrafodelista"/>
              <w:ind w:left="0"/>
              <w:jc w:val="both"/>
              <w:rPr>
                <w:b/>
                <w:bCs/>
                <w:noProof/>
                <w:lang w:val="es-ES_tradnl"/>
              </w:rPr>
            </w:pPr>
            <w:r>
              <w:rPr>
                <w:b/>
                <w:bCs/>
                <w:noProof/>
                <w:lang w:val="es-ES_tradnl"/>
              </w:rPr>
              <w:t>a)</w:t>
            </w:r>
          </w:p>
          <w:p w14:paraId="42B53970" w14:textId="7983FDFC" w:rsidR="00861B21" w:rsidRDefault="00861B21" w:rsidP="003C100B">
            <w:pPr>
              <w:pStyle w:val="Prrafodelista"/>
              <w:ind w:left="0"/>
              <w:jc w:val="both"/>
              <w:rPr>
                <w:b/>
                <w:bCs/>
                <w:lang w:val="es-ES_tradnl"/>
              </w:rPr>
            </w:pPr>
            <w:r w:rsidRPr="00861B21">
              <w:rPr>
                <w:b/>
                <w:bCs/>
                <w:noProof/>
                <w:lang w:val="es-ES_tradnl"/>
              </w:rPr>
              <w:drawing>
                <wp:inline distT="0" distB="0" distL="0" distR="0" wp14:anchorId="08631EB3" wp14:editId="026B2C48">
                  <wp:extent cx="2384612" cy="1843016"/>
                  <wp:effectExtent l="0" t="0" r="0" b="5080"/>
                  <wp:docPr id="20474860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30" cy="185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7" w:type="dxa"/>
          </w:tcPr>
          <w:p w14:paraId="1EE61882" w14:textId="4AD32D9C" w:rsidR="003C100B" w:rsidRDefault="003C100B" w:rsidP="003C100B">
            <w:pPr>
              <w:pStyle w:val="Prrafodelista"/>
              <w:ind w:left="0"/>
              <w:rPr>
                <w:b/>
                <w:bCs/>
                <w:noProof/>
                <w:lang w:val="es-ES_tradnl"/>
              </w:rPr>
            </w:pPr>
            <w:r>
              <w:rPr>
                <w:b/>
                <w:bCs/>
                <w:noProof/>
                <w:lang w:val="es-ES_tradnl"/>
              </w:rPr>
              <w:t>b)</w:t>
            </w:r>
          </w:p>
          <w:p w14:paraId="3D694ACA" w14:textId="0B538A1C" w:rsidR="00861B21" w:rsidRDefault="003C100B" w:rsidP="004A0B52">
            <w:pPr>
              <w:pStyle w:val="Prrafodelista"/>
              <w:ind w:left="0"/>
              <w:rPr>
                <w:b/>
                <w:bCs/>
                <w:lang w:val="es-ES_tradnl"/>
              </w:rPr>
            </w:pPr>
            <w:r w:rsidRPr="003C100B"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DDA7350" wp14:editId="08075DE8">
                  <wp:extent cx="2142565" cy="1925142"/>
                  <wp:effectExtent l="0" t="0" r="0" b="0"/>
                  <wp:docPr id="61888719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386" cy="194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715CA" w14:textId="57DFA737" w:rsidR="00B62EDE" w:rsidRPr="00B834B8" w:rsidRDefault="004A0B52" w:rsidP="00447407">
      <w:pPr>
        <w:pStyle w:val="Prrafodelista"/>
        <w:spacing w:before="120" w:after="120" w:line="360" w:lineRule="auto"/>
        <w:ind w:left="714"/>
        <w:jc w:val="center"/>
        <w:rPr>
          <w:lang w:val="es-ES_tradnl"/>
        </w:rPr>
      </w:pPr>
      <w:r>
        <w:rPr>
          <w:b/>
          <w:bCs/>
          <w:lang w:val="es-ES_tradnl"/>
        </w:rPr>
        <w:t xml:space="preserve">Figura 1. </w:t>
      </w:r>
      <w:r w:rsidRPr="00B834B8">
        <w:rPr>
          <w:lang w:val="es-ES_tradnl"/>
        </w:rPr>
        <w:t xml:space="preserve">a) Representación </w:t>
      </w:r>
      <w:r w:rsidR="00B834B8" w:rsidRPr="00B834B8">
        <w:rPr>
          <w:lang w:val="es-ES_tradnl"/>
        </w:rPr>
        <w:t>geográfica de la clasificación, b) representación MDS.</w:t>
      </w:r>
    </w:p>
    <w:p w14:paraId="572EB7A3" w14:textId="77777777" w:rsidR="00AB483F" w:rsidRDefault="00AB483F" w:rsidP="00AB483F">
      <w:pPr>
        <w:spacing w:after="120" w:line="360" w:lineRule="auto"/>
        <w:jc w:val="center"/>
        <w:rPr>
          <w:lang w:val="es-ES_tradnl"/>
        </w:rPr>
      </w:pPr>
      <w:r>
        <w:rPr>
          <w:lang w:val="es-ES_tradnl"/>
        </w:rPr>
        <w:t>--------------------------------------</w:t>
      </w:r>
    </w:p>
    <w:p w14:paraId="47A9EAB2" w14:textId="309D3BD2" w:rsidR="001E35D4" w:rsidRDefault="00E46147" w:rsidP="00EE154C">
      <w:pPr>
        <w:spacing w:after="120" w:line="360" w:lineRule="auto"/>
        <w:jc w:val="both"/>
        <w:rPr>
          <w:lang w:val="es-ES_tradnl"/>
        </w:rPr>
      </w:pPr>
      <w:r>
        <w:rPr>
          <w:b/>
          <w:bCs/>
          <w:lang w:val="es-ES_tradnl"/>
        </w:rPr>
        <w:t>Problem</w:t>
      </w:r>
      <w:r w:rsidR="00EE154C">
        <w:rPr>
          <w:b/>
          <w:bCs/>
          <w:lang w:val="es-ES_tradnl"/>
        </w:rPr>
        <w:t>a</w:t>
      </w:r>
      <w:r>
        <w:rPr>
          <w:b/>
          <w:bCs/>
          <w:lang w:val="es-ES_tradnl"/>
        </w:rPr>
        <w:t>.</w:t>
      </w:r>
      <w:r w:rsidR="00447407">
        <w:rPr>
          <w:lang w:val="es-ES_tradnl"/>
        </w:rPr>
        <w:t xml:space="preserve"> </w:t>
      </w:r>
      <w:r>
        <w:rPr>
          <w:lang w:val="es-ES_tradnl"/>
        </w:rPr>
        <w:t>Interpreta</w:t>
      </w:r>
      <w:r w:rsidR="00EE154C">
        <w:rPr>
          <w:lang w:val="es-ES_tradnl"/>
        </w:rPr>
        <w:t>r</w:t>
      </w:r>
      <w:r>
        <w:rPr>
          <w:lang w:val="es-ES_tradnl"/>
        </w:rPr>
        <w:t xml:space="preserve"> lingüística</w:t>
      </w:r>
      <w:r w:rsidR="00EE154C">
        <w:rPr>
          <w:lang w:val="es-ES_tradnl"/>
        </w:rPr>
        <w:t>mente</w:t>
      </w:r>
      <w:r>
        <w:rPr>
          <w:lang w:val="es-ES_tradnl"/>
        </w:rPr>
        <w:t xml:space="preserve"> los grupos</w:t>
      </w:r>
      <w:r w:rsidR="0005799F">
        <w:rPr>
          <w:lang w:val="es-ES_tradnl"/>
        </w:rPr>
        <w:t xml:space="preserve">: </w:t>
      </w:r>
      <w:r w:rsidR="003A6281">
        <w:rPr>
          <w:lang w:val="es-ES_tradnl"/>
        </w:rPr>
        <w:t xml:space="preserve">¿qué caracteriza los grupos? y </w:t>
      </w:r>
      <w:r w:rsidR="00C305FE">
        <w:rPr>
          <w:lang w:val="es-ES_tradnl"/>
        </w:rPr>
        <w:t>¿</w:t>
      </w:r>
      <w:r w:rsidR="003A6281">
        <w:rPr>
          <w:lang w:val="es-ES_tradnl"/>
        </w:rPr>
        <w:t>e</w:t>
      </w:r>
      <w:r w:rsidR="00C305FE">
        <w:rPr>
          <w:lang w:val="es-ES_tradnl"/>
        </w:rPr>
        <w:t>n qué se diferencian los grupos G</w:t>
      </w:r>
      <w:r w:rsidR="00C305FE" w:rsidRPr="001E35D4">
        <w:rPr>
          <w:vertAlign w:val="subscript"/>
          <w:lang w:val="es-ES_tradnl"/>
        </w:rPr>
        <w:t xml:space="preserve">i </w:t>
      </w:r>
      <w:r w:rsidR="00C305FE">
        <w:rPr>
          <w:lang w:val="es-ES_tradnl"/>
        </w:rPr>
        <w:t xml:space="preserve">y </w:t>
      </w:r>
      <w:proofErr w:type="spellStart"/>
      <w:proofErr w:type="gramStart"/>
      <w:r w:rsidR="00C305FE">
        <w:rPr>
          <w:lang w:val="es-ES_tradnl"/>
        </w:rPr>
        <w:t>G</w:t>
      </w:r>
      <w:r w:rsidR="00C305FE" w:rsidRPr="001E35D4">
        <w:rPr>
          <w:vertAlign w:val="subscript"/>
          <w:lang w:val="es-ES_tradnl"/>
        </w:rPr>
        <w:t>j</w:t>
      </w:r>
      <w:proofErr w:type="spellEnd"/>
      <w:r w:rsidR="00C305FE">
        <w:rPr>
          <w:lang w:val="es-ES_tradnl"/>
        </w:rPr>
        <w:t>?</w:t>
      </w:r>
      <w:r w:rsidR="0005799F">
        <w:rPr>
          <w:lang w:val="es-ES_tradnl"/>
        </w:rPr>
        <w:t>.</w:t>
      </w:r>
      <w:proofErr w:type="gramEnd"/>
      <w:r w:rsidR="0005799F">
        <w:rPr>
          <w:lang w:val="es-ES_tradnl"/>
        </w:rPr>
        <w:t xml:space="preserve"> </w:t>
      </w:r>
    </w:p>
    <w:p w14:paraId="11DFFBFC" w14:textId="779A5EE4" w:rsidR="00EE154C" w:rsidRPr="00563C6E" w:rsidRDefault="005321E6" w:rsidP="00447407">
      <w:pPr>
        <w:spacing w:after="0" w:line="360" w:lineRule="auto"/>
        <w:jc w:val="both"/>
        <w:rPr>
          <w:lang w:val="es-ES_tradnl"/>
        </w:rPr>
      </w:pPr>
      <w:r w:rsidRPr="005321E6">
        <w:rPr>
          <w:b/>
          <w:bCs/>
          <w:lang w:val="es-ES_tradnl"/>
        </w:rPr>
        <w:t>Propuesta conceptual</w:t>
      </w:r>
      <w:r>
        <w:rPr>
          <w:lang w:val="es-ES_tradnl"/>
        </w:rPr>
        <w:t xml:space="preserve">. </w:t>
      </w:r>
      <w:r w:rsidR="00112C0B" w:rsidRPr="00112C0B">
        <w:rPr>
          <w:lang w:val="es-ES_tradnl"/>
        </w:rPr>
        <w:t>P</w:t>
      </w:r>
      <w:r w:rsidR="009C21C4" w:rsidRPr="00112C0B">
        <w:rPr>
          <w:lang w:val="es-ES_tradnl"/>
        </w:rPr>
        <w:t>la</w:t>
      </w:r>
      <w:r w:rsidR="009C21C4">
        <w:rPr>
          <w:lang w:val="es-ES_tradnl"/>
        </w:rPr>
        <w:t xml:space="preserve">nteamos los conceptos de </w:t>
      </w:r>
      <w:r w:rsidR="00152F59">
        <w:rPr>
          <w:lang w:val="es-ES_tradnl"/>
        </w:rPr>
        <w:t xml:space="preserve">ítem </w:t>
      </w:r>
      <w:r w:rsidR="009C21C4">
        <w:rPr>
          <w:lang w:val="es-ES_tradnl"/>
        </w:rPr>
        <w:t>estab</w:t>
      </w:r>
      <w:r w:rsidR="00152F59">
        <w:rPr>
          <w:lang w:val="es-ES_tradnl"/>
        </w:rPr>
        <w:t xml:space="preserve">le </w:t>
      </w:r>
      <w:r w:rsidR="00FD1754">
        <w:rPr>
          <w:lang w:val="es-ES_tradnl"/>
        </w:rPr>
        <w:t>dentro de grupo</w:t>
      </w:r>
      <w:r w:rsidR="001E512C">
        <w:rPr>
          <w:lang w:val="es-ES_tradnl"/>
        </w:rPr>
        <w:t xml:space="preserve">, ítem variable </w:t>
      </w:r>
      <w:r w:rsidR="00FD1754">
        <w:rPr>
          <w:lang w:val="es-ES_tradnl"/>
        </w:rPr>
        <w:t xml:space="preserve">entre grupos </w:t>
      </w:r>
      <w:r w:rsidR="007C719F">
        <w:rPr>
          <w:lang w:val="es-ES_tradnl"/>
        </w:rPr>
        <w:t xml:space="preserve">y admitimos que </w:t>
      </w:r>
      <w:r w:rsidR="00152F59">
        <w:rPr>
          <w:lang w:val="es-ES_tradnl"/>
        </w:rPr>
        <w:t xml:space="preserve">los ítems que presentan un comportamiento diferencial </w:t>
      </w:r>
      <w:r w:rsidR="00112C0B">
        <w:rPr>
          <w:lang w:val="es-ES_tradnl"/>
        </w:rPr>
        <w:t xml:space="preserve">entre dos grupos </w:t>
      </w:r>
      <w:r w:rsidR="00F04925">
        <w:rPr>
          <w:lang w:val="es-ES_tradnl"/>
        </w:rPr>
        <w:t xml:space="preserve">son </w:t>
      </w:r>
      <w:r w:rsidR="007F18A8">
        <w:rPr>
          <w:lang w:val="es-ES_tradnl"/>
        </w:rPr>
        <w:t xml:space="preserve">los ítems </w:t>
      </w:r>
      <w:r w:rsidR="00F04925">
        <w:rPr>
          <w:lang w:val="es-ES_tradnl"/>
        </w:rPr>
        <w:t xml:space="preserve">estables dentro de sus grupos y variables entre los grupos. </w:t>
      </w:r>
    </w:p>
    <w:p w14:paraId="7A47CE93" w14:textId="21F5C78E" w:rsidR="00B62EDE" w:rsidRDefault="007F18A8" w:rsidP="00BD5644">
      <w:pPr>
        <w:spacing w:before="120" w:after="120" w:line="360" w:lineRule="auto"/>
        <w:jc w:val="both"/>
        <w:rPr>
          <w:lang w:val="es-ES_tradnl"/>
        </w:rPr>
      </w:pPr>
      <w:r>
        <w:rPr>
          <w:b/>
          <w:bCs/>
          <w:lang w:val="es-ES_tradnl"/>
        </w:rPr>
        <w:t xml:space="preserve">Estabilidad </w:t>
      </w:r>
      <w:r w:rsidR="006E7EE5">
        <w:rPr>
          <w:b/>
          <w:bCs/>
          <w:lang w:val="es-ES_tradnl"/>
        </w:rPr>
        <w:t>dentro de grupo</w:t>
      </w:r>
      <w:r w:rsidR="000E4CC8">
        <w:rPr>
          <w:b/>
          <w:bCs/>
          <w:lang w:val="es-ES_tradnl"/>
        </w:rPr>
        <w:t>,</w:t>
      </w:r>
      <w:r>
        <w:rPr>
          <w:b/>
          <w:bCs/>
          <w:lang w:val="es-ES_tradnl"/>
        </w:rPr>
        <w:t xml:space="preserve"> variabilidad</w:t>
      </w:r>
      <w:r w:rsidR="006E7EE5">
        <w:rPr>
          <w:b/>
          <w:bCs/>
          <w:lang w:val="es-ES_tradnl"/>
        </w:rPr>
        <w:t xml:space="preserve"> </w:t>
      </w:r>
      <w:r w:rsidR="000E4CC8">
        <w:rPr>
          <w:b/>
          <w:bCs/>
          <w:lang w:val="es-ES_tradnl"/>
        </w:rPr>
        <w:t xml:space="preserve">y diferenciación </w:t>
      </w:r>
      <w:r w:rsidR="006E7EE5">
        <w:rPr>
          <w:b/>
          <w:bCs/>
          <w:lang w:val="es-ES_tradnl"/>
        </w:rPr>
        <w:t>entre grupos</w:t>
      </w:r>
      <w:r>
        <w:rPr>
          <w:b/>
          <w:bCs/>
          <w:lang w:val="es-ES_tradnl"/>
        </w:rPr>
        <w:t>.</w:t>
      </w:r>
      <w:r w:rsidR="005B0F2F">
        <w:rPr>
          <w:b/>
          <w:bCs/>
          <w:lang w:val="es-ES_tradnl"/>
        </w:rPr>
        <w:t xml:space="preserve"> </w:t>
      </w:r>
      <w:r w:rsidR="005B0F2F" w:rsidRPr="005A2657">
        <w:rPr>
          <w:lang w:val="es-ES_tradnl"/>
        </w:rPr>
        <w:t>La</w:t>
      </w:r>
      <w:r w:rsidR="005B0F2F">
        <w:rPr>
          <w:lang w:val="es-ES_tradnl"/>
        </w:rPr>
        <w:t xml:space="preserve"> estabilidad dentro de un grupo </w:t>
      </w:r>
      <w:r w:rsidR="005E5053">
        <w:rPr>
          <w:lang w:val="es-ES_tradnl"/>
        </w:rPr>
        <w:t>G</w:t>
      </w:r>
      <w:r w:rsidR="00051899">
        <w:rPr>
          <w:vertAlign w:val="subscript"/>
          <w:lang w:val="es-ES_tradnl"/>
        </w:rPr>
        <w:t>i</w:t>
      </w:r>
      <w:r w:rsidR="005E5053">
        <w:rPr>
          <w:lang w:val="es-ES_tradnl"/>
        </w:rPr>
        <w:t xml:space="preserve"> </w:t>
      </w:r>
      <w:r w:rsidR="00051899">
        <w:rPr>
          <w:lang w:val="es-ES_tradnl"/>
        </w:rPr>
        <w:t>(</w:t>
      </w:r>
      <w:r w:rsidR="005E5053">
        <w:rPr>
          <w:lang w:val="es-ES_tradnl"/>
        </w:rPr>
        <w:t>G</w:t>
      </w:r>
      <w:r w:rsidR="00051899">
        <w:rPr>
          <w:vertAlign w:val="subscript"/>
          <w:lang w:val="es-ES_tradnl"/>
        </w:rPr>
        <w:t>i</w:t>
      </w:r>
      <w:proofErr w:type="gramStart"/>
      <w:r w:rsidR="005E5053">
        <w:rPr>
          <w:lang w:val="es-ES_tradnl"/>
        </w:rPr>
        <w:t>={</w:t>
      </w:r>
      <w:proofErr w:type="gramEnd"/>
      <w:r w:rsidR="005E5053">
        <w:rPr>
          <w:lang w:val="es-ES_tradnl"/>
        </w:rPr>
        <w:t>P</w:t>
      </w:r>
      <w:r w:rsidR="00051899">
        <w:rPr>
          <w:vertAlign w:val="subscript"/>
          <w:lang w:val="es-ES_tradnl"/>
        </w:rPr>
        <w:t>i</w:t>
      </w:r>
      <w:r w:rsidR="005E5053" w:rsidRPr="00D6014C">
        <w:rPr>
          <w:vertAlign w:val="subscript"/>
          <w:lang w:val="es-ES_tradnl"/>
        </w:rPr>
        <w:t>1</w:t>
      </w:r>
      <w:r w:rsidR="005E5053">
        <w:rPr>
          <w:lang w:val="es-ES_tradnl"/>
        </w:rPr>
        <w:t>, P</w:t>
      </w:r>
      <w:r w:rsidR="00051899">
        <w:rPr>
          <w:vertAlign w:val="subscript"/>
          <w:lang w:val="es-ES_tradnl"/>
        </w:rPr>
        <w:t>i</w:t>
      </w:r>
      <w:r w:rsidR="005E5053" w:rsidRPr="00D6014C">
        <w:rPr>
          <w:vertAlign w:val="subscript"/>
          <w:lang w:val="es-ES_tradnl"/>
        </w:rPr>
        <w:t>2</w:t>
      </w:r>
      <w:r w:rsidR="005E5053">
        <w:rPr>
          <w:lang w:val="es-ES_tradnl"/>
        </w:rPr>
        <w:t>,…., P</w:t>
      </w:r>
      <w:r w:rsidR="00051899">
        <w:rPr>
          <w:vertAlign w:val="subscript"/>
          <w:lang w:val="es-ES_tradnl"/>
        </w:rPr>
        <w:t>i</w:t>
      </w:r>
      <w:r w:rsidR="005E5053" w:rsidRPr="00D6014C">
        <w:rPr>
          <w:vertAlign w:val="subscript"/>
          <w:lang w:val="es-ES_tradnl"/>
        </w:rPr>
        <w:t>n</w:t>
      </w:r>
      <w:r w:rsidR="00051899">
        <w:rPr>
          <w:vertAlign w:val="subscript"/>
          <w:lang w:val="es-ES_tradnl"/>
        </w:rPr>
        <w:t>i</w:t>
      </w:r>
      <w:r w:rsidR="005E5053">
        <w:rPr>
          <w:lang w:val="es-ES_tradnl"/>
        </w:rPr>
        <w:t>}</w:t>
      </w:r>
      <w:r w:rsidR="008C2D28">
        <w:rPr>
          <w:lang w:val="es-ES_tradnl"/>
        </w:rPr>
        <w:t xml:space="preserve">) </w:t>
      </w:r>
      <w:r w:rsidR="007F3502">
        <w:rPr>
          <w:lang w:val="es-ES_tradnl"/>
        </w:rPr>
        <w:t xml:space="preserve">y la variabilidad y diferenciación entre </w:t>
      </w:r>
      <w:r w:rsidR="00E00681">
        <w:rPr>
          <w:lang w:val="es-ES_tradnl"/>
        </w:rPr>
        <w:t xml:space="preserve">dos </w:t>
      </w:r>
      <w:r w:rsidR="007F3502">
        <w:rPr>
          <w:lang w:val="es-ES_tradnl"/>
        </w:rPr>
        <w:t xml:space="preserve">grupos </w:t>
      </w:r>
      <w:r w:rsidR="00A5013B">
        <w:rPr>
          <w:lang w:val="es-ES_tradnl"/>
        </w:rPr>
        <w:t>G</w:t>
      </w:r>
      <w:r w:rsidR="00A5013B" w:rsidRPr="00E00681">
        <w:rPr>
          <w:vertAlign w:val="subscript"/>
          <w:lang w:val="es-ES_tradnl"/>
        </w:rPr>
        <w:t>i</w:t>
      </w:r>
      <w:r w:rsidR="00A5013B">
        <w:rPr>
          <w:lang w:val="es-ES_tradnl"/>
        </w:rPr>
        <w:t xml:space="preserve"> y </w:t>
      </w:r>
      <w:proofErr w:type="spellStart"/>
      <w:r w:rsidR="00A5013B">
        <w:rPr>
          <w:lang w:val="es-ES_tradnl"/>
        </w:rPr>
        <w:t>G</w:t>
      </w:r>
      <w:r w:rsidR="00A5013B" w:rsidRPr="00E00681">
        <w:rPr>
          <w:vertAlign w:val="subscript"/>
          <w:lang w:val="es-ES_tradnl"/>
        </w:rPr>
        <w:t>j</w:t>
      </w:r>
      <w:proofErr w:type="spellEnd"/>
      <w:r w:rsidR="004779A9">
        <w:rPr>
          <w:lang w:val="es-ES_tradnl"/>
        </w:rPr>
        <w:t xml:space="preserve"> </w:t>
      </w:r>
      <w:r w:rsidR="005B0F2F">
        <w:rPr>
          <w:lang w:val="es-ES_tradnl"/>
        </w:rPr>
        <w:t>puede evaluarse de maneras distintas</w:t>
      </w:r>
      <w:r w:rsidR="003B5FB6">
        <w:rPr>
          <w:lang w:val="es-ES_tradnl"/>
        </w:rPr>
        <w:t xml:space="preserve">. </w:t>
      </w:r>
      <w:r w:rsidR="00E20485">
        <w:rPr>
          <w:lang w:val="es-ES_tradnl"/>
        </w:rPr>
        <w:t>En este documento p</w:t>
      </w:r>
      <w:r w:rsidR="002F4C1C">
        <w:rPr>
          <w:lang w:val="es-ES_tradnl"/>
        </w:rPr>
        <w:t>roponemos tres alternativas</w:t>
      </w:r>
      <w:r w:rsidR="00A71537">
        <w:rPr>
          <w:lang w:val="es-ES_tradnl"/>
        </w:rPr>
        <w:t>.</w:t>
      </w:r>
    </w:p>
    <w:p w14:paraId="657478D0" w14:textId="4557AC46" w:rsidR="002F4C1C" w:rsidRDefault="002F4C1C" w:rsidP="002F4C1C">
      <w:pPr>
        <w:spacing w:after="120" w:line="360" w:lineRule="auto"/>
        <w:jc w:val="both"/>
        <w:rPr>
          <w:lang w:val="es-ES_tradnl"/>
        </w:rPr>
      </w:pPr>
      <w:r w:rsidRPr="005845AA">
        <w:rPr>
          <w:i/>
          <w:iCs/>
          <w:u w:val="single"/>
          <w:lang w:val="es-ES_tradnl"/>
        </w:rPr>
        <w:t>Alternativa 1</w:t>
      </w:r>
      <w:r>
        <w:rPr>
          <w:lang w:val="es-ES_tradnl"/>
        </w:rPr>
        <w:t xml:space="preserve">. </w:t>
      </w:r>
      <w:r w:rsidR="00E855BE">
        <w:rPr>
          <w:lang w:val="es-ES_tradnl"/>
        </w:rPr>
        <w:t xml:space="preserve">Para </w:t>
      </w:r>
      <w:r w:rsidR="00060AE1">
        <w:rPr>
          <w:lang w:val="es-ES_tradnl"/>
        </w:rPr>
        <w:t xml:space="preserve">la matriz de </w:t>
      </w:r>
      <w:proofErr w:type="spellStart"/>
      <w:r w:rsidR="00060AE1">
        <w:rPr>
          <w:lang w:val="es-ES_tradnl"/>
        </w:rPr>
        <w:t>interdistancias</w:t>
      </w:r>
      <w:proofErr w:type="spellEnd"/>
      <w:r w:rsidR="00060AE1">
        <w:rPr>
          <w:lang w:val="es-ES_tradnl"/>
        </w:rPr>
        <w:t xml:space="preserve"> restringida al </w:t>
      </w:r>
      <w:r w:rsidR="00B83E88">
        <w:rPr>
          <w:lang w:val="es-ES_tradnl"/>
        </w:rPr>
        <w:t>ítem h</w:t>
      </w:r>
      <w:r w:rsidR="00627271">
        <w:rPr>
          <w:lang w:val="es-ES_tradnl"/>
        </w:rPr>
        <w:t xml:space="preserve"> i para cada grupo G</w:t>
      </w:r>
      <w:r w:rsidR="00627271" w:rsidRPr="00627271">
        <w:rPr>
          <w:vertAlign w:val="subscript"/>
          <w:lang w:val="es-ES_tradnl"/>
        </w:rPr>
        <w:t>i</w:t>
      </w:r>
      <w:r w:rsidR="00627271">
        <w:rPr>
          <w:lang w:val="es-ES_tradnl"/>
        </w:rPr>
        <w:t xml:space="preserve">, </w:t>
      </w:r>
      <w:r w:rsidR="00B83E88">
        <w:rPr>
          <w:lang w:val="es-ES_tradnl"/>
        </w:rPr>
        <w:t>l</w:t>
      </w:r>
      <w:r w:rsidR="00B355F7">
        <w:rPr>
          <w:lang w:val="es-ES_tradnl"/>
        </w:rPr>
        <w:t xml:space="preserve">a media </w:t>
      </w:r>
      <w:r w:rsidR="00E17475">
        <w:rPr>
          <w:lang w:val="es-ES_tradnl"/>
        </w:rPr>
        <w:t xml:space="preserve">ponderada </w:t>
      </w:r>
      <w:r w:rsidR="00B355F7">
        <w:rPr>
          <w:lang w:val="es-ES_tradnl"/>
        </w:rPr>
        <w:t xml:space="preserve">de las </w:t>
      </w:r>
      <w:proofErr w:type="spellStart"/>
      <w:r w:rsidR="00B355F7">
        <w:rPr>
          <w:lang w:val="es-ES_tradnl"/>
        </w:rPr>
        <w:t>interdistancias</w:t>
      </w:r>
      <w:proofErr w:type="spellEnd"/>
      <w:r w:rsidR="00B355F7">
        <w:rPr>
          <w:lang w:val="es-ES_tradnl"/>
        </w:rPr>
        <w:t xml:space="preserve"> entre los elementos que forman el grupo </w:t>
      </w:r>
      <w:r w:rsidR="00590010">
        <w:rPr>
          <w:lang w:val="es-ES_tradnl"/>
        </w:rPr>
        <w:t>p</w:t>
      </w:r>
      <w:r w:rsidR="00FD51D4">
        <w:rPr>
          <w:lang w:val="es-ES_tradnl"/>
        </w:rPr>
        <w:t xml:space="preserve">ermite cuantificar la </w:t>
      </w:r>
      <w:r w:rsidR="00AE517F">
        <w:rPr>
          <w:lang w:val="es-ES_tradnl"/>
        </w:rPr>
        <w:t xml:space="preserve">estabilidad </w:t>
      </w:r>
      <w:r w:rsidR="00CC21B1">
        <w:rPr>
          <w:lang w:val="es-ES_tradnl"/>
        </w:rPr>
        <w:t>del ítem</w:t>
      </w:r>
      <w:r w:rsidR="00590010">
        <w:rPr>
          <w:lang w:val="es-ES_tradnl"/>
        </w:rPr>
        <w:t xml:space="preserve"> </w:t>
      </w:r>
      <w:r w:rsidR="000C0261">
        <w:rPr>
          <w:lang w:val="es-ES_tradnl"/>
        </w:rPr>
        <w:t xml:space="preserve">en el </w:t>
      </w:r>
      <w:r w:rsidR="00AE517F">
        <w:rPr>
          <w:lang w:val="es-ES_tradnl"/>
        </w:rPr>
        <w:t>grupo</w:t>
      </w:r>
      <w:r w:rsidR="00FC5E1E">
        <w:rPr>
          <w:lang w:val="es-ES_tradnl"/>
        </w:rPr>
        <w:t xml:space="preserve">. </w:t>
      </w:r>
      <w:r w:rsidR="00B416D3">
        <w:rPr>
          <w:lang w:val="es-ES_tradnl"/>
        </w:rPr>
        <w:t>Formalmente,</w:t>
      </w:r>
      <w:r w:rsidR="00FC5E1E">
        <w:rPr>
          <w:lang w:val="es-ES_tradnl"/>
        </w:rPr>
        <w:t xml:space="preserve"> </w:t>
      </w:r>
    </w:p>
    <w:p w14:paraId="0F091891" w14:textId="496DE463" w:rsidR="00697FD1" w:rsidRDefault="00702EF8" w:rsidP="00702EF8">
      <w:pPr>
        <w:spacing w:after="120" w:line="360" w:lineRule="auto"/>
        <w:jc w:val="center"/>
        <w:rPr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Est</m:t>
            </m:r>
          </m:e>
          <m:sub>
            <m:r>
              <w:rPr>
                <w:rFonts w:ascii="Cambria Math" w:hAnsi="Cambria Math"/>
                <w:lang w:val="es-ES_tradnl"/>
              </w:rPr>
              <m:t>1,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lang w:val="es-ES_tradnl"/>
              </w:rPr>
            </m:ctrlPr>
          </m:fPr>
          <m:num>
            <m:r>
              <w:rPr>
                <w:rFonts w:ascii="Cambria Math" w:hAnsi="Cambria Math"/>
                <w:lang w:val="es-ES_tradnl"/>
              </w:rPr>
              <m:t>2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naryPr>
              <m:sub>
                <m:r>
                  <w:rPr>
                    <w:rFonts w:ascii="Cambria Math" w:hAnsi="Cambria Math"/>
                    <w:lang w:val="es-ES_tradnl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s-ES_tradnl"/>
                      </w:rPr>
                      <m:t>l=k+1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il</m:t>
                        </m:r>
                      </m:sub>
                    </m:sSub>
                  </m:e>
                </m:nary>
              </m:e>
            </m:nary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s-ES_tradnl"/>
              </w:rPr>
            </m:ctrlPr>
          </m:naryPr>
          <m:sub>
            <m:r>
              <w:rPr>
                <w:rFonts w:ascii="Cambria Math" w:hAnsi="Cambria Math"/>
                <w:lang w:val="es-ES_tradnl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naryPr>
              <m:sub>
                <m:r>
                  <w:rPr>
                    <w:rFonts w:ascii="Cambria Math" w:hAnsi="Cambria Math"/>
                    <w:lang w:val="es-ES_tradnl"/>
                  </w:rPr>
                  <m:t>l=k+1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h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s-ES_tradn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il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)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il</m:t>
            </m:r>
          </m:sub>
        </m:sSub>
      </m:oMath>
    </w:p>
    <w:p w14:paraId="5807EAF7" w14:textId="6B276838" w:rsidR="00882DF4" w:rsidRDefault="00882DF4" w:rsidP="00B20362">
      <w:pPr>
        <w:spacing w:after="0"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siendo </w:t>
      </w:r>
      <w:proofErr w:type="spellStart"/>
      <w:r>
        <w:rPr>
          <w:lang w:val="es-ES_tradnl"/>
        </w:rPr>
        <w:t>u</w:t>
      </w:r>
      <w:r w:rsidRPr="008A7A70">
        <w:rPr>
          <w:vertAlign w:val="subscript"/>
          <w:lang w:val="es-ES_tradnl"/>
        </w:rPr>
        <w:t>ik</w:t>
      </w:r>
      <w:proofErr w:type="spellEnd"/>
      <w:r>
        <w:rPr>
          <w:lang w:val="es-ES_tradnl"/>
        </w:rPr>
        <w:t xml:space="preserve"> </w:t>
      </w:r>
      <w:r w:rsidR="008A7A70">
        <w:rPr>
          <w:lang w:val="es-ES_tradnl"/>
        </w:rPr>
        <w:t xml:space="preserve">y </w:t>
      </w:r>
      <w:proofErr w:type="spellStart"/>
      <w:r w:rsidR="008A7A70">
        <w:rPr>
          <w:lang w:val="es-ES_tradnl"/>
        </w:rPr>
        <w:t>u</w:t>
      </w:r>
      <w:r w:rsidR="008A7A70" w:rsidRPr="008A7A70">
        <w:rPr>
          <w:vertAlign w:val="subscript"/>
          <w:lang w:val="es-ES_tradnl"/>
        </w:rPr>
        <w:t>il</w:t>
      </w:r>
      <w:proofErr w:type="spellEnd"/>
      <w:r w:rsidR="008A7A70">
        <w:rPr>
          <w:lang w:val="es-ES_tradnl"/>
        </w:rPr>
        <w:t xml:space="preserve"> las probabilidades de pertenencia de</w:t>
      </w:r>
      <w:r w:rsidR="003E430F">
        <w:rPr>
          <w:lang w:val="es-ES_tradnl"/>
        </w:rPr>
        <w:t xml:space="preserve"> las poblaciones</w:t>
      </w:r>
      <w:r w:rsidR="008A7A70">
        <w:rPr>
          <w:lang w:val="es-ES_tradnl"/>
        </w:rPr>
        <w:t xml:space="preserve"> </w:t>
      </w:r>
      <w:proofErr w:type="spellStart"/>
      <w:r w:rsidR="008A7A70">
        <w:rPr>
          <w:lang w:val="es-ES_tradnl"/>
        </w:rPr>
        <w:t>P</w:t>
      </w:r>
      <w:r w:rsidR="008A7A70" w:rsidRPr="008A7A70">
        <w:rPr>
          <w:vertAlign w:val="subscript"/>
          <w:lang w:val="es-ES_tradnl"/>
        </w:rPr>
        <w:t>ik</w:t>
      </w:r>
      <w:proofErr w:type="spellEnd"/>
      <w:r w:rsidR="008A7A70">
        <w:rPr>
          <w:lang w:val="es-ES_tradnl"/>
        </w:rPr>
        <w:t xml:space="preserve"> y </w:t>
      </w:r>
      <w:proofErr w:type="spellStart"/>
      <w:r w:rsidR="008A7A70">
        <w:rPr>
          <w:lang w:val="es-ES_tradnl"/>
        </w:rPr>
        <w:t>P</w:t>
      </w:r>
      <w:r w:rsidR="008A7A70" w:rsidRPr="008A7A70">
        <w:rPr>
          <w:vertAlign w:val="subscript"/>
          <w:lang w:val="es-ES_tradnl"/>
        </w:rPr>
        <w:t>il</w:t>
      </w:r>
      <w:proofErr w:type="spellEnd"/>
      <w:r w:rsidR="008A7A70">
        <w:rPr>
          <w:lang w:val="es-ES_tradnl"/>
        </w:rPr>
        <w:t xml:space="preserve"> al grupo G</w:t>
      </w:r>
      <w:r w:rsidR="008A7A70" w:rsidRPr="001957C0">
        <w:rPr>
          <w:vertAlign w:val="subscript"/>
          <w:lang w:val="es-ES_tradnl"/>
        </w:rPr>
        <w:t>i</w:t>
      </w:r>
      <w:r w:rsidR="008A7A70">
        <w:rPr>
          <w:lang w:val="es-ES_tradnl"/>
        </w:rPr>
        <w:t>.</w:t>
      </w:r>
      <w:r w:rsidR="001B0087" w:rsidRPr="001B0087">
        <w:rPr>
          <w:lang w:val="es-ES_tradnl"/>
        </w:rPr>
        <w:t xml:space="preserve"> </w:t>
      </w:r>
      <w:r w:rsidR="009374C5">
        <w:rPr>
          <w:lang w:val="es-ES_tradnl"/>
        </w:rPr>
        <w:t xml:space="preserve">La implementación se justifica </w:t>
      </w:r>
      <w:r w:rsidR="004E0BC9">
        <w:rPr>
          <w:lang w:val="es-ES_tradnl"/>
        </w:rPr>
        <w:t xml:space="preserve">para minimizar </w:t>
      </w:r>
      <w:r w:rsidR="001B0087">
        <w:rPr>
          <w:lang w:val="es-ES_tradnl"/>
        </w:rPr>
        <w:t>el efecto de las poblaciones atípicas, de transición o frontera</w:t>
      </w:r>
      <w:r w:rsidR="00037A4F">
        <w:rPr>
          <w:lang w:val="es-ES_tradnl"/>
        </w:rPr>
        <w:t>.</w:t>
      </w:r>
    </w:p>
    <w:p w14:paraId="22AC84CB" w14:textId="1F8FA156" w:rsidR="00CC21B1" w:rsidRDefault="003E430F" w:rsidP="002F4C1C">
      <w:pPr>
        <w:spacing w:after="120" w:line="360" w:lineRule="auto"/>
        <w:jc w:val="both"/>
        <w:rPr>
          <w:lang w:val="es-ES_tradnl"/>
        </w:rPr>
      </w:pPr>
      <w:r>
        <w:rPr>
          <w:lang w:val="es-ES_tradnl"/>
        </w:rPr>
        <w:t>L</w:t>
      </w:r>
      <w:r w:rsidR="00917FE7">
        <w:rPr>
          <w:lang w:val="es-ES_tradnl"/>
        </w:rPr>
        <w:t xml:space="preserve">a variabilidad </w:t>
      </w:r>
      <w:r w:rsidR="00C04411">
        <w:rPr>
          <w:lang w:val="es-ES_tradnl"/>
        </w:rPr>
        <w:t xml:space="preserve">del ítem </w:t>
      </w:r>
      <w:r w:rsidR="00D66688">
        <w:rPr>
          <w:lang w:val="es-ES_tradnl"/>
        </w:rPr>
        <w:t>h en los grupos G</w:t>
      </w:r>
      <w:r w:rsidR="00D66688" w:rsidRPr="003E430F">
        <w:rPr>
          <w:vertAlign w:val="subscript"/>
          <w:lang w:val="es-ES_tradnl"/>
        </w:rPr>
        <w:t>i</w:t>
      </w:r>
      <w:r w:rsidR="00D66688">
        <w:rPr>
          <w:lang w:val="es-ES_tradnl"/>
        </w:rPr>
        <w:t xml:space="preserve"> y </w:t>
      </w:r>
      <w:proofErr w:type="spellStart"/>
      <w:r w:rsidR="00D66688">
        <w:rPr>
          <w:lang w:val="es-ES_tradnl"/>
        </w:rPr>
        <w:t>G</w:t>
      </w:r>
      <w:r w:rsidR="00D66688" w:rsidRPr="003E430F">
        <w:rPr>
          <w:vertAlign w:val="subscript"/>
          <w:lang w:val="es-ES_tradnl"/>
        </w:rPr>
        <w:t>j</w:t>
      </w:r>
      <w:proofErr w:type="spellEnd"/>
      <w:r w:rsidR="00D66688">
        <w:rPr>
          <w:lang w:val="es-ES_tradnl"/>
        </w:rPr>
        <w:t xml:space="preserve"> </w:t>
      </w:r>
      <w:r>
        <w:rPr>
          <w:lang w:val="es-ES_tradnl"/>
        </w:rPr>
        <w:t xml:space="preserve">se cuantifica </w:t>
      </w:r>
      <w:r w:rsidR="001248FB">
        <w:rPr>
          <w:lang w:val="es-ES_tradnl"/>
        </w:rPr>
        <w:t xml:space="preserve">en </w:t>
      </w:r>
      <w:r w:rsidR="00D66688">
        <w:rPr>
          <w:lang w:val="es-ES_tradnl"/>
        </w:rPr>
        <w:t xml:space="preserve">la media </w:t>
      </w:r>
      <w:r w:rsidR="001248FB">
        <w:rPr>
          <w:lang w:val="es-ES_tradnl"/>
        </w:rPr>
        <w:t xml:space="preserve">ponderada </w:t>
      </w:r>
      <w:r w:rsidR="00D66688">
        <w:rPr>
          <w:lang w:val="es-ES_tradnl"/>
        </w:rPr>
        <w:t xml:space="preserve">de las </w:t>
      </w:r>
      <w:proofErr w:type="spellStart"/>
      <w:r w:rsidR="00D66688">
        <w:rPr>
          <w:lang w:val="es-ES_tradnl"/>
        </w:rPr>
        <w:t>interdistancias</w:t>
      </w:r>
      <w:proofErr w:type="spellEnd"/>
      <w:r w:rsidR="00D66688">
        <w:rPr>
          <w:lang w:val="es-ES_tradnl"/>
        </w:rPr>
        <w:t xml:space="preserve"> </w:t>
      </w:r>
      <w:r w:rsidR="003F6009">
        <w:rPr>
          <w:lang w:val="es-ES_tradnl"/>
        </w:rPr>
        <w:t xml:space="preserve">entre </w:t>
      </w:r>
      <w:r w:rsidR="001248FB">
        <w:rPr>
          <w:lang w:val="es-ES_tradnl"/>
        </w:rPr>
        <w:t>elementos</w:t>
      </w:r>
      <w:r w:rsidR="003F6009">
        <w:rPr>
          <w:lang w:val="es-ES_tradnl"/>
        </w:rPr>
        <w:t xml:space="preserve"> de grupos distintos,</w:t>
      </w:r>
    </w:p>
    <w:p w14:paraId="0F48DBF0" w14:textId="1AB0076F" w:rsidR="00576BC8" w:rsidRPr="006F6D80" w:rsidRDefault="006F6D80" w:rsidP="00576BC8">
      <w:pPr>
        <w:spacing w:after="120" w:line="360" w:lineRule="auto"/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Var</m:t>
            </m:r>
          </m:e>
          <m:sub>
            <m:r>
              <w:rPr>
                <w:rFonts w:ascii="Cambria Math" w:hAnsi="Cambria Math"/>
                <w:lang w:val="es-ES_tradnl"/>
              </w:rPr>
              <m:t>1,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lang w:val="es-ES_tradnl"/>
              </w:rPr>
            </m:ctrlPr>
          </m:fPr>
          <m:num>
            <m:r>
              <w:rPr>
                <w:rFonts w:ascii="Cambria Math" w:hAnsi="Cambria Math"/>
                <w:lang w:val="es-ES_tradnl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naryPr>
              <m:sub>
                <m:r>
                  <w:rPr>
                    <w:rFonts w:ascii="Cambria Math" w:hAnsi="Cambria Math"/>
                    <w:lang w:val="es-ES_tradnl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s-ES_tradnl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j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jr</m:t>
                        </m:r>
                      </m:sub>
                    </m:sSub>
                  </m:e>
                </m:nary>
              </m:e>
            </m:nary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s-ES_tradnl"/>
              </w:rPr>
            </m:ctrlPr>
          </m:naryPr>
          <m:sub>
            <m:r>
              <w:rPr>
                <w:rFonts w:ascii="Cambria Math" w:hAnsi="Cambria Math"/>
                <w:lang w:val="es-ES_tradnl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naryPr>
              <m:sub>
                <m:r>
                  <w:rPr>
                    <w:rFonts w:ascii="Cambria Math" w:hAnsi="Cambria Math"/>
                    <w:lang w:val="es-ES_tradnl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h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s-ES_tradn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jr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jr</m:t>
                    </m:r>
                  </m:sub>
                </m:sSub>
              </m:e>
            </m:nary>
          </m:e>
        </m:nary>
      </m:oMath>
    </w:p>
    <w:p w14:paraId="4186E628" w14:textId="49DD3DE6" w:rsidR="00167467" w:rsidRDefault="00CD4095" w:rsidP="00CD4095">
      <w:pPr>
        <w:spacing w:after="120" w:line="360" w:lineRule="auto"/>
        <w:jc w:val="both"/>
        <w:rPr>
          <w:lang w:val="es-ES_tradnl"/>
        </w:rPr>
      </w:pPr>
      <w:r>
        <w:rPr>
          <w:lang w:val="es-ES_tradnl"/>
        </w:rPr>
        <w:t xml:space="preserve">y </w:t>
      </w:r>
      <w:r w:rsidR="00645026">
        <w:rPr>
          <w:lang w:val="es-ES_tradnl"/>
        </w:rPr>
        <w:t xml:space="preserve">la capacidad diferenciadora de un ítem </w:t>
      </w:r>
      <w:r w:rsidR="009A279D">
        <w:rPr>
          <w:lang w:val="es-ES_tradnl"/>
        </w:rPr>
        <w:t xml:space="preserve">h </w:t>
      </w:r>
      <w:r w:rsidR="00E22AF4">
        <w:rPr>
          <w:lang w:val="es-ES_tradnl"/>
        </w:rPr>
        <w:t xml:space="preserve">se ha </w:t>
      </w:r>
      <w:r w:rsidR="0061781D">
        <w:rPr>
          <w:lang w:val="es-ES_tradnl"/>
        </w:rPr>
        <w:t xml:space="preserve">relacionado con </w:t>
      </w:r>
      <w:r w:rsidR="009374C5">
        <w:rPr>
          <w:lang w:val="es-ES_tradnl"/>
        </w:rPr>
        <w:t xml:space="preserve">la </w:t>
      </w:r>
      <w:r w:rsidR="00E02B31">
        <w:rPr>
          <w:lang w:val="es-ES_tradnl"/>
        </w:rPr>
        <w:t xml:space="preserve">maximización de la </w:t>
      </w:r>
      <w:r w:rsidR="009374C5">
        <w:rPr>
          <w:lang w:val="es-ES_tradnl"/>
        </w:rPr>
        <w:t xml:space="preserve">estabilidad dentro de los grupos y </w:t>
      </w:r>
      <w:r w:rsidR="00E02B31">
        <w:rPr>
          <w:lang w:val="es-ES_tradnl"/>
        </w:rPr>
        <w:t xml:space="preserve">de la </w:t>
      </w:r>
      <w:r w:rsidR="009374C5">
        <w:rPr>
          <w:lang w:val="es-ES_tradnl"/>
        </w:rPr>
        <w:t xml:space="preserve">variabilidad entre grupos. Atendiendo a que la </w:t>
      </w:r>
      <w:r w:rsidR="00E02B31">
        <w:rPr>
          <w:lang w:val="es-ES_tradnl"/>
        </w:rPr>
        <w:t>estabilidad dentro de los grupos se</w:t>
      </w:r>
      <w:r w:rsidR="009374C5">
        <w:rPr>
          <w:lang w:val="es-ES_tradnl"/>
        </w:rPr>
        <w:t xml:space="preserve"> </w:t>
      </w:r>
      <w:r w:rsidR="00E02B31">
        <w:rPr>
          <w:lang w:val="es-ES_tradnl"/>
        </w:rPr>
        <w:t>maximiza</w:t>
      </w:r>
      <w:r w:rsidR="009374C5">
        <w:rPr>
          <w:lang w:val="es-ES_tradnl"/>
        </w:rPr>
        <w:t xml:space="preserve"> cuando </w:t>
      </w:r>
      <w:r w:rsidR="009374C5">
        <w:rPr>
          <w:rFonts w:eastAsiaTheme="minorEastAsia"/>
          <w:lang w:val="es-ES"/>
        </w:rPr>
        <w:t>Est</w:t>
      </w:r>
      <w:proofErr w:type="gramStart"/>
      <w:r w:rsidR="009374C5" w:rsidRPr="00BC09E1">
        <w:rPr>
          <w:rFonts w:eastAsiaTheme="minorEastAsia"/>
          <w:vertAlign w:val="subscript"/>
          <w:lang w:val="es-ES"/>
        </w:rPr>
        <w:t>1,h</w:t>
      </w:r>
      <w:proofErr w:type="gramEnd"/>
      <w:r w:rsidR="009374C5">
        <w:rPr>
          <w:rFonts w:eastAsiaTheme="minorEastAsia"/>
          <w:lang w:val="es-ES"/>
        </w:rPr>
        <w:t>(G</w:t>
      </w:r>
      <w:r w:rsidR="009374C5" w:rsidRPr="00BC09E1">
        <w:rPr>
          <w:rFonts w:eastAsiaTheme="minorEastAsia"/>
          <w:vertAlign w:val="subscript"/>
          <w:lang w:val="es-ES"/>
        </w:rPr>
        <w:t>i</w:t>
      </w:r>
      <w:r w:rsidR="009374C5">
        <w:rPr>
          <w:rFonts w:eastAsiaTheme="minorEastAsia"/>
          <w:lang w:val="es-ES"/>
        </w:rPr>
        <w:t>) se minimiza (cero) y la máxima variabilidad entre grupos se maximiza cuando Var</w:t>
      </w:r>
      <w:r w:rsidR="009374C5" w:rsidRPr="00BC09E1">
        <w:rPr>
          <w:rFonts w:eastAsiaTheme="minorEastAsia"/>
          <w:vertAlign w:val="subscript"/>
          <w:lang w:val="es-ES"/>
        </w:rPr>
        <w:t>1,h</w:t>
      </w:r>
      <w:r w:rsidR="009374C5">
        <w:rPr>
          <w:rFonts w:eastAsiaTheme="minorEastAsia"/>
          <w:lang w:val="es-ES"/>
        </w:rPr>
        <w:t>(G</w:t>
      </w:r>
      <w:r w:rsidR="009374C5" w:rsidRPr="00BC09E1">
        <w:rPr>
          <w:rFonts w:eastAsiaTheme="minorEastAsia"/>
          <w:vertAlign w:val="subscript"/>
          <w:lang w:val="es-ES"/>
        </w:rPr>
        <w:t>i</w:t>
      </w:r>
      <w:r w:rsidR="009374C5">
        <w:rPr>
          <w:rFonts w:eastAsiaTheme="minorEastAsia"/>
          <w:lang w:val="es-ES"/>
        </w:rPr>
        <w:t xml:space="preserve">) es máxima, </w:t>
      </w:r>
      <w:r w:rsidR="00E02B31">
        <w:rPr>
          <w:rFonts w:eastAsiaTheme="minorEastAsia"/>
          <w:lang w:val="es-ES"/>
        </w:rPr>
        <w:t xml:space="preserve">la capacidad discriminatoria se ha relacionado con </w:t>
      </w:r>
      <w:r w:rsidR="0061781D">
        <w:rPr>
          <w:lang w:val="es-ES_tradnl"/>
        </w:rPr>
        <w:t xml:space="preserve">el cociente </w:t>
      </w:r>
      <w:r w:rsidR="0096725C">
        <w:rPr>
          <w:lang w:val="es-ES_tradnl"/>
        </w:rPr>
        <w:t>e</w:t>
      </w:r>
      <w:r w:rsidR="0061781D">
        <w:rPr>
          <w:lang w:val="es-ES_tradnl"/>
        </w:rPr>
        <w:t>ntre la variabilidad y la estabilidad</w:t>
      </w:r>
      <w:r w:rsidR="0096725C">
        <w:rPr>
          <w:lang w:val="es-ES_tradnl"/>
        </w:rPr>
        <w:t>,</w:t>
      </w:r>
      <w:r w:rsidR="00E80D35">
        <w:rPr>
          <w:lang w:val="es-ES_tradnl"/>
        </w:rPr>
        <w:t xml:space="preserve"> </w:t>
      </w:r>
    </w:p>
    <w:p w14:paraId="13F48010" w14:textId="60875448" w:rsidR="000459F7" w:rsidRPr="00E80D35" w:rsidRDefault="00E80D35" w:rsidP="00E80D35">
      <w:pPr>
        <w:spacing w:after="120" w:line="360" w:lineRule="auto"/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ID</m:t>
            </m:r>
          </m:e>
          <m:sub>
            <m:r>
              <w:rPr>
                <w:rFonts w:ascii="Cambria Math" w:hAnsi="Cambria Math"/>
                <w:lang w:val="es-ES_tradnl"/>
              </w:rPr>
              <m:t>1,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Var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1,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max⁡</m:t>
            </m:r>
            <m:r>
              <w:rPr>
                <w:rFonts w:ascii="Cambria Math" w:hAnsi="Cambria Math"/>
                <w:lang w:val="es-ES_tradnl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Est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1,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,  Est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1,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s-ES_tradnl"/>
              </w:rPr>
              <m:t>, 0.000001}</m:t>
            </m:r>
          </m:den>
        </m:f>
      </m:oMath>
    </w:p>
    <w:p w14:paraId="70B9E5B4" w14:textId="2386F54C" w:rsidR="00E02B31" w:rsidRPr="00CF4C43" w:rsidRDefault="00E02B31" w:rsidP="00CD4095">
      <w:pPr>
        <w:spacing w:after="120" w:line="360" w:lineRule="auto"/>
        <w:jc w:val="both"/>
        <w:rPr>
          <w:b/>
          <w:bCs/>
          <w:color w:val="FF0000"/>
          <w:lang w:val="es-ES_tradnl"/>
        </w:rPr>
      </w:pPr>
      <w:proofErr w:type="spellStart"/>
      <w:r>
        <w:rPr>
          <w:rFonts w:eastAsiaTheme="minorEastAsia"/>
          <w:i/>
          <w:iCs/>
          <w:u w:val="single"/>
          <w:lang w:val="es-ES"/>
        </w:rPr>
        <w:t>Remark</w:t>
      </w:r>
      <w:proofErr w:type="spellEnd"/>
      <w:r>
        <w:rPr>
          <w:rFonts w:eastAsiaTheme="minorEastAsia"/>
          <w:i/>
          <w:iCs/>
          <w:u w:val="single"/>
          <w:lang w:val="es-ES"/>
        </w:rPr>
        <w:t xml:space="preserve"> 1</w:t>
      </w:r>
      <w:r w:rsidRPr="00E02B31">
        <w:rPr>
          <w:rFonts w:eastAsiaTheme="minorEastAsia"/>
          <w:i/>
          <w:iCs/>
          <w:lang w:val="es-ES"/>
        </w:rPr>
        <w:t xml:space="preserve">. </w:t>
      </w:r>
      <w:r>
        <w:rPr>
          <w:lang w:val="es-ES"/>
        </w:rPr>
        <w:t xml:space="preserve">Cuando se </w:t>
      </w:r>
      <w:r w:rsidR="007D28CF">
        <w:rPr>
          <w:lang w:val="es-ES"/>
        </w:rPr>
        <w:t xml:space="preserve">considera la clasificación determinista asociada a lógicas </w:t>
      </w:r>
      <w:proofErr w:type="spellStart"/>
      <w:r w:rsidR="007D28CF">
        <w:rPr>
          <w:lang w:val="es-ES"/>
        </w:rPr>
        <w:t>fuzzy</w:t>
      </w:r>
      <w:proofErr w:type="spellEnd"/>
      <w:r w:rsidR="007D28CF">
        <w:rPr>
          <w:lang w:val="es-ES"/>
        </w:rPr>
        <w:t xml:space="preserve">, la </w:t>
      </w:r>
      <w:r>
        <w:rPr>
          <w:lang w:val="es-ES_tradnl"/>
        </w:rPr>
        <w:t xml:space="preserve">ponderación (probabilidad de pertenencia) que se aplica en las fórmulas </w:t>
      </w:r>
      <w:r>
        <w:rPr>
          <w:rFonts w:eastAsiaTheme="minorEastAsia"/>
          <w:lang w:val="es-ES"/>
        </w:rPr>
        <w:t>Est</w:t>
      </w:r>
      <w:proofErr w:type="gramStart"/>
      <w:r w:rsidRPr="00BC09E1">
        <w:rPr>
          <w:rFonts w:eastAsiaTheme="minorEastAsia"/>
          <w:vertAlign w:val="subscript"/>
          <w:lang w:val="es-ES"/>
        </w:rPr>
        <w:t>1,h</w:t>
      </w:r>
      <w:proofErr w:type="gramEnd"/>
      <w:r>
        <w:rPr>
          <w:rFonts w:eastAsiaTheme="minorEastAsia"/>
          <w:lang w:val="es-ES"/>
        </w:rPr>
        <w:t>(G</w:t>
      </w:r>
      <w:r w:rsidRPr="00BC09E1">
        <w:rPr>
          <w:rFonts w:eastAsiaTheme="minorEastAsia"/>
          <w:vertAlign w:val="subscript"/>
          <w:lang w:val="es-ES"/>
        </w:rPr>
        <w:t>i</w:t>
      </w:r>
      <w:r>
        <w:rPr>
          <w:rFonts w:eastAsiaTheme="minorEastAsia"/>
          <w:lang w:val="es-ES"/>
        </w:rPr>
        <w:t>) y Var</w:t>
      </w:r>
      <w:r w:rsidRPr="00BC09E1">
        <w:rPr>
          <w:rFonts w:eastAsiaTheme="minorEastAsia"/>
          <w:vertAlign w:val="subscript"/>
          <w:lang w:val="es-ES"/>
        </w:rPr>
        <w:t>1,h</w:t>
      </w:r>
      <w:r>
        <w:rPr>
          <w:rFonts w:eastAsiaTheme="minorEastAsia"/>
          <w:lang w:val="es-ES"/>
        </w:rPr>
        <w:t>(G</w:t>
      </w:r>
      <w:r w:rsidRPr="00BC09E1">
        <w:rPr>
          <w:rFonts w:eastAsiaTheme="minorEastAsia"/>
          <w:vertAlign w:val="subscript"/>
          <w:lang w:val="es-ES"/>
        </w:rPr>
        <w:t>i</w:t>
      </w:r>
      <w:r>
        <w:rPr>
          <w:rFonts w:eastAsiaTheme="minorEastAsia"/>
          <w:lang w:val="es-ES"/>
        </w:rPr>
        <w:t xml:space="preserve">) </w:t>
      </w:r>
      <w:r>
        <w:rPr>
          <w:lang w:val="es-ES_tradnl"/>
        </w:rPr>
        <w:t xml:space="preserve">puede obtenerse a partir de la verosimilitud </w:t>
      </w:r>
      <w:r w:rsidR="007D28CF">
        <w:rPr>
          <w:lang w:val="es-ES_tradnl"/>
        </w:rPr>
        <w:t>C-mean. En otros casos, será necesario explorar alternativas.</w:t>
      </w:r>
      <w:r w:rsidR="00CF4C43">
        <w:rPr>
          <w:lang w:val="es-ES_tradnl"/>
        </w:rPr>
        <w:t xml:space="preserve"> </w:t>
      </w:r>
    </w:p>
    <w:p w14:paraId="4E3CDEBD" w14:textId="18B722DC" w:rsidR="007D28CF" w:rsidRDefault="007D28CF" w:rsidP="007D28CF">
      <w:pPr>
        <w:spacing w:after="120" w:line="360" w:lineRule="auto"/>
        <w:jc w:val="both"/>
        <w:rPr>
          <w:rFonts w:eastAsiaTheme="minorEastAsia"/>
          <w:lang w:val="es-ES"/>
        </w:rPr>
      </w:pPr>
      <w:proofErr w:type="spellStart"/>
      <w:r w:rsidRPr="0087783E">
        <w:rPr>
          <w:rFonts w:eastAsiaTheme="minorEastAsia"/>
          <w:i/>
          <w:iCs/>
          <w:u w:val="single"/>
          <w:lang w:val="es-ES"/>
        </w:rPr>
        <w:t>Remark</w:t>
      </w:r>
      <w:proofErr w:type="spellEnd"/>
      <w:r w:rsidRPr="0087783E">
        <w:rPr>
          <w:rFonts w:eastAsiaTheme="minorEastAsia"/>
          <w:i/>
          <w:iCs/>
          <w:u w:val="single"/>
          <w:lang w:val="es-ES"/>
        </w:rPr>
        <w:t xml:space="preserve"> </w:t>
      </w:r>
      <w:r>
        <w:rPr>
          <w:rFonts w:eastAsiaTheme="minorEastAsia"/>
          <w:i/>
          <w:iCs/>
          <w:u w:val="single"/>
          <w:lang w:val="es-ES"/>
        </w:rPr>
        <w:t>2</w:t>
      </w:r>
      <w:r>
        <w:rPr>
          <w:rFonts w:eastAsiaTheme="minorEastAsia"/>
          <w:lang w:val="es-ES"/>
        </w:rPr>
        <w:t xml:space="preserve">. El valor 0.000001 introducido en la fórmula </w:t>
      </w:r>
      <w:proofErr w:type="spellStart"/>
      <w:proofErr w:type="gramStart"/>
      <w:r>
        <w:rPr>
          <w:rFonts w:eastAsiaTheme="minorEastAsia"/>
          <w:lang w:val="es-ES"/>
        </w:rPr>
        <w:t>ID</w:t>
      </w:r>
      <w:r w:rsidRPr="00A40164">
        <w:rPr>
          <w:rFonts w:eastAsiaTheme="minorEastAsia"/>
          <w:vertAlign w:val="subscript"/>
          <w:lang w:val="es-ES"/>
        </w:rPr>
        <w:t>i,h</w:t>
      </w:r>
      <w:proofErr w:type="spellEnd"/>
      <w:proofErr w:type="gramEnd"/>
      <w:r>
        <w:rPr>
          <w:rFonts w:eastAsiaTheme="minorEastAsia"/>
          <w:lang w:val="es-ES"/>
        </w:rPr>
        <w:t>(</w:t>
      </w:r>
      <w:proofErr w:type="spellStart"/>
      <w:r>
        <w:rPr>
          <w:rFonts w:eastAsiaTheme="minorEastAsia"/>
          <w:lang w:val="es-ES"/>
        </w:rPr>
        <w:t>G</w:t>
      </w:r>
      <w:r w:rsidRPr="00A40164">
        <w:rPr>
          <w:rFonts w:eastAsiaTheme="minorEastAsia"/>
          <w:vertAlign w:val="subscript"/>
          <w:lang w:val="es-ES"/>
        </w:rPr>
        <w:t>i</w:t>
      </w:r>
      <w:r>
        <w:rPr>
          <w:rFonts w:eastAsiaTheme="minorEastAsia"/>
          <w:lang w:val="es-ES"/>
        </w:rPr>
        <w:t>,G</w:t>
      </w:r>
      <w:r w:rsidRPr="00A40164">
        <w:rPr>
          <w:rFonts w:eastAsiaTheme="minorEastAsia"/>
          <w:vertAlign w:val="subscript"/>
          <w:lang w:val="es-ES"/>
        </w:rPr>
        <w:t>j</w:t>
      </w:r>
      <w:proofErr w:type="spellEnd"/>
      <w:r>
        <w:rPr>
          <w:rFonts w:eastAsiaTheme="minorEastAsia"/>
          <w:lang w:val="es-ES"/>
        </w:rPr>
        <w:t>) se justica para evitar cocientes en los que el denominador sea cero y, el consecuencia, el cociente sea infinito.</w:t>
      </w:r>
    </w:p>
    <w:p w14:paraId="1A90DF13" w14:textId="1B54A087" w:rsidR="00D90A7C" w:rsidRDefault="00D90A7C" w:rsidP="00D90A7C">
      <w:pPr>
        <w:spacing w:after="120" w:line="360" w:lineRule="auto"/>
        <w:jc w:val="both"/>
        <w:rPr>
          <w:rFonts w:eastAsiaTheme="minorEastAsia"/>
          <w:lang w:val="es-ES"/>
        </w:rPr>
      </w:pPr>
      <w:proofErr w:type="spellStart"/>
      <w:r w:rsidRPr="0087783E">
        <w:rPr>
          <w:rFonts w:eastAsiaTheme="minorEastAsia"/>
          <w:i/>
          <w:iCs/>
          <w:u w:val="single"/>
          <w:lang w:val="es-ES"/>
        </w:rPr>
        <w:t>Remark</w:t>
      </w:r>
      <w:proofErr w:type="spellEnd"/>
      <w:r w:rsidRPr="0087783E">
        <w:rPr>
          <w:rFonts w:eastAsiaTheme="minorEastAsia"/>
          <w:i/>
          <w:iCs/>
          <w:u w:val="single"/>
          <w:lang w:val="es-ES"/>
        </w:rPr>
        <w:t xml:space="preserve"> </w:t>
      </w:r>
      <w:r>
        <w:rPr>
          <w:rFonts w:eastAsiaTheme="minorEastAsia"/>
          <w:i/>
          <w:iCs/>
          <w:u w:val="single"/>
          <w:lang w:val="es-ES"/>
        </w:rPr>
        <w:t>3</w:t>
      </w:r>
      <w:r>
        <w:rPr>
          <w:rFonts w:eastAsiaTheme="minorEastAsia"/>
          <w:lang w:val="es-ES"/>
        </w:rPr>
        <w:t>. Los denominadores n</w:t>
      </w:r>
      <w:r w:rsidRPr="00CB635B">
        <w:rPr>
          <w:rFonts w:eastAsiaTheme="minorEastAsia"/>
          <w:vertAlign w:val="subscript"/>
          <w:lang w:val="es-ES"/>
        </w:rPr>
        <w:t>i</w:t>
      </w:r>
      <w:r>
        <w:rPr>
          <w:rFonts w:eastAsiaTheme="minorEastAsia"/>
          <w:lang w:val="es-ES"/>
        </w:rPr>
        <w:t>(n</w:t>
      </w:r>
      <w:r w:rsidRPr="00CB635B">
        <w:rPr>
          <w:rFonts w:eastAsiaTheme="minorEastAsia"/>
          <w:vertAlign w:val="subscript"/>
          <w:lang w:val="es-ES"/>
        </w:rPr>
        <w:t>i</w:t>
      </w:r>
      <w:r>
        <w:rPr>
          <w:rFonts w:eastAsiaTheme="minorEastAsia"/>
          <w:lang w:val="es-ES"/>
        </w:rPr>
        <w:t xml:space="preserve">-1) </w:t>
      </w:r>
      <w:r w:rsidR="00CB635B">
        <w:rPr>
          <w:rFonts w:eastAsiaTheme="minorEastAsia"/>
          <w:lang w:val="es-ES"/>
        </w:rPr>
        <w:t>y</w:t>
      </w:r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n</w:t>
      </w:r>
      <w:r w:rsidRPr="00CB635B">
        <w:rPr>
          <w:rFonts w:eastAsiaTheme="minorEastAsia"/>
          <w:vertAlign w:val="subscript"/>
          <w:lang w:val="es-ES"/>
        </w:rPr>
        <w:t>i</w:t>
      </w:r>
      <w:r>
        <w:rPr>
          <w:rFonts w:eastAsiaTheme="minorEastAsia"/>
          <w:lang w:val="es-ES"/>
        </w:rPr>
        <w:t>n</w:t>
      </w:r>
      <w:r w:rsidRPr="00CB635B">
        <w:rPr>
          <w:rFonts w:eastAsiaTheme="minorEastAsia"/>
          <w:vertAlign w:val="subscript"/>
          <w:lang w:val="es-ES"/>
        </w:rPr>
        <w:t>j</w:t>
      </w:r>
      <w:proofErr w:type="spellEnd"/>
      <w:r>
        <w:rPr>
          <w:rFonts w:eastAsiaTheme="minorEastAsia"/>
          <w:lang w:val="es-ES"/>
        </w:rPr>
        <w:t xml:space="preserve"> </w:t>
      </w:r>
      <w:r w:rsidR="00CB635B">
        <w:rPr>
          <w:rFonts w:eastAsiaTheme="minorEastAsia"/>
          <w:lang w:val="es-ES"/>
        </w:rPr>
        <w:t>que se utilizan en las fórmulas Est</w:t>
      </w:r>
      <w:proofErr w:type="gramStart"/>
      <w:r w:rsidR="00CB635B" w:rsidRPr="00BC09E1">
        <w:rPr>
          <w:rFonts w:eastAsiaTheme="minorEastAsia"/>
          <w:vertAlign w:val="subscript"/>
          <w:lang w:val="es-ES"/>
        </w:rPr>
        <w:t>1,h</w:t>
      </w:r>
      <w:proofErr w:type="gramEnd"/>
      <w:r w:rsidR="00CB635B">
        <w:rPr>
          <w:rFonts w:eastAsiaTheme="minorEastAsia"/>
          <w:lang w:val="es-ES"/>
        </w:rPr>
        <w:t>(G</w:t>
      </w:r>
      <w:r w:rsidR="00CB635B" w:rsidRPr="00BC09E1">
        <w:rPr>
          <w:rFonts w:eastAsiaTheme="minorEastAsia"/>
          <w:vertAlign w:val="subscript"/>
          <w:lang w:val="es-ES"/>
        </w:rPr>
        <w:t>i</w:t>
      </w:r>
      <w:r w:rsidR="00CB635B">
        <w:rPr>
          <w:rFonts w:eastAsiaTheme="minorEastAsia"/>
          <w:lang w:val="es-ES"/>
        </w:rPr>
        <w:t>) y Var</w:t>
      </w:r>
      <w:r w:rsidR="00CB635B" w:rsidRPr="00BC09E1">
        <w:rPr>
          <w:rFonts w:eastAsiaTheme="minorEastAsia"/>
          <w:vertAlign w:val="subscript"/>
          <w:lang w:val="es-ES"/>
        </w:rPr>
        <w:t>1,h</w:t>
      </w:r>
      <w:r w:rsidR="00CB635B">
        <w:rPr>
          <w:rFonts w:eastAsiaTheme="minorEastAsia"/>
          <w:lang w:val="es-ES"/>
        </w:rPr>
        <w:t>(G</w:t>
      </w:r>
      <w:r w:rsidR="00CB635B" w:rsidRPr="00BC09E1">
        <w:rPr>
          <w:rFonts w:eastAsiaTheme="minorEastAsia"/>
          <w:vertAlign w:val="subscript"/>
          <w:lang w:val="es-ES"/>
        </w:rPr>
        <w:t>i</w:t>
      </w:r>
      <w:r w:rsidR="00CB635B">
        <w:rPr>
          <w:rFonts w:eastAsiaTheme="minorEastAsia"/>
          <w:lang w:val="es-ES"/>
        </w:rPr>
        <w:t xml:space="preserve">) deberán ajustarse si se considera la lógica </w:t>
      </w:r>
      <w:proofErr w:type="spellStart"/>
      <w:r w:rsidR="00CB635B">
        <w:rPr>
          <w:rFonts w:eastAsiaTheme="minorEastAsia"/>
          <w:lang w:val="es-ES"/>
        </w:rPr>
        <w:t>fuzzy</w:t>
      </w:r>
      <w:proofErr w:type="spellEnd"/>
      <w:r w:rsidR="00CB635B">
        <w:rPr>
          <w:rFonts w:eastAsiaTheme="minorEastAsia"/>
          <w:lang w:val="es-ES"/>
        </w:rPr>
        <w:t>.</w:t>
      </w:r>
      <w:r w:rsidR="008B44ED">
        <w:rPr>
          <w:rFonts w:eastAsiaTheme="minorEastAsia"/>
          <w:lang w:val="es-ES"/>
        </w:rPr>
        <w:t xml:space="preserve"> </w:t>
      </w:r>
      <w:r w:rsidR="008B44ED" w:rsidRPr="00541E45">
        <w:rPr>
          <w:b/>
          <w:bCs/>
          <w:color w:val="FF0000"/>
          <w:lang w:val="es-ES_tradnl"/>
        </w:rPr>
        <w:t>Ya se ha aplicado a las nuevas fórmulas</w:t>
      </w:r>
      <w:r w:rsidR="008B44ED" w:rsidRPr="00541E45">
        <w:rPr>
          <w:b/>
          <w:bCs/>
          <w:color w:val="FF0000"/>
          <w:lang w:val="es-ES_tradnl"/>
        </w:rPr>
        <w:t>.</w:t>
      </w:r>
      <w:r w:rsidR="00FE7F6E" w:rsidRPr="00541E45">
        <w:rPr>
          <w:b/>
          <w:bCs/>
          <w:color w:val="FF0000"/>
          <w:lang w:val="es-ES_tradnl"/>
        </w:rPr>
        <w:t xml:space="preserve"> Si utilizamos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s-ES_tradnl"/>
                  </w:rPr>
                  <m:t>[d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lang w:val="es-ES_tradnl"/>
                      </w:rPr>
                      <m:t>h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lang w:val="es-ES_tradn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s-ES_tradnl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s-ES_tradnl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lang w:val="es-ES_tradn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s-ES_tradnl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s-ES_tradnl"/>
                  </w:rPr>
                  <m:t>il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)]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2</m:t>
            </m:r>
          </m:sup>
        </m:sSup>
      </m:oMath>
      <w:r w:rsidR="005E32A1" w:rsidRPr="00541E45">
        <w:rPr>
          <w:rFonts w:eastAsiaTheme="minorEastAsia"/>
          <w:b/>
          <w:bCs/>
          <w:color w:val="FF0000"/>
          <w:lang w:val="es-ES_tradnl"/>
        </w:rPr>
        <w:t xml:space="preserve"> en lugar de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s-ES_tradnl"/>
                  </w:rPr>
                  <m:t>h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color w:val="FF0000"/>
            <w:lang w:val="es-ES_tradnl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lang w:val="es-ES_tradn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ik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lang w:val="es-ES_tradnl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lang w:val="es-ES_tradn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s-ES_tradnl"/>
              </w:rPr>
              <m:t>il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lang w:val="es-ES_tradnl"/>
          </w:rPr>
          <m:t>)</m:t>
        </m:r>
      </m:oMath>
      <w:r w:rsidR="005E32A1" w:rsidRPr="00541E45">
        <w:rPr>
          <w:rFonts w:eastAsiaTheme="minorEastAsia"/>
          <w:b/>
          <w:bCs/>
          <w:color w:val="FF0000"/>
          <w:lang w:val="es-ES_tradnl"/>
        </w:rPr>
        <w:t xml:space="preserve">, </w:t>
      </w:r>
      <w:r w:rsidR="00E2614B" w:rsidRPr="00541E45">
        <w:rPr>
          <w:rFonts w:eastAsiaTheme="minorEastAsia"/>
          <w:b/>
          <w:bCs/>
          <w:color w:val="FF0000"/>
          <w:lang w:val="es-ES_tradnl"/>
        </w:rPr>
        <w:t xml:space="preserve">la formulación será consistente con la variabilidad geométrica </w:t>
      </w:r>
      <w:r w:rsidR="00541E45" w:rsidRPr="00541E45">
        <w:rPr>
          <w:rFonts w:eastAsiaTheme="minorEastAsia"/>
          <w:b/>
          <w:bCs/>
          <w:color w:val="FF0000"/>
          <w:lang w:val="es-ES_tradnl"/>
        </w:rPr>
        <w:t>definida por generalización de la distancia euclídea.</w:t>
      </w:r>
      <w:r w:rsidR="00541E45" w:rsidRPr="00541E45">
        <w:rPr>
          <w:rFonts w:eastAsiaTheme="minorEastAsia"/>
          <w:color w:val="FF0000"/>
          <w:lang w:val="es-ES_tradnl"/>
        </w:rPr>
        <w:t xml:space="preserve"> </w:t>
      </w:r>
    </w:p>
    <w:p w14:paraId="3B0D0050" w14:textId="2EE8D74B" w:rsidR="00CC07C1" w:rsidRDefault="00555CED" w:rsidP="00CD4095">
      <w:pPr>
        <w:spacing w:after="120" w:line="360" w:lineRule="auto"/>
        <w:jc w:val="both"/>
        <w:rPr>
          <w:rFonts w:eastAsiaTheme="minorEastAsia"/>
          <w:lang w:val="es-ES"/>
        </w:rPr>
      </w:pPr>
      <w:proofErr w:type="spellStart"/>
      <w:r w:rsidRPr="0087783E">
        <w:rPr>
          <w:rFonts w:eastAsiaTheme="minorEastAsia"/>
          <w:i/>
          <w:iCs/>
          <w:u w:val="single"/>
          <w:lang w:val="es-ES"/>
        </w:rPr>
        <w:t>Remark</w:t>
      </w:r>
      <w:proofErr w:type="spellEnd"/>
      <w:r w:rsidRPr="0087783E">
        <w:rPr>
          <w:rFonts w:eastAsiaTheme="minorEastAsia"/>
          <w:i/>
          <w:iCs/>
          <w:u w:val="single"/>
          <w:lang w:val="es-ES"/>
        </w:rPr>
        <w:t xml:space="preserve"> </w:t>
      </w:r>
      <w:r w:rsidR="00CB635B">
        <w:rPr>
          <w:rFonts w:eastAsiaTheme="minorEastAsia"/>
          <w:i/>
          <w:iCs/>
          <w:u w:val="single"/>
          <w:lang w:val="es-ES"/>
        </w:rPr>
        <w:t>4</w:t>
      </w:r>
      <w:r w:rsidR="00CC07C1" w:rsidRPr="0087783E">
        <w:rPr>
          <w:rFonts w:eastAsiaTheme="minorEastAsia"/>
          <w:i/>
          <w:iCs/>
          <w:u w:val="single"/>
          <w:lang w:val="es-ES"/>
        </w:rPr>
        <w:t xml:space="preserve"> (salida computacional 1)</w:t>
      </w:r>
      <w:r w:rsidRPr="00F1179E">
        <w:rPr>
          <w:rFonts w:eastAsiaTheme="minorEastAsia"/>
          <w:lang w:val="es-ES"/>
        </w:rPr>
        <w:t xml:space="preserve">. </w:t>
      </w:r>
      <w:r w:rsidR="005E237B">
        <w:rPr>
          <w:rFonts w:eastAsiaTheme="minorEastAsia"/>
          <w:lang w:val="es-ES"/>
        </w:rPr>
        <w:t>Interesados en b</w:t>
      </w:r>
      <w:r w:rsidR="00F1179E" w:rsidRPr="00F1179E">
        <w:rPr>
          <w:rFonts w:eastAsiaTheme="minorEastAsia"/>
          <w:lang w:val="es-ES"/>
        </w:rPr>
        <w:t>u</w:t>
      </w:r>
      <w:r w:rsidR="00F1179E">
        <w:rPr>
          <w:rFonts w:eastAsiaTheme="minorEastAsia"/>
          <w:lang w:val="es-ES"/>
        </w:rPr>
        <w:t xml:space="preserve">scar las características </w:t>
      </w:r>
      <w:r w:rsidR="005D6B71">
        <w:rPr>
          <w:rFonts w:eastAsiaTheme="minorEastAsia"/>
          <w:lang w:val="es-ES"/>
        </w:rPr>
        <w:t>que difieren poco dentro de los grupos</w:t>
      </w:r>
      <w:r w:rsidR="000F18BC">
        <w:rPr>
          <w:rFonts w:eastAsiaTheme="minorEastAsia"/>
          <w:lang w:val="es-ES"/>
        </w:rPr>
        <w:t xml:space="preserve"> (</w:t>
      </w:r>
      <w:r w:rsidR="007D7A52">
        <w:rPr>
          <w:rFonts w:eastAsiaTheme="minorEastAsia"/>
          <w:lang w:val="es-ES"/>
        </w:rPr>
        <w:t xml:space="preserve">características </w:t>
      </w:r>
      <w:r w:rsidR="000F18BC">
        <w:rPr>
          <w:rFonts w:eastAsiaTheme="minorEastAsia"/>
          <w:lang w:val="es-ES"/>
        </w:rPr>
        <w:t>representativas del grupo)</w:t>
      </w:r>
      <w:r w:rsidR="008658AC">
        <w:rPr>
          <w:rFonts w:eastAsiaTheme="minorEastAsia"/>
          <w:lang w:val="es-ES"/>
        </w:rPr>
        <w:t xml:space="preserve">, </w:t>
      </w:r>
      <w:r w:rsidR="008D1D93">
        <w:rPr>
          <w:rFonts w:eastAsiaTheme="minorEastAsia"/>
          <w:lang w:val="es-ES"/>
        </w:rPr>
        <w:t xml:space="preserve">la atención se focalizará </w:t>
      </w:r>
      <w:r w:rsidR="008658AC">
        <w:rPr>
          <w:rFonts w:eastAsiaTheme="minorEastAsia"/>
          <w:lang w:val="es-ES"/>
        </w:rPr>
        <w:t>en los ítem</w:t>
      </w:r>
      <w:r w:rsidR="0049387B">
        <w:rPr>
          <w:rFonts w:eastAsiaTheme="minorEastAsia"/>
          <w:lang w:val="es-ES"/>
        </w:rPr>
        <w:t xml:space="preserve"> con</w:t>
      </w:r>
      <w:r w:rsidR="00063BFC">
        <w:rPr>
          <w:rFonts w:eastAsiaTheme="minorEastAsia"/>
          <w:lang w:val="es-ES"/>
        </w:rPr>
        <w:t xml:space="preserve"> valores </w:t>
      </w:r>
      <w:r w:rsidR="005637F5">
        <w:rPr>
          <w:rFonts w:eastAsiaTheme="minorEastAsia"/>
          <w:lang w:val="es-ES"/>
        </w:rPr>
        <w:t>bajos en</w:t>
      </w:r>
      <w:r w:rsidR="00063BFC">
        <w:rPr>
          <w:rFonts w:eastAsiaTheme="minorEastAsia"/>
          <w:lang w:val="es-ES"/>
        </w:rPr>
        <w:t xml:space="preserve"> </w:t>
      </w:r>
      <w:r w:rsidR="0049387B">
        <w:rPr>
          <w:rFonts w:eastAsiaTheme="minorEastAsia"/>
          <w:lang w:val="es-ES"/>
        </w:rPr>
        <w:t>Est</w:t>
      </w:r>
      <w:proofErr w:type="gramStart"/>
      <w:r w:rsidR="0049387B" w:rsidRPr="00BC09E1">
        <w:rPr>
          <w:rFonts w:eastAsiaTheme="minorEastAsia"/>
          <w:vertAlign w:val="subscript"/>
          <w:lang w:val="es-ES"/>
        </w:rPr>
        <w:t>1,</w:t>
      </w:r>
      <w:r w:rsidR="00BC09E1" w:rsidRPr="00BC09E1">
        <w:rPr>
          <w:rFonts w:eastAsiaTheme="minorEastAsia"/>
          <w:vertAlign w:val="subscript"/>
          <w:lang w:val="es-ES"/>
        </w:rPr>
        <w:t>h</w:t>
      </w:r>
      <w:proofErr w:type="gramEnd"/>
      <w:r w:rsidR="00BC09E1">
        <w:rPr>
          <w:rFonts w:eastAsiaTheme="minorEastAsia"/>
          <w:lang w:val="es-ES"/>
        </w:rPr>
        <w:t>(G</w:t>
      </w:r>
      <w:r w:rsidR="00BC09E1" w:rsidRPr="00BC09E1">
        <w:rPr>
          <w:rFonts w:eastAsiaTheme="minorEastAsia"/>
          <w:vertAlign w:val="subscript"/>
          <w:lang w:val="es-ES"/>
        </w:rPr>
        <w:t>i</w:t>
      </w:r>
      <w:r w:rsidR="00BC09E1">
        <w:rPr>
          <w:rFonts w:eastAsiaTheme="minorEastAsia"/>
          <w:lang w:val="es-ES"/>
        </w:rPr>
        <w:t>)</w:t>
      </w:r>
      <w:r w:rsidR="008D1D93">
        <w:rPr>
          <w:rFonts w:eastAsiaTheme="minorEastAsia"/>
          <w:lang w:val="es-ES"/>
        </w:rPr>
        <w:t xml:space="preserve">. </w:t>
      </w:r>
      <w:r w:rsidR="00355759">
        <w:rPr>
          <w:rFonts w:eastAsiaTheme="minorEastAsia"/>
          <w:lang w:val="es-ES"/>
        </w:rPr>
        <w:t>En consecuencia</w:t>
      </w:r>
      <w:r w:rsidR="00BE03A4">
        <w:rPr>
          <w:rFonts w:eastAsiaTheme="minorEastAsia"/>
          <w:lang w:val="es-ES"/>
        </w:rPr>
        <w:t>,</w:t>
      </w:r>
      <w:r w:rsidR="007A2289">
        <w:rPr>
          <w:rFonts w:eastAsiaTheme="minorEastAsia"/>
          <w:lang w:val="es-ES"/>
        </w:rPr>
        <w:t xml:space="preserve"> los ítems más </w:t>
      </w:r>
      <w:r w:rsidR="00BE0D75">
        <w:rPr>
          <w:rFonts w:eastAsiaTheme="minorEastAsia"/>
          <w:lang w:val="es-ES"/>
        </w:rPr>
        <w:t xml:space="preserve">representativos de </w:t>
      </w:r>
      <w:r w:rsidR="00C263AA">
        <w:rPr>
          <w:rFonts w:eastAsiaTheme="minorEastAsia"/>
          <w:lang w:val="es-ES"/>
        </w:rPr>
        <w:t xml:space="preserve">cada grupo </w:t>
      </w:r>
      <w:r w:rsidR="00BE0D75">
        <w:rPr>
          <w:rFonts w:eastAsiaTheme="minorEastAsia"/>
          <w:lang w:val="es-ES"/>
        </w:rPr>
        <w:t xml:space="preserve">se obtienen </w:t>
      </w:r>
      <w:r w:rsidR="005152CD">
        <w:rPr>
          <w:rFonts w:eastAsiaTheme="minorEastAsia"/>
          <w:lang w:val="es-ES"/>
        </w:rPr>
        <w:t>ordenándolos</w:t>
      </w:r>
      <w:r w:rsidR="007A2289">
        <w:rPr>
          <w:rFonts w:eastAsiaTheme="minorEastAsia"/>
          <w:lang w:val="es-ES"/>
        </w:rPr>
        <w:t xml:space="preserve"> </w:t>
      </w:r>
      <w:r w:rsidR="00C61273">
        <w:rPr>
          <w:rFonts w:eastAsiaTheme="minorEastAsia"/>
          <w:lang w:val="es-ES"/>
        </w:rPr>
        <w:t>de menor a mayor p</w:t>
      </w:r>
      <w:r w:rsidR="00014A7E">
        <w:rPr>
          <w:rFonts w:eastAsiaTheme="minorEastAsia"/>
          <w:lang w:val="es-ES"/>
        </w:rPr>
        <w:t xml:space="preserve">or su valor de estabilidad </w:t>
      </w:r>
      <w:r w:rsidR="00854760">
        <w:rPr>
          <w:rFonts w:eastAsiaTheme="minorEastAsia"/>
          <w:lang w:val="es-ES"/>
        </w:rPr>
        <w:t xml:space="preserve">y </w:t>
      </w:r>
      <w:r w:rsidR="00C61273">
        <w:rPr>
          <w:rFonts w:eastAsiaTheme="minorEastAsia"/>
          <w:lang w:val="es-ES"/>
        </w:rPr>
        <w:t xml:space="preserve">escogiendo los primeros de la lista. </w:t>
      </w:r>
      <w:r w:rsidR="00E45D12">
        <w:rPr>
          <w:rFonts w:eastAsiaTheme="minorEastAsia"/>
          <w:lang w:val="es-ES"/>
        </w:rPr>
        <w:t xml:space="preserve">Salida computacional: listado </w:t>
      </w:r>
      <w:r w:rsidR="00DD6746">
        <w:rPr>
          <w:rFonts w:eastAsiaTheme="minorEastAsia"/>
          <w:lang w:val="es-ES"/>
        </w:rPr>
        <w:t xml:space="preserve">de ítems por orden creciente en </w:t>
      </w:r>
      <w:r w:rsidR="002546A5">
        <w:rPr>
          <w:rFonts w:eastAsiaTheme="minorEastAsia"/>
          <w:lang w:val="es-ES"/>
        </w:rPr>
        <w:t>Est</w:t>
      </w:r>
      <w:proofErr w:type="gramStart"/>
      <w:r w:rsidR="002546A5" w:rsidRPr="00BC09E1">
        <w:rPr>
          <w:rFonts w:eastAsiaTheme="minorEastAsia"/>
          <w:vertAlign w:val="subscript"/>
          <w:lang w:val="es-ES"/>
        </w:rPr>
        <w:t>1,h</w:t>
      </w:r>
      <w:proofErr w:type="gramEnd"/>
      <w:r w:rsidR="002546A5">
        <w:rPr>
          <w:rFonts w:eastAsiaTheme="minorEastAsia"/>
          <w:lang w:val="es-ES"/>
        </w:rPr>
        <w:t>(G</w:t>
      </w:r>
      <w:r w:rsidR="002546A5" w:rsidRPr="00BC09E1">
        <w:rPr>
          <w:rFonts w:eastAsiaTheme="minorEastAsia"/>
          <w:vertAlign w:val="subscript"/>
          <w:lang w:val="es-ES"/>
        </w:rPr>
        <w:t>i</w:t>
      </w:r>
      <w:r w:rsidR="002546A5">
        <w:rPr>
          <w:rFonts w:eastAsiaTheme="minorEastAsia"/>
          <w:lang w:val="es-ES"/>
        </w:rPr>
        <w:t xml:space="preserve">) y valor </w:t>
      </w:r>
      <w:r w:rsidR="00CC07C1">
        <w:rPr>
          <w:rFonts w:eastAsiaTheme="minorEastAsia"/>
          <w:lang w:val="es-ES"/>
        </w:rPr>
        <w:t>de estabilidad.</w:t>
      </w:r>
    </w:p>
    <w:p w14:paraId="243D33FB" w14:textId="296A7750" w:rsidR="00A40164" w:rsidRDefault="007A763C" w:rsidP="00CD4095">
      <w:pPr>
        <w:spacing w:after="120" w:line="360" w:lineRule="auto"/>
        <w:jc w:val="both"/>
        <w:rPr>
          <w:rFonts w:eastAsiaTheme="minorEastAsia"/>
          <w:lang w:val="es-ES"/>
        </w:rPr>
      </w:pPr>
      <w:bookmarkStart w:id="0" w:name="_Hlk149227611"/>
      <w:proofErr w:type="spellStart"/>
      <w:r w:rsidRPr="0087783E">
        <w:rPr>
          <w:rFonts w:eastAsiaTheme="minorEastAsia"/>
          <w:i/>
          <w:iCs/>
          <w:u w:val="single"/>
          <w:lang w:val="es-ES"/>
        </w:rPr>
        <w:t>Remark</w:t>
      </w:r>
      <w:proofErr w:type="spellEnd"/>
      <w:r w:rsidRPr="0087783E">
        <w:rPr>
          <w:rFonts w:eastAsiaTheme="minorEastAsia"/>
          <w:i/>
          <w:iCs/>
          <w:u w:val="single"/>
          <w:lang w:val="es-ES"/>
        </w:rPr>
        <w:t xml:space="preserve"> </w:t>
      </w:r>
      <w:r w:rsidR="00CB635B">
        <w:rPr>
          <w:rFonts w:eastAsiaTheme="minorEastAsia"/>
          <w:i/>
          <w:iCs/>
          <w:u w:val="single"/>
          <w:lang w:val="es-ES"/>
        </w:rPr>
        <w:t>5</w:t>
      </w:r>
      <w:r w:rsidRPr="0087783E">
        <w:rPr>
          <w:rFonts w:eastAsiaTheme="minorEastAsia"/>
          <w:i/>
          <w:iCs/>
          <w:u w:val="single"/>
          <w:lang w:val="es-ES"/>
        </w:rPr>
        <w:t xml:space="preserve"> (salida computacional 2)</w:t>
      </w:r>
      <w:r>
        <w:rPr>
          <w:rFonts w:eastAsiaTheme="minorEastAsia"/>
          <w:lang w:val="es-ES"/>
        </w:rPr>
        <w:t xml:space="preserve">. Interesados en buscar las características </w:t>
      </w:r>
      <w:r w:rsidR="005A225C">
        <w:rPr>
          <w:rFonts w:eastAsiaTheme="minorEastAsia"/>
          <w:lang w:val="es-ES"/>
        </w:rPr>
        <w:t xml:space="preserve">que difieren poco dentro de los grupos y difieren mucho entre grupos (características distintivas </w:t>
      </w:r>
      <w:r w:rsidR="008229C0">
        <w:rPr>
          <w:rFonts w:eastAsiaTheme="minorEastAsia"/>
          <w:lang w:val="es-ES"/>
        </w:rPr>
        <w:t xml:space="preserve">entre dos grupos), la atención se focaliza </w:t>
      </w:r>
      <w:bookmarkEnd w:id="0"/>
      <w:r w:rsidR="008229C0">
        <w:rPr>
          <w:rFonts w:eastAsiaTheme="minorEastAsia"/>
          <w:lang w:val="es-ES"/>
        </w:rPr>
        <w:t xml:space="preserve">en los ítems con valores </w:t>
      </w:r>
      <w:r w:rsidR="00A40164">
        <w:rPr>
          <w:rFonts w:eastAsiaTheme="minorEastAsia"/>
          <w:lang w:val="es-ES"/>
        </w:rPr>
        <w:t xml:space="preserve">altos en capacidad diferenciadora </w:t>
      </w:r>
      <w:proofErr w:type="spellStart"/>
      <w:proofErr w:type="gramStart"/>
      <w:r w:rsidR="00A40164">
        <w:rPr>
          <w:rFonts w:eastAsiaTheme="minorEastAsia"/>
          <w:lang w:val="es-ES"/>
        </w:rPr>
        <w:t>ID</w:t>
      </w:r>
      <w:r w:rsidR="00A40164" w:rsidRPr="00A40164">
        <w:rPr>
          <w:rFonts w:eastAsiaTheme="minorEastAsia"/>
          <w:vertAlign w:val="subscript"/>
          <w:lang w:val="es-ES"/>
        </w:rPr>
        <w:t>i,h</w:t>
      </w:r>
      <w:proofErr w:type="spellEnd"/>
      <w:proofErr w:type="gramEnd"/>
      <w:r w:rsidR="00A40164">
        <w:rPr>
          <w:rFonts w:eastAsiaTheme="minorEastAsia"/>
          <w:lang w:val="es-ES"/>
        </w:rPr>
        <w:t>(</w:t>
      </w:r>
      <w:proofErr w:type="spellStart"/>
      <w:r w:rsidR="00A40164">
        <w:rPr>
          <w:rFonts w:eastAsiaTheme="minorEastAsia"/>
          <w:lang w:val="es-ES"/>
        </w:rPr>
        <w:t>G</w:t>
      </w:r>
      <w:r w:rsidR="00A40164" w:rsidRPr="00A40164">
        <w:rPr>
          <w:rFonts w:eastAsiaTheme="minorEastAsia"/>
          <w:vertAlign w:val="subscript"/>
          <w:lang w:val="es-ES"/>
        </w:rPr>
        <w:t>i</w:t>
      </w:r>
      <w:r w:rsidR="00A40164">
        <w:rPr>
          <w:rFonts w:eastAsiaTheme="minorEastAsia"/>
          <w:lang w:val="es-ES"/>
        </w:rPr>
        <w:t>,G</w:t>
      </w:r>
      <w:r w:rsidR="00A40164" w:rsidRPr="00A40164">
        <w:rPr>
          <w:rFonts w:eastAsiaTheme="minorEastAsia"/>
          <w:vertAlign w:val="subscript"/>
          <w:lang w:val="es-ES"/>
        </w:rPr>
        <w:t>j</w:t>
      </w:r>
      <w:proofErr w:type="spellEnd"/>
      <w:r w:rsidR="00A40164">
        <w:rPr>
          <w:rFonts w:eastAsiaTheme="minorEastAsia"/>
          <w:lang w:val="es-ES"/>
        </w:rPr>
        <w:t xml:space="preserve">). </w:t>
      </w:r>
      <w:r w:rsidR="004126C2">
        <w:rPr>
          <w:rFonts w:eastAsiaTheme="minorEastAsia"/>
          <w:lang w:val="es-ES"/>
        </w:rPr>
        <w:t xml:space="preserve">Las </w:t>
      </w:r>
      <w:r w:rsidR="004126C2">
        <w:rPr>
          <w:rFonts w:eastAsiaTheme="minorEastAsia"/>
          <w:lang w:val="es-ES"/>
        </w:rPr>
        <w:lastRenderedPageBreak/>
        <w:t xml:space="preserve">diferencias altas entre grupos se obtienen cuando el numerador </w:t>
      </w:r>
      <w:r w:rsidR="0077705F">
        <w:rPr>
          <w:rFonts w:eastAsiaTheme="minorEastAsia"/>
          <w:lang w:val="es-ES"/>
        </w:rPr>
        <w:t xml:space="preserve">es un valor </w:t>
      </w:r>
      <w:r w:rsidR="004126C2">
        <w:rPr>
          <w:rFonts w:eastAsiaTheme="minorEastAsia"/>
          <w:lang w:val="es-ES"/>
        </w:rPr>
        <w:t xml:space="preserve">alto y </w:t>
      </w:r>
      <w:r w:rsidR="000D4301">
        <w:rPr>
          <w:rFonts w:eastAsiaTheme="minorEastAsia"/>
          <w:lang w:val="es-ES"/>
        </w:rPr>
        <w:t xml:space="preserve">las diferencias pequeñas entre grupos se obtienen cuando el denominador es bajo. </w:t>
      </w:r>
      <w:r w:rsidR="0077705F">
        <w:rPr>
          <w:rFonts w:eastAsiaTheme="minorEastAsia"/>
          <w:lang w:val="es-ES"/>
        </w:rPr>
        <w:t xml:space="preserve">En consecuencia, </w:t>
      </w:r>
      <w:r w:rsidR="00927FF9">
        <w:rPr>
          <w:rFonts w:eastAsiaTheme="minorEastAsia"/>
          <w:lang w:val="es-ES"/>
        </w:rPr>
        <w:t xml:space="preserve">los ítems más diferenciadores </w:t>
      </w:r>
      <w:r w:rsidR="00201BA6">
        <w:rPr>
          <w:rFonts w:eastAsiaTheme="minorEastAsia"/>
          <w:lang w:val="es-ES"/>
        </w:rPr>
        <w:t xml:space="preserve">entre dos grupos se obtienen </w:t>
      </w:r>
      <w:r w:rsidR="00933C74">
        <w:rPr>
          <w:rFonts w:eastAsiaTheme="minorEastAsia"/>
          <w:lang w:val="es-ES"/>
        </w:rPr>
        <w:t>orden</w:t>
      </w:r>
      <w:r w:rsidR="0057095C">
        <w:rPr>
          <w:rFonts w:eastAsiaTheme="minorEastAsia"/>
          <w:lang w:val="es-ES"/>
        </w:rPr>
        <w:t>á</w:t>
      </w:r>
      <w:r w:rsidR="00933C74">
        <w:rPr>
          <w:rFonts w:eastAsiaTheme="minorEastAsia"/>
          <w:lang w:val="es-ES"/>
        </w:rPr>
        <w:t>ndo</w:t>
      </w:r>
      <w:r w:rsidR="0057095C">
        <w:rPr>
          <w:rFonts w:eastAsiaTheme="minorEastAsia"/>
          <w:lang w:val="es-ES"/>
        </w:rPr>
        <w:t>los</w:t>
      </w:r>
      <w:r w:rsidR="00933C74">
        <w:rPr>
          <w:rFonts w:eastAsiaTheme="minorEastAsia"/>
          <w:lang w:val="es-ES"/>
        </w:rPr>
        <w:t xml:space="preserve"> </w:t>
      </w:r>
      <w:r w:rsidR="0057095C">
        <w:rPr>
          <w:rFonts w:eastAsiaTheme="minorEastAsia"/>
          <w:lang w:val="es-ES"/>
        </w:rPr>
        <w:t xml:space="preserve">de mayor a menor </w:t>
      </w:r>
      <w:r w:rsidR="00371D16">
        <w:rPr>
          <w:rFonts w:eastAsiaTheme="minorEastAsia"/>
          <w:lang w:val="es-ES"/>
        </w:rPr>
        <w:t xml:space="preserve">por capacidad diferenciadora </w:t>
      </w:r>
      <w:r w:rsidR="00CA3403">
        <w:rPr>
          <w:rFonts w:eastAsiaTheme="minorEastAsia"/>
          <w:lang w:val="es-ES"/>
        </w:rPr>
        <w:t xml:space="preserve">y escogiendo los primeros de la lista. Salida computacional 2: </w:t>
      </w:r>
      <w:r w:rsidR="0071546A">
        <w:rPr>
          <w:rFonts w:eastAsiaTheme="minorEastAsia"/>
          <w:lang w:val="es-ES"/>
        </w:rPr>
        <w:t xml:space="preserve">listado de ítems por orden decreciente en </w:t>
      </w:r>
      <w:proofErr w:type="spellStart"/>
      <w:proofErr w:type="gramStart"/>
      <w:r w:rsidR="0071546A">
        <w:rPr>
          <w:rFonts w:eastAsiaTheme="minorEastAsia"/>
          <w:lang w:val="es-ES"/>
        </w:rPr>
        <w:t>ID</w:t>
      </w:r>
      <w:r w:rsidR="0071546A" w:rsidRPr="00A40164">
        <w:rPr>
          <w:rFonts w:eastAsiaTheme="minorEastAsia"/>
          <w:vertAlign w:val="subscript"/>
          <w:lang w:val="es-ES"/>
        </w:rPr>
        <w:t>i,h</w:t>
      </w:r>
      <w:proofErr w:type="spellEnd"/>
      <w:proofErr w:type="gramEnd"/>
      <w:r w:rsidR="0071546A">
        <w:rPr>
          <w:rFonts w:eastAsiaTheme="minorEastAsia"/>
          <w:lang w:val="es-ES"/>
        </w:rPr>
        <w:t>(</w:t>
      </w:r>
      <w:proofErr w:type="spellStart"/>
      <w:r w:rsidR="0071546A">
        <w:rPr>
          <w:rFonts w:eastAsiaTheme="minorEastAsia"/>
          <w:lang w:val="es-ES"/>
        </w:rPr>
        <w:t>G</w:t>
      </w:r>
      <w:r w:rsidR="0071546A" w:rsidRPr="00A40164">
        <w:rPr>
          <w:rFonts w:eastAsiaTheme="minorEastAsia"/>
          <w:vertAlign w:val="subscript"/>
          <w:lang w:val="es-ES"/>
        </w:rPr>
        <w:t>i</w:t>
      </w:r>
      <w:r w:rsidR="0071546A">
        <w:rPr>
          <w:rFonts w:eastAsiaTheme="minorEastAsia"/>
          <w:lang w:val="es-ES"/>
        </w:rPr>
        <w:t>,G</w:t>
      </w:r>
      <w:r w:rsidR="0071546A" w:rsidRPr="00A40164">
        <w:rPr>
          <w:rFonts w:eastAsiaTheme="minorEastAsia"/>
          <w:vertAlign w:val="subscript"/>
          <w:lang w:val="es-ES"/>
        </w:rPr>
        <w:t>j</w:t>
      </w:r>
      <w:proofErr w:type="spellEnd"/>
      <w:r w:rsidR="0071546A">
        <w:rPr>
          <w:rFonts w:eastAsiaTheme="minorEastAsia"/>
          <w:lang w:val="es-ES"/>
        </w:rPr>
        <w:t xml:space="preserve">) para cada pareja de grupos </w:t>
      </w:r>
      <w:r w:rsidR="0087783E">
        <w:rPr>
          <w:rFonts w:eastAsiaTheme="minorEastAsia"/>
          <w:lang w:val="es-ES"/>
        </w:rPr>
        <w:t>y valor en capacidad diferenciadora.</w:t>
      </w:r>
    </w:p>
    <w:p w14:paraId="6D26B572" w14:textId="2ED7766E" w:rsidR="00FD768A" w:rsidRDefault="00FD768A" w:rsidP="00FD768A">
      <w:pPr>
        <w:spacing w:after="120" w:line="360" w:lineRule="auto"/>
        <w:jc w:val="both"/>
        <w:rPr>
          <w:lang w:val="es-ES_tradnl"/>
        </w:rPr>
      </w:pPr>
      <w:r w:rsidRPr="005845AA">
        <w:rPr>
          <w:i/>
          <w:iCs/>
          <w:u w:val="single"/>
          <w:lang w:val="es-ES_tradnl"/>
        </w:rPr>
        <w:t>Alternativa 2</w:t>
      </w:r>
      <w:r>
        <w:rPr>
          <w:lang w:val="es-ES_tradnl"/>
        </w:rPr>
        <w:t xml:space="preserve">. </w:t>
      </w:r>
      <w:r w:rsidR="00972117">
        <w:rPr>
          <w:lang w:val="es-ES_tradnl"/>
        </w:rPr>
        <w:t xml:space="preserve">Para minimizar el efecto de </w:t>
      </w:r>
      <w:r w:rsidR="00AE56F0">
        <w:rPr>
          <w:lang w:val="es-ES_tradnl"/>
        </w:rPr>
        <w:t xml:space="preserve">las poblaciones de </w:t>
      </w:r>
      <w:r w:rsidR="00747384">
        <w:rPr>
          <w:lang w:val="es-ES_tradnl"/>
        </w:rPr>
        <w:t>transición</w:t>
      </w:r>
      <w:r w:rsidR="00AE56F0">
        <w:rPr>
          <w:lang w:val="es-ES_tradnl"/>
        </w:rPr>
        <w:t xml:space="preserve"> </w:t>
      </w:r>
      <w:r w:rsidR="00747384">
        <w:rPr>
          <w:lang w:val="es-ES_tradnl"/>
        </w:rPr>
        <w:t xml:space="preserve">y </w:t>
      </w:r>
      <w:r w:rsidR="00AE56F0">
        <w:rPr>
          <w:lang w:val="es-ES_tradnl"/>
        </w:rPr>
        <w:t xml:space="preserve">poblaciones </w:t>
      </w:r>
      <w:r w:rsidR="00972117">
        <w:rPr>
          <w:lang w:val="es-ES_tradnl"/>
        </w:rPr>
        <w:t>atípic</w:t>
      </w:r>
      <w:r w:rsidR="00AE56F0">
        <w:rPr>
          <w:lang w:val="es-ES_tradnl"/>
        </w:rPr>
        <w:t>as</w:t>
      </w:r>
      <w:r w:rsidR="007D28CF">
        <w:rPr>
          <w:lang w:val="es-ES_tradnl"/>
        </w:rPr>
        <w:t xml:space="preserve"> (sin necesidad de ponderaciones)</w:t>
      </w:r>
      <w:r w:rsidR="00972117">
        <w:rPr>
          <w:lang w:val="es-ES_tradnl"/>
        </w:rPr>
        <w:t>, l</w:t>
      </w:r>
      <w:r>
        <w:rPr>
          <w:lang w:val="es-ES_tradnl"/>
        </w:rPr>
        <w:t>a estabilidad del ítem h en el grupo G</w:t>
      </w:r>
      <w:r w:rsidRPr="00550580">
        <w:rPr>
          <w:vertAlign w:val="subscript"/>
          <w:lang w:val="es-ES_tradnl"/>
        </w:rPr>
        <w:t>i</w:t>
      </w:r>
      <w:r>
        <w:rPr>
          <w:lang w:val="es-ES_tradnl"/>
        </w:rPr>
        <w:t xml:space="preserve"> </w:t>
      </w:r>
      <w:r w:rsidR="00352405">
        <w:rPr>
          <w:lang w:val="es-ES_tradnl"/>
        </w:rPr>
        <w:t xml:space="preserve">puede evaluarse a partir de </w:t>
      </w:r>
      <w:r>
        <w:rPr>
          <w:lang w:val="es-ES_tradnl"/>
        </w:rPr>
        <w:t>la media</w:t>
      </w:r>
      <w:r w:rsidR="00972117">
        <w:rPr>
          <w:lang w:val="es-ES_tradnl"/>
        </w:rPr>
        <w:t>na</w:t>
      </w:r>
      <w:r>
        <w:rPr>
          <w:lang w:val="es-ES_tradnl"/>
        </w:rPr>
        <w:t xml:space="preserve"> de las </w:t>
      </w:r>
      <w:proofErr w:type="spellStart"/>
      <w:r>
        <w:rPr>
          <w:lang w:val="es-ES_tradnl"/>
        </w:rPr>
        <w:t>interdistancias</w:t>
      </w:r>
      <w:proofErr w:type="spellEnd"/>
      <w:r>
        <w:rPr>
          <w:lang w:val="es-ES_tradnl"/>
        </w:rPr>
        <w:t xml:space="preserve"> entre los elementos que forman el grupo</w:t>
      </w:r>
      <w:r w:rsidR="00352405">
        <w:rPr>
          <w:lang w:val="es-ES_tradnl"/>
        </w:rPr>
        <w:t xml:space="preserve">. </w:t>
      </w:r>
      <w:r w:rsidR="003E6BE3">
        <w:rPr>
          <w:lang w:val="es-ES_tradnl"/>
        </w:rPr>
        <w:t xml:space="preserve">La robustez de las medianas </w:t>
      </w:r>
      <w:r w:rsidR="001C0E88">
        <w:rPr>
          <w:lang w:val="es-ES_tradnl"/>
        </w:rPr>
        <w:t xml:space="preserve">hace </w:t>
      </w:r>
      <w:r w:rsidR="004E64F1">
        <w:rPr>
          <w:lang w:val="es-ES_tradnl"/>
        </w:rPr>
        <w:t xml:space="preserve">innecesaria la ponderación por </w:t>
      </w:r>
      <w:r w:rsidR="001C0E88">
        <w:rPr>
          <w:lang w:val="es-ES_tradnl"/>
        </w:rPr>
        <w:t xml:space="preserve">las </w:t>
      </w:r>
      <w:r w:rsidR="004E64F1">
        <w:rPr>
          <w:lang w:val="es-ES_tradnl"/>
        </w:rPr>
        <w:t>probabilidad</w:t>
      </w:r>
      <w:r w:rsidR="001C0E88">
        <w:rPr>
          <w:lang w:val="es-ES_tradnl"/>
        </w:rPr>
        <w:t>es</w:t>
      </w:r>
      <w:r w:rsidR="004E64F1">
        <w:rPr>
          <w:lang w:val="es-ES_tradnl"/>
        </w:rPr>
        <w:t xml:space="preserve"> de pertenencia al grupo. </w:t>
      </w:r>
      <w:r w:rsidR="006E7230">
        <w:rPr>
          <w:lang w:val="es-ES_tradnl"/>
        </w:rPr>
        <w:t xml:space="preserve">Formalmente, </w:t>
      </w:r>
    </w:p>
    <w:p w14:paraId="010BBF05" w14:textId="6FF195C0" w:rsidR="00FD768A" w:rsidRDefault="00FD768A" w:rsidP="00FD768A">
      <w:pPr>
        <w:spacing w:after="120" w:line="360" w:lineRule="auto"/>
        <w:jc w:val="center"/>
        <w:rPr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Est</m:t>
            </m:r>
          </m:e>
          <m:sub>
            <m:r>
              <w:rPr>
                <w:rFonts w:ascii="Cambria Math" w:hAnsi="Cambria Math"/>
                <w:lang w:val="es-ES_tradnl"/>
              </w:rPr>
              <m:t>2,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med</m:t>
            </m:r>
          </m:e>
          <m:sub>
            <m:r>
              <w:rPr>
                <w:rFonts w:ascii="Cambria Math" w:hAnsi="Cambria Math"/>
                <w:lang w:val="es-ES_tradnl"/>
              </w:rPr>
              <m:t xml:space="preserve">k=1,…, 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;j&gt;k</m:t>
            </m:r>
          </m:sub>
        </m:sSub>
        <m:r>
          <w:rPr>
            <w:rFonts w:ascii="Cambria Math" w:hAnsi="Cambria Math"/>
            <w:lang w:val="es-ES_tradnl"/>
          </w:rPr>
          <m:t>{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h</m:t>
                </m:r>
              </m:e>
            </m:d>
          </m:sup>
        </m:sSup>
        <m:r>
          <w:rPr>
            <w:rFonts w:ascii="Cambria Math" w:hAnsi="Cambria Math"/>
            <w:lang w:val="es-ES_tradnl"/>
          </w:rPr>
          <m:t>(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ik</m:t>
            </m:r>
          </m:sub>
        </m:sSub>
        <m:r>
          <w:rPr>
            <w:rFonts w:ascii="Cambria Math" w:hAnsi="Cambria Math"/>
            <w:lang w:val="es-ES_tradnl"/>
          </w:rPr>
          <m:t>,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il</m:t>
            </m:r>
          </m:sub>
        </m:sSub>
        <m:r>
          <w:rPr>
            <w:rFonts w:ascii="Cambria Math" w:hAnsi="Cambria Math"/>
            <w:lang w:val="es-ES_tradnl"/>
          </w:rPr>
          <m:t>)}</m:t>
        </m:r>
      </m:oMath>
    </w:p>
    <w:p w14:paraId="3AABC5CF" w14:textId="47DFF134" w:rsidR="00FD768A" w:rsidRDefault="00F90BC6" w:rsidP="00FD768A">
      <w:pPr>
        <w:spacing w:after="120" w:line="360" w:lineRule="auto"/>
        <w:jc w:val="both"/>
        <w:rPr>
          <w:lang w:val="es-ES_tradnl"/>
        </w:rPr>
      </w:pPr>
      <w:r>
        <w:rPr>
          <w:lang w:val="es-ES_tradnl"/>
        </w:rPr>
        <w:t xml:space="preserve">Acorde </w:t>
      </w:r>
      <w:r w:rsidR="00280160">
        <w:rPr>
          <w:lang w:val="es-ES_tradnl"/>
        </w:rPr>
        <w:t>c</w:t>
      </w:r>
      <w:r>
        <w:rPr>
          <w:lang w:val="es-ES_tradnl"/>
        </w:rPr>
        <w:t xml:space="preserve">on este planteamiento robusto, </w:t>
      </w:r>
      <w:r w:rsidR="00FD768A">
        <w:rPr>
          <w:lang w:val="es-ES_tradnl"/>
        </w:rPr>
        <w:t>la variabilidad del ítem h en los grupos G</w:t>
      </w:r>
      <w:r w:rsidR="00FD768A" w:rsidRPr="00F90BC6">
        <w:rPr>
          <w:vertAlign w:val="subscript"/>
          <w:lang w:val="es-ES_tradnl"/>
        </w:rPr>
        <w:t>i</w:t>
      </w:r>
      <w:r w:rsidR="00FD768A">
        <w:rPr>
          <w:lang w:val="es-ES_tradnl"/>
        </w:rPr>
        <w:t xml:space="preserve"> y </w:t>
      </w:r>
      <w:proofErr w:type="spellStart"/>
      <w:r w:rsidR="00FD768A">
        <w:rPr>
          <w:lang w:val="es-ES_tradnl"/>
        </w:rPr>
        <w:t>G</w:t>
      </w:r>
      <w:r w:rsidR="00FD768A" w:rsidRPr="00F90BC6">
        <w:rPr>
          <w:vertAlign w:val="subscript"/>
          <w:lang w:val="es-ES_tradnl"/>
        </w:rPr>
        <w:t>j</w:t>
      </w:r>
      <w:proofErr w:type="spellEnd"/>
      <w:r w:rsidR="00FD768A">
        <w:rPr>
          <w:lang w:val="es-ES_tradnl"/>
        </w:rPr>
        <w:t xml:space="preserve"> </w:t>
      </w:r>
      <w:r w:rsidR="00CE4C1F">
        <w:rPr>
          <w:lang w:val="es-ES_tradnl"/>
        </w:rPr>
        <w:t xml:space="preserve">se cuantifica en </w:t>
      </w:r>
      <w:r w:rsidR="00FD768A">
        <w:rPr>
          <w:lang w:val="es-ES_tradnl"/>
        </w:rPr>
        <w:t>la</w:t>
      </w:r>
      <w:r w:rsidR="003E4B32">
        <w:rPr>
          <w:lang w:val="es-ES_tradnl"/>
        </w:rPr>
        <w:t xml:space="preserve"> mediana</w:t>
      </w:r>
      <w:r w:rsidR="00FD768A">
        <w:rPr>
          <w:lang w:val="es-ES_tradnl"/>
        </w:rPr>
        <w:t xml:space="preserve"> de las </w:t>
      </w:r>
      <w:proofErr w:type="spellStart"/>
      <w:r w:rsidR="00FD768A">
        <w:rPr>
          <w:lang w:val="es-ES_tradnl"/>
        </w:rPr>
        <w:t>interdistancias</w:t>
      </w:r>
      <w:proofErr w:type="spellEnd"/>
      <w:r w:rsidR="00FD768A">
        <w:rPr>
          <w:lang w:val="es-ES_tradnl"/>
        </w:rPr>
        <w:t xml:space="preserve"> entre </w:t>
      </w:r>
      <w:r w:rsidR="007F5EC2">
        <w:rPr>
          <w:lang w:val="es-ES_tradnl"/>
        </w:rPr>
        <w:t>elementos</w:t>
      </w:r>
      <w:r w:rsidR="00FD768A">
        <w:rPr>
          <w:lang w:val="es-ES_tradnl"/>
        </w:rPr>
        <w:t xml:space="preserve"> de grupos distintos,</w:t>
      </w:r>
    </w:p>
    <w:p w14:paraId="6AD0695E" w14:textId="10CD1006" w:rsidR="00FD768A" w:rsidRPr="00280160" w:rsidRDefault="00541E45" w:rsidP="00FD768A">
      <w:pPr>
        <w:spacing w:after="120" w:line="360" w:lineRule="auto"/>
        <w:jc w:val="center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Var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2,</m:t>
              </m:r>
              <m:r>
                <w:rPr>
                  <w:rFonts w:ascii="Cambria Math" w:hAnsi="Cambria Math"/>
                  <w:lang w:val="es-ES_tradnl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med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_tradnl"/>
                    </w:rPr>
                    <m:t xml:space="preserve">k=1,…,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s-ES_tradnl"/>
                    </w:rPr>
                    <m:t>r=1,…,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j</m:t>
                      </m:r>
                    </m:sub>
                  </m:sSub>
                </m:e>
              </m:eqArr>
            </m:sub>
          </m:sSub>
          <m:r>
            <w:rPr>
              <w:rFonts w:ascii="Cambria Math" w:hAnsi="Cambria Math"/>
              <w:lang w:val="es-ES_tradnl"/>
            </w:rPr>
            <m:t>{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h</m:t>
                  </m:r>
                </m:e>
              </m:d>
            </m:sup>
          </m:sSup>
          <m:r>
            <w:rPr>
              <w:rFonts w:ascii="Cambria Math" w:hAnsi="Cambria Math"/>
              <w:lang w:val="es-ES_tradnl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P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ik</m:t>
              </m:r>
            </m:sub>
          </m:sSub>
          <m:r>
            <w:rPr>
              <w:rFonts w:ascii="Cambria Math" w:hAnsi="Cambria Math"/>
              <w:lang w:val="es-ES_tradn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P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jr</m:t>
              </m:r>
            </m:sub>
          </m:sSub>
          <m:r>
            <w:rPr>
              <w:rFonts w:ascii="Cambria Math" w:hAnsi="Cambria Math"/>
              <w:lang w:val="es-ES_tradnl"/>
            </w:rPr>
            <m:t>)}</m:t>
          </m:r>
        </m:oMath>
      </m:oMathPara>
    </w:p>
    <w:p w14:paraId="33477D14" w14:textId="5F5845D9" w:rsidR="00670D56" w:rsidRDefault="007D28CF" w:rsidP="00670D56">
      <w:pPr>
        <w:spacing w:after="120" w:line="360" w:lineRule="auto"/>
        <w:jc w:val="both"/>
        <w:rPr>
          <w:lang w:val="es-ES_tradnl"/>
        </w:rPr>
      </w:pPr>
      <w:r>
        <w:rPr>
          <w:lang w:val="es-ES_tradnl"/>
        </w:rPr>
        <w:t xml:space="preserve">y, por paralelismo, </w:t>
      </w:r>
      <w:r w:rsidR="00670D56">
        <w:rPr>
          <w:lang w:val="es-ES_tradnl"/>
        </w:rPr>
        <w:t xml:space="preserve">la capacidad diferenciadora de un ítem h </w:t>
      </w:r>
      <w:r w:rsidR="00E22AF4">
        <w:rPr>
          <w:lang w:val="es-ES_tradnl"/>
        </w:rPr>
        <w:t xml:space="preserve">se ha </w:t>
      </w:r>
      <w:r w:rsidR="00670D56">
        <w:rPr>
          <w:lang w:val="es-ES_tradnl"/>
        </w:rPr>
        <w:t>relacionado con el cociente entre la variabilidad y la estabilidad,</w:t>
      </w:r>
    </w:p>
    <w:p w14:paraId="58963DC2" w14:textId="06CA7398" w:rsidR="00670D56" w:rsidRPr="00E80D35" w:rsidRDefault="00E80D35" w:rsidP="00E80D35">
      <w:pPr>
        <w:spacing w:after="120" w:line="360" w:lineRule="auto"/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ID</m:t>
            </m:r>
          </m:e>
          <m:sub>
            <m:r>
              <w:rPr>
                <w:rFonts w:ascii="Cambria Math" w:hAnsi="Cambria Math"/>
                <w:lang w:val="es-ES_tradnl"/>
              </w:rPr>
              <m:t>2,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Var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2,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max⁡</m:t>
            </m:r>
            <m:r>
              <w:rPr>
                <w:rFonts w:ascii="Cambria Math" w:hAnsi="Cambria Math"/>
                <w:lang w:val="es-ES_tradnl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Est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2,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,  Est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2,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s-ES_tradnl"/>
              </w:rPr>
              <m:t>, 0.000001}</m:t>
            </m:r>
          </m:den>
        </m:f>
      </m:oMath>
    </w:p>
    <w:p w14:paraId="239E3142" w14:textId="0A577D80" w:rsidR="00365121" w:rsidRDefault="00CE4C1F" w:rsidP="00CE4C1F">
      <w:pPr>
        <w:spacing w:after="120" w:line="360" w:lineRule="auto"/>
        <w:jc w:val="both"/>
        <w:rPr>
          <w:rFonts w:eastAsiaTheme="minorEastAsia"/>
          <w:lang w:val="es-ES"/>
        </w:rPr>
      </w:pPr>
      <w:proofErr w:type="spellStart"/>
      <w:r w:rsidRPr="0087783E">
        <w:rPr>
          <w:rFonts w:eastAsiaTheme="minorEastAsia"/>
          <w:i/>
          <w:iCs/>
          <w:u w:val="single"/>
          <w:lang w:val="es-ES"/>
        </w:rPr>
        <w:t>Remark</w:t>
      </w:r>
      <w:proofErr w:type="spellEnd"/>
      <w:r w:rsidRPr="0087783E">
        <w:rPr>
          <w:rFonts w:eastAsiaTheme="minorEastAsia"/>
          <w:i/>
          <w:iCs/>
          <w:u w:val="single"/>
          <w:lang w:val="es-ES"/>
        </w:rPr>
        <w:t xml:space="preserve"> </w:t>
      </w:r>
      <w:r w:rsidR="00CB635B">
        <w:rPr>
          <w:rFonts w:eastAsiaTheme="minorEastAsia"/>
          <w:i/>
          <w:iCs/>
          <w:u w:val="single"/>
          <w:lang w:val="es-ES"/>
        </w:rPr>
        <w:t>6</w:t>
      </w:r>
      <w:r w:rsidR="00D90A7C">
        <w:rPr>
          <w:rFonts w:eastAsiaTheme="minorEastAsia"/>
          <w:lang w:val="es-ES"/>
        </w:rPr>
        <w:t xml:space="preserve">. </w:t>
      </w:r>
      <w:r w:rsidR="00280160">
        <w:rPr>
          <w:rFonts w:eastAsiaTheme="minorEastAsia"/>
          <w:lang w:val="es-ES"/>
        </w:rPr>
        <w:t>Este planteamiento resulta especialmente interesante cuando no se dispone de la probabilidad de pertenencia a cada grupo</w:t>
      </w:r>
      <w:r w:rsidR="00442F89">
        <w:rPr>
          <w:rFonts w:eastAsiaTheme="minorEastAsia"/>
          <w:lang w:val="es-ES"/>
        </w:rPr>
        <w:t xml:space="preserve"> y, </w:t>
      </w:r>
      <w:r w:rsidR="00D90A7C">
        <w:rPr>
          <w:rFonts w:eastAsiaTheme="minorEastAsia"/>
          <w:lang w:val="es-ES"/>
        </w:rPr>
        <w:t xml:space="preserve">particular, </w:t>
      </w:r>
      <w:r w:rsidR="00442F89">
        <w:rPr>
          <w:rFonts w:eastAsiaTheme="minorEastAsia"/>
          <w:lang w:val="es-ES"/>
        </w:rPr>
        <w:t xml:space="preserve">cuando la clasificación dialectal es </w:t>
      </w:r>
      <w:r w:rsidR="00C61614">
        <w:rPr>
          <w:rFonts w:eastAsiaTheme="minorEastAsia"/>
          <w:lang w:val="es-ES"/>
        </w:rPr>
        <w:t>de tipo determinista</w:t>
      </w:r>
      <w:r w:rsidR="008452E7">
        <w:rPr>
          <w:rFonts w:eastAsiaTheme="minorEastAsia"/>
          <w:lang w:val="es-ES"/>
        </w:rPr>
        <w:t xml:space="preserve"> </w:t>
      </w:r>
      <w:r w:rsidR="00D90A7C">
        <w:rPr>
          <w:rFonts w:eastAsiaTheme="minorEastAsia"/>
          <w:lang w:val="es-ES"/>
        </w:rPr>
        <w:t xml:space="preserve">y esta clasificación no puede relacionarse con </w:t>
      </w:r>
      <w:r w:rsidR="008452E7">
        <w:rPr>
          <w:rFonts w:eastAsiaTheme="minorEastAsia"/>
          <w:lang w:val="es-ES"/>
        </w:rPr>
        <w:t xml:space="preserve">la lógica </w:t>
      </w:r>
      <w:proofErr w:type="spellStart"/>
      <w:r w:rsidR="008452E7">
        <w:rPr>
          <w:rFonts w:eastAsiaTheme="minorEastAsia"/>
          <w:lang w:val="es-ES"/>
        </w:rPr>
        <w:t>fuzzy</w:t>
      </w:r>
      <w:proofErr w:type="spellEnd"/>
      <w:r w:rsidR="00D90A7C">
        <w:rPr>
          <w:rFonts w:eastAsiaTheme="minorEastAsia"/>
          <w:lang w:val="es-ES"/>
        </w:rPr>
        <w:t>.</w:t>
      </w:r>
      <w:r w:rsidR="008452E7">
        <w:rPr>
          <w:rFonts w:eastAsiaTheme="minorEastAsia"/>
          <w:lang w:val="es-ES"/>
        </w:rPr>
        <w:t xml:space="preserve"> </w:t>
      </w:r>
      <w:r w:rsidR="00D90A7C">
        <w:rPr>
          <w:rFonts w:eastAsiaTheme="minorEastAsia"/>
          <w:lang w:val="es-ES"/>
        </w:rPr>
        <w:t>Este planteamiento no está exento de posibles contradicciones: a)</w:t>
      </w:r>
      <w:r w:rsidR="008452E7">
        <w:rPr>
          <w:rFonts w:eastAsiaTheme="minorEastAsia"/>
          <w:lang w:val="es-ES"/>
        </w:rPr>
        <w:t xml:space="preserve"> </w:t>
      </w:r>
      <w:r w:rsidR="000A654E">
        <w:rPr>
          <w:rFonts w:eastAsiaTheme="minorEastAsia"/>
          <w:lang w:val="es-ES"/>
        </w:rPr>
        <w:t xml:space="preserve">la robustez </w:t>
      </w:r>
      <w:r w:rsidR="00FE1BF6">
        <w:rPr>
          <w:rFonts w:eastAsiaTheme="minorEastAsia"/>
          <w:lang w:val="es-ES"/>
        </w:rPr>
        <w:t xml:space="preserve">de la mediana </w:t>
      </w:r>
      <w:r w:rsidR="00482C4D">
        <w:rPr>
          <w:rFonts w:eastAsiaTheme="minorEastAsia"/>
          <w:lang w:val="es-ES"/>
        </w:rPr>
        <w:t xml:space="preserve">puede verse afectada </w:t>
      </w:r>
      <w:r w:rsidR="00F36008">
        <w:rPr>
          <w:rFonts w:eastAsiaTheme="minorEastAsia"/>
          <w:lang w:val="es-ES"/>
        </w:rPr>
        <w:t xml:space="preserve">cuando alguno de los grupos tenga </w:t>
      </w:r>
      <w:r w:rsidR="005E4262">
        <w:rPr>
          <w:rFonts w:eastAsiaTheme="minorEastAsia"/>
          <w:lang w:val="es-ES"/>
        </w:rPr>
        <w:t>un tamaño reducido (</w:t>
      </w:r>
      <w:r w:rsidR="002B21A0">
        <w:rPr>
          <w:rFonts w:eastAsiaTheme="minorEastAsia"/>
          <w:lang w:val="es-ES"/>
        </w:rPr>
        <w:t>número de poblaciones reducido</w:t>
      </w:r>
      <w:r w:rsidR="005E4262">
        <w:rPr>
          <w:rFonts w:eastAsiaTheme="minorEastAsia"/>
          <w:lang w:val="es-ES"/>
        </w:rPr>
        <w:t>)</w:t>
      </w:r>
      <w:r w:rsidR="00D90A7C">
        <w:rPr>
          <w:rFonts w:eastAsiaTheme="minorEastAsia"/>
          <w:lang w:val="es-ES"/>
        </w:rPr>
        <w:t xml:space="preserve">; y b) los indicadores pueden ser no representativos </w:t>
      </w:r>
      <w:r w:rsidR="00AB496F">
        <w:rPr>
          <w:rFonts w:eastAsiaTheme="minorEastAsia"/>
          <w:lang w:val="es-ES"/>
        </w:rPr>
        <w:t xml:space="preserve">cuando </w:t>
      </w:r>
      <w:r w:rsidR="00D90A7C">
        <w:rPr>
          <w:rFonts w:eastAsiaTheme="minorEastAsia"/>
          <w:lang w:val="es-ES"/>
        </w:rPr>
        <w:t xml:space="preserve">más de la mitad de las </w:t>
      </w:r>
      <w:proofErr w:type="spellStart"/>
      <w:r w:rsidR="00D90A7C">
        <w:rPr>
          <w:rFonts w:eastAsiaTheme="minorEastAsia"/>
          <w:lang w:val="es-ES"/>
        </w:rPr>
        <w:t>interdistancias</w:t>
      </w:r>
      <w:proofErr w:type="spellEnd"/>
      <w:r w:rsidR="00D90A7C">
        <w:rPr>
          <w:rFonts w:eastAsiaTheme="minorEastAsia"/>
          <w:lang w:val="es-ES"/>
        </w:rPr>
        <w:t xml:space="preserve"> son iguales </w:t>
      </w:r>
      <w:r w:rsidR="00AB496F">
        <w:rPr>
          <w:rFonts w:eastAsiaTheme="minorEastAsia"/>
          <w:lang w:val="es-ES"/>
        </w:rPr>
        <w:t>a cero</w:t>
      </w:r>
      <w:r w:rsidR="00D90A7C">
        <w:rPr>
          <w:rFonts w:eastAsiaTheme="minorEastAsia"/>
          <w:lang w:val="es-ES"/>
        </w:rPr>
        <w:t xml:space="preserve"> (</w:t>
      </w:r>
      <w:r w:rsidR="00AB4A52">
        <w:rPr>
          <w:rFonts w:eastAsiaTheme="minorEastAsia"/>
          <w:lang w:val="es-ES"/>
        </w:rPr>
        <w:t>la mediana será cero independientemente del resto de valores</w:t>
      </w:r>
      <w:r w:rsidR="00D90A7C">
        <w:rPr>
          <w:rFonts w:eastAsiaTheme="minorEastAsia"/>
          <w:lang w:val="es-ES"/>
        </w:rPr>
        <w:t>).</w:t>
      </w:r>
    </w:p>
    <w:p w14:paraId="246C2E23" w14:textId="08F9A409" w:rsidR="00497760" w:rsidRDefault="00497760" w:rsidP="00497760">
      <w:pPr>
        <w:spacing w:after="120" w:line="360" w:lineRule="auto"/>
        <w:jc w:val="both"/>
        <w:rPr>
          <w:lang w:val="es-ES_tradnl"/>
        </w:rPr>
      </w:pPr>
      <w:r w:rsidRPr="005845AA">
        <w:rPr>
          <w:i/>
          <w:iCs/>
          <w:u w:val="single"/>
          <w:lang w:val="es-ES_tradnl"/>
        </w:rPr>
        <w:t xml:space="preserve">Alternativa </w:t>
      </w:r>
      <w:r w:rsidR="00E27513" w:rsidRPr="005845AA">
        <w:rPr>
          <w:i/>
          <w:iCs/>
          <w:u w:val="single"/>
          <w:lang w:val="es-ES_tradnl"/>
        </w:rPr>
        <w:t>3</w:t>
      </w:r>
      <w:r>
        <w:rPr>
          <w:lang w:val="es-ES_tradnl"/>
        </w:rPr>
        <w:t xml:space="preserve">. </w:t>
      </w:r>
      <w:r w:rsidR="00E27513">
        <w:rPr>
          <w:lang w:val="es-ES_tradnl"/>
        </w:rPr>
        <w:t>L</w:t>
      </w:r>
      <w:r>
        <w:rPr>
          <w:lang w:val="es-ES_tradnl"/>
        </w:rPr>
        <w:t>a estabilidad del ítem h en el grupo G</w:t>
      </w:r>
      <w:r w:rsidRPr="00550580">
        <w:rPr>
          <w:vertAlign w:val="subscript"/>
          <w:lang w:val="es-ES_tradnl"/>
        </w:rPr>
        <w:t>i</w:t>
      </w:r>
      <w:r>
        <w:rPr>
          <w:lang w:val="es-ES_tradnl"/>
        </w:rPr>
        <w:t xml:space="preserve"> </w:t>
      </w:r>
      <w:r w:rsidR="00C23A40">
        <w:rPr>
          <w:lang w:val="es-ES_tradnl"/>
        </w:rPr>
        <w:t xml:space="preserve">puede también </w:t>
      </w:r>
      <w:r w:rsidR="00211375">
        <w:rPr>
          <w:lang w:val="es-ES_tradnl"/>
        </w:rPr>
        <w:t>cuantificarse</w:t>
      </w:r>
      <w:r w:rsidR="009954CF">
        <w:rPr>
          <w:lang w:val="es-ES_tradnl"/>
        </w:rPr>
        <w:t xml:space="preserve"> a partir del </w:t>
      </w:r>
      <w:r w:rsidR="00D33A80">
        <w:rPr>
          <w:lang w:val="es-ES_tradnl"/>
        </w:rPr>
        <w:t xml:space="preserve">porcentaje de distancias </w:t>
      </w:r>
      <w:r>
        <w:rPr>
          <w:lang w:val="es-ES_tradnl"/>
        </w:rPr>
        <w:t xml:space="preserve">entre los elementos que forman el grupo i </w:t>
      </w:r>
      <w:r w:rsidR="003D682D">
        <w:rPr>
          <w:lang w:val="es-ES_tradnl"/>
        </w:rPr>
        <w:t>que son menores o iguales a un valor prefijado C</w:t>
      </w:r>
      <w:r w:rsidR="00CB635B">
        <w:rPr>
          <w:lang w:val="es-ES_tradnl"/>
        </w:rPr>
        <w:t xml:space="preserve">. Formalmente, </w:t>
      </w:r>
    </w:p>
    <w:p w14:paraId="6532C88F" w14:textId="3B8B8754" w:rsidR="00497760" w:rsidRDefault="00497760" w:rsidP="00497760">
      <w:pPr>
        <w:spacing w:after="120" w:line="360" w:lineRule="auto"/>
        <w:jc w:val="center"/>
        <w:rPr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Est</m:t>
            </m:r>
          </m:e>
          <m:sub>
            <m:r>
              <w:rPr>
                <w:rFonts w:ascii="Cambria Math" w:hAnsi="Cambria Math"/>
                <w:lang w:val="es-ES_tradnl"/>
              </w:rPr>
              <m:t>3,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lang w:val="es-ES_tradnl"/>
              </w:rPr>
            </m:ctrlPr>
          </m:fPr>
          <m:num>
            <m:r>
              <w:rPr>
                <w:rFonts w:ascii="Cambria Math" w:hAnsi="Cambria Math"/>
                <w:lang w:val="es-ES_tradn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-1)</m:t>
            </m:r>
          </m:den>
        </m:f>
        <m:r>
          <w:rPr>
            <w:rFonts w:ascii="Cambria Math" w:hAnsi="Cambria Math"/>
            <w:lang w:val="es-ES_tradnl"/>
          </w:rPr>
          <m:t>#{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h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ik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il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h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ik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il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 xml:space="preserve">≤C,  k=1,…, 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b>
            <m:r>
              <w:rPr>
                <w:rFonts w:ascii="Cambria Math" w:hAnsi="Cambria Math"/>
                <w:lang w:val="es-ES_tradnl"/>
              </w:rPr>
              <m:t>i</m:t>
            </m:r>
          </m:sub>
        </m:sSub>
        <m:r>
          <w:rPr>
            <w:rFonts w:ascii="Cambria Math" w:hAnsi="Cambria Math"/>
            <w:lang w:val="es-ES_tradnl"/>
          </w:rPr>
          <m:t>,  l&gt;k}</m:t>
        </m:r>
      </m:oMath>
    </w:p>
    <w:p w14:paraId="6844F99A" w14:textId="6804CF9D" w:rsidR="00497760" w:rsidRDefault="00CB635B" w:rsidP="00497760">
      <w:pPr>
        <w:spacing w:after="120"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L</w:t>
      </w:r>
      <w:r w:rsidR="00497760">
        <w:rPr>
          <w:lang w:val="es-ES_tradnl"/>
        </w:rPr>
        <w:t>a variabilidad del ítem h en los grupos G</w:t>
      </w:r>
      <w:r w:rsidR="00497760" w:rsidRPr="008A29C0">
        <w:rPr>
          <w:vertAlign w:val="subscript"/>
          <w:lang w:val="es-ES_tradnl"/>
        </w:rPr>
        <w:t>i</w:t>
      </w:r>
      <w:r w:rsidR="00497760">
        <w:rPr>
          <w:lang w:val="es-ES_tradnl"/>
        </w:rPr>
        <w:t xml:space="preserve"> y </w:t>
      </w:r>
      <w:proofErr w:type="spellStart"/>
      <w:r w:rsidR="00497760">
        <w:rPr>
          <w:lang w:val="es-ES_tradnl"/>
        </w:rPr>
        <w:t>G</w:t>
      </w:r>
      <w:r w:rsidR="00497760" w:rsidRPr="008A29C0">
        <w:rPr>
          <w:vertAlign w:val="subscript"/>
          <w:lang w:val="es-ES_tradnl"/>
        </w:rPr>
        <w:t>j</w:t>
      </w:r>
      <w:proofErr w:type="spellEnd"/>
      <w:r w:rsidR="00497760">
        <w:rPr>
          <w:lang w:val="es-ES_tradnl"/>
        </w:rPr>
        <w:t xml:space="preserve"> es </w:t>
      </w:r>
      <w:r w:rsidR="00655CCF">
        <w:rPr>
          <w:lang w:val="es-ES_tradnl"/>
        </w:rPr>
        <w:t xml:space="preserve">el porcentaje </w:t>
      </w:r>
      <w:r w:rsidR="00CF1B70">
        <w:rPr>
          <w:lang w:val="es-ES_tradnl"/>
        </w:rPr>
        <w:t xml:space="preserve">de </w:t>
      </w:r>
      <w:proofErr w:type="spellStart"/>
      <w:r w:rsidR="00497760">
        <w:rPr>
          <w:lang w:val="es-ES_tradnl"/>
        </w:rPr>
        <w:t>interdistancias</w:t>
      </w:r>
      <w:proofErr w:type="spellEnd"/>
      <w:r w:rsidR="00497760">
        <w:rPr>
          <w:lang w:val="es-ES_tradnl"/>
        </w:rPr>
        <w:t xml:space="preserve"> entre </w:t>
      </w:r>
      <w:r w:rsidR="007F5EC2">
        <w:rPr>
          <w:lang w:val="es-ES_tradnl"/>
        </w:rPr>
        <w:t>elementos</w:t>
      </w:r>
      <w:r w:rsidR="00497760">
        <w:rPr>
          <w:lang w:val="es-ES_tradnl"/>
        </w:rPr>
        <w:t xml:space="preserve"> de grupos distintos</w:t>
      </w:r>
      <w:r w:rsidR="00CF1B70">
        <w:rPr>
          <w:lang w:val="es-ES_tradnl"/>
        </w:rPr>
        <w:t xml:space="preserve"> que son </w:t>
      </w:r>
      <w:r>
        <w:rPr>
          <w:lang w:val="es-ES_tradnl"/>
        </w:rPr>
        <w:t xml:space="preserve">mayores </w:t>
      </w:r>
      <w:r w:rsidR="00EF6D98">
        <w:rPr>
          <w:lang w:val="es-ES_tradnl"/>
        </w:rPr>
        <w:t>a</w:t>
      </w:r>
      <w:r>
        <w:rPr>
          <w:lang w:val="es-ES_tradnl"/>
        </w:rPr>
        <w:t xml:space="preserve">l </w:t>
      </w:r>
      <w:r w:rsidR="00EF6D98">
        <w:rPr>
          <w:lang w:val="es-ES_tradnl"/>
        </w:rPr>
        <w:t>valor prefijado C</w:t>
      </w:r>
      <w:r w:rsidR="00497760">
        <w:rPr>
          <w:lang w:val="es-ES_tradnl"/>
        </w:rPr>
        <w:t>,</w:t>
      </w:r>
    </w:p>
    <w:p w14:paraId="2C831ED6" w14:textId="25623477" w:rsidR="004342F0" w:rsidRDefault="00541E45" w:rsidP="00497760">
      <w:pPr>
        <w:spacing w:after="120" w:line="360" w:lineRule="auto"/>
        <w:jc w:val="center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Var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3,</m:t>
              </m:r>
              <m:r>
                <w:rPr>
                  <w:rFonts w:ascii="Cambria Math" w:hAnsi="Cambria Math"/>
                  <w:lang w:val="es-ES_tradnl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s-ES_tradnl"/>
            </w:rPr>
            <m:t>#{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h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jr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h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jr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 xml:space="preserve">&gt;C, k=1,…,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i</m:t>
              </m:r>
            </m:sub>
          </m:sSub>
          <m:r>
            <w:rPr>
              <w:rFonts w:ascii="Cambria Math" w:hAnsi="Cambria Math"/>
              <w:lang w:val="es-ES_tradnl"/>
            </w:rPr>
            <m:t>,r=1,…,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}  </m:t>
          </m:r>
        </m:oMath>
      </m:oMathPara>
    </w:p>
    <w:p w14:paraId="717FA4B7" w14:textId="389C82FA" w:rsidR="00CB635B" w:rsidRDefault="00CB635B" w:rsidP="00CB635B">
      <w:pPr>
        <w:spacing w:after="120" w:line="360" w:lineRule="auto"/>
        <w:jc w:val="both"/>
        <w:rPr>
          <w:lang w:val="es-ES_tradnl"/>
        </w:rPr>
      </w:pPr>
      <w:r>
        <w:rPr>
          <w:lang w:val="es-ES_tradnl"/>
        </w:rPr>
        <w:t>y la capacidad diferenciadora de un ítem h se ha relacionado con el cociente entre la variabilidad y la estabilidad,</w:t>
      </w:r>
    </w:p>
    <w:p w14:paraId="6A318C59" w14:textId="173F9D16" w:rsidR="008A29C0" w:rsidRDefault="00E80D35" w:rsidP="00E80D35">
      <w:pPr>
        <w:spacing w:before="240" w:after="0" w:line="360" w:lineRule="auto"/>
        <w:jc w:val="center"/>
        <w:rPr>
          <w:b/>
          <w:bCs/>
          <w:lang w:val="es-ES_tradnl"/>
        </w:rPr>
      </w:pPr>
      <w:r>
        <w:rPr>
          <w:rFonts w:eastAsiaTheme="minorEastAsia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ID</m:t>
            </m:r>
          </m:e>
          <m:sub>
            <m:r>
              <w:rPr>
                <w:rFonts w:ascii="Cambria Math" w:hAnsi="Cambria Math"/>
                <w:lang w:val="es-ES_tradnl"/>
              </w:rPr>
              <m:t>3,</m:t>
            </m:r>
            <m:r>
              <w:rPr>
                <w:rFonts w:ascii="Cambria Math" w:hAnsi="Cambria Math"/>
                <w:lang w:val="es-ES_tradnl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i</m:t>
                </m:r>
              </m:sub>
            </m:sSub>
            <m:r>
              <w:rPr>
                <w:rFonts w:ascii="Cambria Math" w:hAnsi="Cambria Math"/>
                <w:lang w:val="es-ES_trad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Var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3,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ES_trad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max⁡</m:t>
            </m:r>
            <m:r>
              <w:rPr>
                <w:rFonts w:ascii="Cambria Math" w:hAnsi="Cambria Math"/>
                <w:lang w:val="es-ES_tradnl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Est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3,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,  Est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3,</m:t>
                </m:r>
                <m:r>
                  <w:rPr>
                    <w:rFonts w:ascii="Cambria Math" w:hAnsi="Cambria Math"/>
                    <w:lang w:val="es-ES_tradnl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_tradn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s-ES_tradnl"/>
              </w:rPr>
              <m:t>, 0.000001}</m:t>
            </m:r>
          </m:den>
        </m:f>
      </m:oMath>
    </w:p>
    <w:p w14:paraId="43B13AD9" w14:textId="0EB16FE4" w:rsidR="008A29C0" w:rsidRDefault="00CB635B" w:rsidP="00BC0E66">
      <w:pPr>
        <w:spacing w:before="120" w:after="0" w:line="360" w:lineRule="auto"/>
        <w:jc w:val="both"/>
        <w:rPr>
          <w:rFonts w:eastAsiaTheme="minorEastAsia"/>
          <w:lang w:val="es-ES"/>
        </w:rPr>
      </w:pPr>
      <w:proofErr w:type="spellStart"/>
      <w:r w:rsidRPr="0087783E">
        <w:rPr>
          <w:rFonts w:eastAsiaTheme="minorEastAsia"/>
          <w:i/>
          <w:iCs/>
          <w:u w:val="single"/>
          <w:lang w:val="es-ES"/>
        </w:rPr>
        <w:t>Remark</w:t>
      </w:r>
      <w:proofErr w:type="spellEnd"/>
      <w:r w:rsidRPr="0087783E">
        <w:rPr>
          <w:rFonts w:eastAsiaTheme="minorEastAsia"/>
          <w:i/>
          <w:iCs/>
          <w:u w:val="single"/>
          <w:lang w:val="es-ES"/>
        </w:rPr>
        <w:t xml:space="preserve"> </w:t>
      </w:r>
      <w:r>
        <w:rPr>
          <w:rFonts w:eastAsiaTheme="minorEastAsia"/>
          <w:i/>
          <w:iCs/>
          <w:u w:val="single"/>
          <w:lang w:val="es-ES"/>
        </w:rPr>
        <w:t>7</w:t>
      </w:r>
      <w:r>
        <w:rPr>
          <w:rFonts w:eastAsiaTheme="minorEastAsia"/>
          <w:lang w:val="es-ES"/>
        </w:rPr>
        <w:t>. En este contexto, falta ajustar la formulación con las ponderaciones por pertenencia a los grupos. Por otro lado, la elección de la constante C es subjetiva y poner C=0 puede ser muy exigente.</w:t>
      </w:r>
    </w:p>
    <w:p w14:paraId="3F63C633" w14:textId="36594C44" w:rsidR="00CB635B" w:rsidRDefault="00CB635B" w:rsidP="00BC0E66">
      <w:pPr>
        <w:spacing w:before="120" w:after="0" w:line="360" w:lineRule="auto"/>
        <w:jc w:val="both"/>
        <w:rPr>
          <w:lang w:val="es-ES_tradnl"/>
        </w:rPr>
      </w:pPr>
      <w:proofErr w:type="spellStart"/>
      <w:r w:rsidRPr="00CB635B">
        <w:rPr>
          <w:rFonts w:eastAsiaTheme="minorEastAsia"/>
          <w:u w:val="single"/>
          <w:lang w:val="es-ES"/>
        </w:rPr>
        <w:t>Remark</w:t>
      </w:r>
      <w:proofErr w:type="spellEnd"/>
      <w:r w:rsidRPr="00CB635B">
        <w:rPr>
          <w:rFonts w:eastAsiaTheme="minorEastAsia"/>
          <w:u w:val="single"/>
          <w:lang w:val="es-ES"/>
        </w:rPr>
        <w:t xml:space="preserve"> 8</w:t>
      </w:r>
      <w:r>
        <w:rPr>
          <w:rFonts w:eastAsiaTheme="minorEastAsia"/>
          <w:lang w:val="es-ES"/>
        </w:rPr>
        <w:t xml:space="preserve">. </w:t>
      </w:r>
      <w:r>
        <w:rPr>
          <w:lang w:val="es-ES_tradnl"/>
        </w:rPr>
        <w:t>Para la/s alternativa/s escogida (r=1,2,3), el cálculo anterior proporciona una tabla de doble entrada ítem/grupo</w:t>
      </w:r>
      <w:r w:rsidR="00BC0E66">
        <w:rPr>
          <w:lang w:val="es-ES_tradnl"/>
        </w:rPr>
        <w:t>,</w:t>
      </w:r>
    </w:p>
    <w:tbl>
      <w:tblPr>
        <w:tblStyle w:val="Tablaconcuadrcula"/>
        <w:tblW w:w="844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"/>
        <w:gridCol w:w="914"/>
        <w:gridCol w:w="395"/>
        <w:gridCol w:w="896"/>
        <w:gridCol w:w="1155"/>
        <w:gridCol w:w="395"/>
        <w:gridCol w:w="1191"/>
        <w:gridCol w:w="1155"/>
        <w:gridCol w:w="395"/>
        <w:gridCol w:w="1191"/>
      </w:tblGrid>
      <w:tr w:rsidR="00BC0E66" w:rsidRPr="002C2EEB" w14:paraId="10FC43CF" w14:textId="3075005A" w:rsidTr="00BC0E66">
        <w:trPr>
          <w:jc w:val="center"/>
        </w:trPr>
        <w:tc>
          <w:tcPr>
            <w:tcW w:w="7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B7562F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9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724A1A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AECD29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····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016801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s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FF9421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1</w:t>
            </w: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E27E72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····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9B331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s-1</w:t>
            </w: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s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4E3199" w14:textId="5D6A7521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1</w:t>
            </w: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A71437" w14:textId="581C63C1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····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9B514B" w14:textId="542BCB1D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s-1</w:t>
            </w:r>
            <w:r w:rsidRPr="002C2EEB">
              <w:rPr>
                <w:b/>
                <w:bCs/>
                <w:lang w:val="es-ES_tradnl"/>
              </w:rPr>
              <w:t>G</w:t>
            </w:r>
            <w:r w:rsidRPr="002C2EEB">
              <w:rPr>
                <w:b/>
                <w:bCs/>
                <w:vertAlign w:val="subscript"/>
                <w:lang w:val="es-ES_tradnl"/>
              </w:rPr>
              <w:t>s</w:t>
            </w:r>
          </w:p>
        </w:tc>
      </w:tr>
      <w:tr w:rsidR="00BC0E66" w14:paraId="7C65A4D7" w14:textId="488A607E" w:rsidTr="00BC0E66">
        <w:trPr>
          <w:jc w:val="center"/>
        </w:trPr>
        <w:tc>
          <w:tcPr>
            <w:tcW w:w="761" w:type="dxa"/>
            <w:tcBorders>
              <w:top w:val="single" w:sz="12" w:space="0" w:color="auto"/>
            </w:tcBorders>
            <w:vAlign w:val="center"/>
          </w:tcPr>
          <w:p w14:paraId="38C209FB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Ítem 1</w:t>
            </w:r>
          </w:p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0705BB5A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 w:rsidRPr="005718D4">
              <w:rPr>
                <w:vertAlign w:val="subscript"/>
                <w:lang w:val="es-ES_tradnl"/>
              </w:rPr>
              <w:t>r,1</w:t>
            </w:r>
            <w:r>
              <w:rPr>
                <w:lang w:val="es-ES_tradnl"/>
              </w:rPr>
              <w:t>(G</w:t>
            </w:r>
            <w:r w:rsidRPr="005718D4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vAlign w:val="center"/>
          </w:tcPr>
          <w:p w14:paraId="1B25E292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vAlign w:val="center"/>
          </w:tcPr>
          <w:p w14:paraId="1771C5E6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 w:rsidRPr="005718D4">
              <w:rPr>
                <w:vertAlign w:val="subscript"/>
                <w:lang w:val="es-ES_tradnl"/>
              </w:rPr>
              <w:t>r,1</w:t>
            </w:r>
            <w:r>
              <w:rPr>
                <w:lang w:val="es-ES_tradnl"/>
              </w:rPr>
              <w:t>(G</w:t>
            </w:r>
            <w:r w:rsidRPr="005718D4"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  <w:tc>
          <w:tcPr>
            <w:tcW w:w="1155" w:type="dxa"/>
            <w:tcBorders>
              <w:top w:val="single" w:sz="12" w:space="0" w:color="auto"/>
            </w:tcBorders>
            <w:vAlign w:val="center"/>
          </w:tcPr>
          <w:p w14:paraId="02C1BE48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Var</w:t>
            </w:r>
            <w:r w:rsidRPr="005718D4">
              <w:rPr>
                <w:vertAlign w:val="subscript"/>
                <w:lang w:val="es-ES_tradnl"/>
              </w:rPr>
              <w:t>r,1</w:t>
            </w:r>
            <w:r>
              <w:rPr>
                <w:lang w:val="es-ES_tradnl"/>
              </w:rPr>
              <w:t>(G</w:t>
            </w:r>
            <w:r w:rsidRPr="00206610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G</w:t>
            </w:r>
            <w:r w:rsidRPr="00206610"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vAlign w:val="center"/>
          </w:tcPr>
          <w:p w14:paraId="5DAD8CB2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65FB7FE0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Var</w:t>
            </w:r>
            <w:r w:rsidRPr="005718D4">
              <w:rPr>
                <w:vertAlign w:val="subscript"/>
                <w:lang w:val="es-ES_tradnl"/>
              </w:rPr>
              <w:t>r,1</w:t>
            </w:r>
            <w:r>
              <w:rPr>
                <w:lang w:val="es-ES_tradnl"/>
              </w:rPr>
              <w:t>(G</w:t>
            </w:r>
            <w:r>
              <w:rPr>
                <w:vertAlign w:val="subscript"/>
                <w:lang w:val="es-ES_tradnl"/>
              </w:rPr>
              <w:t>s-1</w:t>
            </w:r>
            <w:r>
              <w:rPr>
                <w:lang w:val="es-ES_tradnl"/>
              </w:rPr>
              <w:t>G</w:t>
            </w:r>
            <w:r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  <w:tc>
          <w:tcPr>
            <w:tcW w:w="1155" w:type="dxa"/>
            <w:tcBorders>
              <w:top w:val="single" w:sz="12" w:space="0" w:color="auto"/>
            </w:tcBorders>
            <w:vAlign w:val="center"/>
          </w:tcPr>
          <w:p w14:paraId="2120436A" w14:textId="22857CD9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  <w:r w:rsidRPr="005718D4">
              <w:rPr>
                <w:vertAlign w:val="subscript"/>
                <w:lang w:val="es-ES_tradnl"/>
              </w:rPr>
              <w:t>r,1</w:t>
            </w:r>
            <w:r>
              <w:rPr>
                <w:lang w:val="es-ES_tradnl"/>
              </w:rPr>
              <w:t>(G</w:t>
            </w:r>
            <w:r w:rsidRPr="00206610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G</w:t>
            </w:r>
            <w:r w:rsidRPr="00206610"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vAlign w:val="center"/>
          </w:tcPr>
          <w:p w14:paraId="07910930" w14:textId="5EB439C9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FA4AF17" w14:textId="27940FCF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  <w:r w:rsidRPr="005718D4">
              <w:rPr>
                <w:vertAlign w:val="subscript"/>
                <w:lang w:val="es-ES_tradnl"/>
              </w:rPr>
              <w:t>r,1</w:t>
            </w:r>
            <w:r>
              <w:rPr>
                <w:lang w:val="es-ES_tradnl"/>
              </w:rPr>
              <w:t>(G</w:t>
            </w:r>
            <w:r>
              <w:rPr>
                <w:vertAlign w:val="subscript"/>
                <w:lang w:val="es-ES_tradnl"/>
              </w:rPr>
              <w:t>s-1</w:t>
            </w:r>
            <w:r>
              <w:rPr>
                <w:lang w:val="es-ES_tradnl"/>
              </w:rPr>
              <w:t>G</w:t>
            </w:r>
            <w:r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</w:tr>
      <w:tr w:rsidR="00BC0E66" w14:paraId="0A0DA51C" w14:textId="6BDE0614" w:rsidTr="00BC0E66">
        <w:trPr>
          <w:jc w:val="center"/>
        </w:trPr>
        <w:tc>
          <w:tcPr>
            <w:tcW w:w="761" w:type="dxa"/>
            <w:vAlign w:val="center"/>
          </w:tcPr>
          <w:p w14:paraId="6271BE98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Ítem 2</w:t>
            </w:r>
          </w:p>
        </w:tc>
        <w:tc>
          <w:tcPr>
            <w:tcW w:w="914" w:type="dxa"/>
            <w:vAlign w:val="center"/>
          </w:tcPr>
          <w:p w14:paraId="40A9BC0A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(G</w:t>
            </w:r>
            <w:r w:rsidRPr="005718D4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vAlign w:val="center"/>
          </w:tcPr>
          <w:p w14:paraId="67939C09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896" w:type="dxa"/>
            <w:vAlign w:val="center"/>
          </w:tcPr>
          <w:p w14:paraId="24D5EFAB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(G</w:t>
            </w:r>
            <w:r w:rsidRPr="005718D4"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  <w:tc>
          <w:tcPr>
            <w:tcW w:w="1155" w:type="dxa"/>
            <w:vAlign w:val="center"/>
          </w:tcPr>
          <w:p w14:paraId="3E584A43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Var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(G</w:t>
            </w:r>
            <w:r w:rsidRPr="00206610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G</w:t>
            </w:r>
            <w:r w:rsidRPr="00206610"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vAlign w:val="center"/>
          </w:tcPr>
          <w:p w14:paraId="5C25CFB2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1191" w:type="dxa"/>
            <w:vAlign w:val="center"/>
          </w:tcPr>
          <w:p w14:paraId="319DB3F6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Var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(G</w:t>
            </w:r>
            <w:r>
              <w:rPr>
                <w:vertAlign w:val="subscript"/>
                <w:lang w:val="es-ES_tradnl"/>
              </w:rPr>
              <w:t>s-1</w:t>
            </w:r>
            <w:r>
              <w:rPr>
                <w:lang w:val="es-ES_tradnl"/>
              </w:rPr>
              <w:t>G</w:t>
            </w:r>
            <w:r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  <w:tc>
          <w:tcPr>
            <w:tcW w:w="1155" w:type="dxa"/>
            <w:vAlign w:val="center"/>
          </w:tcPr>
          <w:p w14:paraId="0472A63B" w14:textId="5193AC4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(G</w:t>
            </w:r>
            <w:r w:rsidRPr="00206610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G</w:t>
            </w:r>
            <w:r w:rsidRPr="00206610"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vAlign w:val="center"/>
          </w:tcPr>
          <w:p w14:paraId="201A4F71" w14:textId="3DF4783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1191" w:type="dxa"/>
            <w:vAlign w:val="center"/>
          </w:tcPr>
          <w:p w14:paraId="3F9C2FDE" w14:textId="199279F5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(G</w:t>
            </w:r>
            <w:r>
              <w:rPr>
                <w:vertAlign w:val="subscript"/>
                <w:lang w:val="es-ES_tradnl"/>
              </w:rPr>
              <w:t>s-1</w:t>
            </w:r>
            <w:r>
              <w:rPr>
                <w:lang w:val="es-ES_tradnl"/>
              </w:rPr>
              <w:t>G</w:t>
            </w:r>
            <w:r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</w:tr>
      <w:tr w:rsidR="00BC0E66" w14:paraId="742A194A" w14:textId="65E52233" w:rsidTr="00BC0E66">
        <w:trPr>
          <w:jc w:val="center"/>
        </w:trPr>
        <w:tc>
          <w:tcPr>
            <w:tcW w:w="761" w:type="dxa"/>
            <w:vAlign w:val="center"/>
          </w:tcPr>
          <w:p w14:paraId="4883D440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914" w:type="dxa"/>
            <w:vAlign w:val="center"/>
          </w:tcPr>
          <w:p w14:paraId="0472741E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395" w:type="dxa"/>
            <w:vAlign w:val="center"/>
          </w:tcPr>
          <w:p w14:paraId="09BA165C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</w:p>
        </w:tc>
        <w:tc>
          <w:tcPr>
            <w:tcW w:w="896" w:type="dxa"/>
            <w:vAlign w:val="center"/>
          </w:tcPr>
          <w:p w14:paraId="42F86A6A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1155" w:type="dxa"/>
            <w:vAlign w:val="center"/>
          </w:tcPr>
          <w:p w14:paraId="4F1737AD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395" w:type="dxa"/>
            <w:vAlign w:val="center"/>
          </w:tcPr>
          <w:p w14:paraId="48BFD983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</w:p>
        </w:tc>
        <w:tc>
          <w:tcPr>
            <w:tcW w:w="1191" w:type="dxa"/>
            <w:vAlign w:val="center"/>
          </w:tcPr>
          <w:p w14:paraId="0308657D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1155" w:type="dxa"/>
            <w:vAlign w:val="center"/>
          </w:tcPr>
          <w:p w14:paraId="20423DA1" w14:textId="3968A3E4" w:rsidR="00BC0E66" w:rsidRPr="003F5E35" w:rsidRDefault="00BC0E66" w:rsidP="00BC0E66">
            <w:pPr>
              <w:ind w:left="-57" w:right="-57"/>
              <w:jc w:val="center"/>
              <w:rPr>
                <w:rFonts w:cstheme="minorHAnsi"/>
                <w:b/>
                <w:bCs/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  <w:tc>
          <w:tcPr>
            <w:tcW w:w="395" w:type="dxa"/>
            <w:vAlign w:val="center"/>
          </w:tcPr>
          <w:p w14:paraId="6F6A1100" w14:textId="77777777" w:rsidR="00BC0E66" w:rsidRPr="003F5E35" w:rsidRDefault="00BC0E66" w:rsidP="00BC0E66">
            <w:pPr>
              <w:ind w:left="-57" w:right="-57"/>
              <w:jc w:val="center"/>
              <w:rPr>
                <w:rFonts w:cstheme="minorHAnsi"/>
                <w:b/>
                <w:bCs/>
                <w:lang w:val="es-ES_tradnl"/>
              </w:rPr>
            </w:pPr>
          </w:p>
        </w:tc>
        <w:tc>
          <w:tcPr>
            <w:tcW w:w="1191" w:type="dxa"/>
            <w:vAlign w:val="center"/>
          </w:tcPr>
          <w:p w14:paraId="225DF477" w14:textId="7E6421AA" w:rsidR="00BC0E66" w:rsidRPr="003F5E35" w:rsidRDefault="00BC0E66" w:rsidP="00BC0E66">
            <w:pPr>
              <w:ind w:left="-57" w:right="-57"/>
              <w:jc w:val="center"/>
              <w:rPr>
                <w:rFonts w:cstheme="minorHAnsi"/>
                <w:b/>
                <w:bCs/>
                <w:lang w:val="es-ES_tradnl"/>
              </w:rPr>
            </w:pPr>
            <w:r w:rsidRPr="003F5E35">
              <w:rPr>
                <w:rFonts w:cstheme="minorHAnsi"/>
                <w:b/>
                <w:bCs/>
                <w:lang w:val="es-ES_tradnl"/>
              </w:rPr>
              <w:t>⁞</w:t>
            </w:r>
          </w:p>
        </w:tc>
      </w:tr>
      <w:tr w:rsidR="00BC0E66" w14:paraId="38ED7112" w14:textId="09784F54" w:rsidTr="00BC0E66">
        <w:trPr>
          <w:jc w:val="center"/>
        </w:trPr>
        <w:tc>
          <w:tcPr>
            <w:tcW w:w="761" w:type="dxa"/>
            <w:vAlign w:val="center"/>
          </w:tcPr>
          <w:p w14:paraId="0E192486" w14:textId="77777777" w:rsidR="00BC0E66" w:rsidRPr="002C2EEB" w:rsidRDefault="00BC0E66" w:rsidP="00BC0E66">
            <w:pPr>
              <w:ind w:left="-57" w:right="-57"/>
              <w:jc w:val="center"/>
              <w:rPr>
                <w:b/>
                <w:bCs/>
                <w:lang w:val="es-ES_tradnl"/>
              </w:rPr>
            </w:pPr>
            <w:r w:rsidRPr="002C2EEB">
              <w:rPr>
                <w:b/>
                <w:bCs/>
                <w:lang w:val="es-ES_tradnl"/>
              </w:rPr>
              <w:t>Ítem p</w:t>
            </w:r>
          </w:p>
        </w:tc>
        <w:tc>
          <w:tcPr>
            <w:tcW w:w="914" w:type="dxa"/>
            <w:vAlign w:val="center"/>
          </w:tcPr>
          <w:p w14:paraId="759ADDCD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Est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p</w:t>
            </w:r>
            <w:proofErr w:type="spellEnd"/>
            <w:proofErr w:type="gramEnd"/>
            <w:r>
              <w:rPr>
                <w:lang w:val="es-ES_tradnl"/>
              </w:rPr>
              <w:t>(G</w:t>
            </w:r>
            <w:r w:rsidRPr="005718D4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vAlign w:val="center"/>
          </w:tcPr>
          <w:p w14:paraId="04DA09E1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896" w:type="dxa"/>
            <w:vAlign w:val="center"/>
          </w:tcPr>
          <w:p w14:paraId="3BB9ACD8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Est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p</w:t>
            </w:r>
            <w:proofErr w:type="spellEnd"/>
            <w:proofErr w:type="gramEnd"/>
            <w:r>
              <w:rPr>
                <w:lang w:val="es-ES_tradnl"/>
              </w:rPr>
              <w:t>(G</w:t>
            </w:r>
            <w:r w:rsidRPr="005718D4"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  <w:tc>
          <w:tcPr>
            <w:tcW w:w="1155" w:type="dxa"/>
            <w:vAlign w:val="center"/>
          </w:tcPr>
          <w:p w14:paraId="5D28A578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Var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p</w:t>
            </w:r>
            <w:proofErr w:type="spellEnd"/>
            <w:proofErr w:type="gramEnd"/>
            <w:r>
              <w:rPr>
                <w:lang w:val="es-ES_tradnl"/>
              </w:rPr>
              <w:t>(G</w:t>
            </w:r>
            <w:r w:rsidRPr="00206610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G</w:t>
            </w:r>
            <w:r w:rsidRPr="00206610"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vAlign w:val="center"/>
          </w:tcPr>
          <w:p w14:paraId="7B60E5F9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1191" w:type="dxa"/>
            <w:vAlign w:val="center"/>
          </w:tcPr>
          <w:p w14:paraId="4F638B8D" w14:textId="77777777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Var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p</w:t>
            </w:r>
            <w:proofErr w:type="spellEnd"/>
            <w:proofErr w:type="gramEnd"/>
            <w:r>
              <w:rPr>
                <w:lang w:val="es-ES_tradnl"/>
              </w:rPr>
              <w:t>(G</w:t>
            </w:r>
            <w:r>
              <w:rPr>
                <w:vertAlign w:val="subscript"/>
                <w:lang w:val="es-ES_tradnl"/>
              </w:rPr>
              <w:t>s-1</w:t>
            </w:r>
            <w:r>
              <w:rPr>
                <w:lang w:val="es-ES_tradnl"/>
              </w:rPr>
              <w:t>G</w:t>
            </w:r>
            <w:r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  <w:tc>
          <w:tcPr>
            <w:tcW w:w="1155" w:type="dxa"/>
            <w:vAlign w:val="center"/>
          </w:tcPr>
          <w:p w14:paraId="3116F18E" w14:textId="08DF11DE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ID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p</w:t>
            </w:r>
            <w:proofErr w:type="spellEnd"/>
            <w:proofErr w:type="gramEnd"/>
            <w:r>
              <w:rPr>
                <w:lang w:val="es-ES_tradnl"/>
              </w:rPr>
              <w:t>(G</w:t>
            </w:r>
            <w:r w:rsidRPr="00206610">
              <w:rPr>
                <w:vertAlign w:val="subscript"/>
                <w:lang w:val="es-ES_tradnl"/>
              </w:rPr>
              <w:t>1</w:t>
            </w:r>
            <w:r>
              <w:rPr>
                <w:lang w:val="es-ES_tradnl"/>
              </w:rPr>
              <w:t>G</w:t>
            </w:r>
            <w:r w:rsidRPr="00206610">
              <w:rPr>
                <w:vertAlign w:val="subscript"/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</w:p>
        </w:tc>
        <w:tc>
          <w:tcPr>
            <w:tcW w:w="395" w:type="dxa"/>
            <w:vAlign w:val="center"/>
          </w:tcPr>
          <w:p w14:paraId="5570EC53" w14:textId="74B81D26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····</w:t>
            </w:r>
          </w:p>
        </w:tc>
        <w:tc>
          <w:tcPr>
            <w:tcW w:w="1191" w:type="dxa"/>
            <w:vAlign w:val="center"/>
          </w:tcPr>
          <w:p w14:paraId="6787F1AD" w14:textId="1587CCA4" w:rsidR="00BC0E66" w:rsidRDefault="00BC0E66" w:rsidP="00BC0E66">
            <w:pPr>
              <w:ind w:left="-57" w:right="-57"/>
              <w:jc w:val="center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ID</w:t>
            </w:r>
            <w:r w:rsidRPr="005718D4">
              <w:rPr>
                <w:vertAlign w:val="subscript"/>
                <w:lang w:val="es-ES_tradnl"/>
              </w:rPr>
              <w:t>r,</w:t>
            </w:r>
            <w:r>
              <w:rPr>
                <w:vertAlign w:val="subscript"/>
                <w:lang w:val="es-ES_tradnl"/>
              </w:rPr>
              <w:t>p</w:t>
            </w:r>
            <w:proofErr w:type="spellEnd"/>
            <w:proofErr w:type="gramEnd"/>
            <w:r>
              <w:rPr>
                <w:lang w:val="es-ES_tradnl"/>
              </w:rPr>
              <w:t>(G</w:t>
            </w:r>
            <w:r>
              <w:rPr>
                <w:vertAlign w:val="subscript"/>
                <w:lang w:val="es-ES_tradnl"/>
              </w:rPr>
              <w:t>s-1</w:t>
            </w:r>
            <w:r>
              <w:rPr>
                <w:lang w:val="es-ES_tradnl"/>
              </w:rPr>
              <w:t>G</w:t>
            </w:r>
            <w:r>
              <w:rPr>
                <w:vertAlign w:val="subscript"/>
                <w:lang w:val="es-ES_tradnl"/>
              </w:rPr>
              <w:t>s</w:t>
            </w:r>
            <w:r>
              <w:rPr>
                <w:lang w:val="es-ES_tradnl"/>
              </w:rPr>
              <w:t>)</w:t>
            </w:r>
          </w:p>
        </w:tc>
      </w:tr>
    </w:tbl>
    <w:p w14:paraId="08179902" w14:textId="61CD370F" w:rsidR="00CB635B" w:rsidRDefault="00BC0E66" w:rsidP="00BC0E66">
      <w:pPr>
        <w:spacing w:before="120" w:after="0" w:line="360" w:lineRule="auto"/>
        <w:jc w:val="both"/>
        <w:rPr>
          <w:lang w:val="es-ES_tradnl"/>
        </w:rPr>
      </w:pPr>
      <w:r>
        <w:rPr>
          <w:lang w:val="es-ES_tradnl"/>
        </w:rPr>
        <w:t xml:space="preserve">Dependiendo del objetivo, las columnas se ordenan en orden creciente o decreciente y los listados se proporcionan por parejas de grupos. </w:t>
      </w:r>
    </w:p>
    <w:p w14:paraId="094EE361" w14:textId="77777777" w:rsidR="00BC0E66" w:rsidRDefault="00BC0E66" w:rsidP="00BC0E66">
      <w:pPr>
        <w:spacing w:after="120" w:line="360" w:lineRule="auto"/>
        <w:jc w:val="center"/>
        <w:rPr>
          <w:lang w:val="es-ES_tradnl"/>
        </w:rPr>
      </w:pPr>
      <w:r>
        <w:rPr>
          <w:lang w:val="es-ES_tradnl"/>
        </w:rPr>
        <w:t>--------------------------------------</w:t>
      </w:r>
    </w:p>
    <w:p w14:paraId="137ED8F8" w14:textId="4626E389" w:rsidR="000015EB" w:rsidRPr="00182011" w:rsidRDefault="003A6281" w:rsidP="00BC0E66">
      <w:pPr>
        <w:spacing w:before="120" w:after="0" w:line="360" w:lineRule="auto"/>
        <w:jc w:val="both"/>
        <w:rPr>
          <w:lang w:val="es-ES_tradnl"/>
        </w:rPr>
      </w:pPr>
      <w:r w:rsidRPr="00182011">
        <w:rPr>
          <w:b/>
          <w:bCs/>
          <w:lang w:val="es-ES_tradnl"/>
        </w:rPr>
        <w:t>Ítems y reglas lingüísticas subyacentes</w:t>
      </w:r>
      <w:r w:rsidRPr="00182011">
        <w:rPr>
          <w:lang w:val="es-ES_tradnl"/>
        </w:rPr>
        <w:t xml:space="preserve">. </w:t>
      </w:r>
      <w:r w:rsidR="00F41A73" w:rsidRPr="00182011">
        <w:rPr>
          <w:lang w:val="es-ES_tradnl"/>
        </w:rPr>
        <w:t>L</w:t>
      </w:r>
      <w:r w:rsidR="00AA56C2" w:rsidRPr="00182011">
        <w:rPr>
          <w:lang w:val="es-ES_tradnl"/>
        </w:rPr>
        <w:t xml:space="preserve">as reglas </w:t>
      </w:r>
      <w:r w:rsidR="00AA098C" w:rsidRPr="00182011">
        <w:rPr>
          <w:lang w:val="es-ES_tradnl"/>
        </w:rPr>
        <w:t xml:space="preserve">lingüísticas subyacentes se </w:t>
      </w:r>
      <w:r w:rsidR="00EE3CF0" w:rsidRPr="00182011">
        <w:rPr>
          <w:lang w:val="es-ES_tradnl"/>
        </w:rPr>
        <w:t xml:space="preserve">han relacionado </w:t>
      </w:r>
      <w:r w:rsidR="000015EB" w:rsidRPr="00182011">
        <w:rPr>
          <w:lang w:val="es-ES_tradnl"/>
        </w:rPr>
        <w:t>con esquemas de variación que se mantienen en las poblaciones.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889"/>
        <w:gridCol w:w="891"/>
        <w:gridCol w:w="905"/>
      </w:tblGrid>
      <w:tr w:rsidR="00052D77" w:rsidRPr="00182011" w14:paraId="5C6B0885" w14:textId="77777777" w:rsidTr="00EB52AF">
        <w:trPr>
          <w:jc w:val="center"/>
        </w:trPr>
        <w:tc>
          <w:tcPr>
            <w:tcW w:w="1335" w:type="dxa"/>
          </w:tcPr>
          <w:p w14:paraId="79A5B5BC" w14:textId="748DE7A1" w:rsidR="00052D77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</w:t>
            </w:r>
            <w:r w:rsidR="00052D77" w:rsidRPr="00182011">
              <w:rPr>
                <w:lang w:val="es-ES_tradnl"/>
              </w:rPr>
              <w:t>erbo</w:t>
            </w:r>
            <w:r w:rsidR="005E7306" w:rsidRPr="00182011">
              <w:rPr>
                <w:lang w:val="es-ES_tradnl"/>
              </w:rPr>
              <w:t xml:space="preserve"> (raíz)</w:t>
            </w:r>
          </w:p>
        </w:tc>
        <w:tc>
          <w:tcPr>
            <w:tcW w:w="889" w:type="dxa"/>
          </w:tcPr>
          <w:p w14:paraId="6539DF30" w14:textId="4834BFEC" w:rsidR="00052D77" w:rsidRPr="00182011" w:rsidRDefault="009A6526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cantar</w:t>
            </w:r>
          </w:p>
        </w:tc>
        <w:tc>
          <w:tcPr>
            <w:tcW w:w="891" w:type="dxa"/>
          </w:tcPr>
          <w:p w14:paraId="783411DF" w14:textId="17B0BD3D" w:rsidR="00052D77" w:rsidRPr="00182011" w:rsidRDefault="009A6526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tancar</w:t>
            </w:r>
          </w:p>
        </w:tc>
        <w:tc>
          <w:tcPr>
            <w:tcW w:w="905" w:type="dxa"/>
          </w:tcPr>
          <w:p w14:paraId="009E8543" w14:textId="2C46B5AB" w:rsidR="00052D77" w:rsidRPr="00182011" w:rsidRDefault="009A6526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manar</w:t>
            </w:r>
          </w:p>
        </w:tc>
      </w:tr>
      <w:tr w:rsidR="00EB52AF" w:rsidRPr="00182011" w14:paraId="65762360" w14:textId="77777777" w:rsidTr="00EB52AF">
        <w:trPr>
          <w:jc w:val="center"/>
        </w:trPr>
        <w:tc>
          <w:tcPr>
            <w:tcW w:w="1335" w:type="dxa"/>
          </w:tcPr>
          <w:p w14:paraId="1132C477" w14:textId="3F37FD5F" w:rsidR="00EB52AF" w:rsidRPr="00182011" w:rsidRDefault="00EB52AF" w:rsidP="00EB52AF">
            <w:pPr>
              <w:jc w:val="both"/>
              <w:rPr>
                <w:lang w:val="es-ES_tradnl"/>
              </w:rPr>
            </w:pPr>
            <w:proofErr w:type="spellStart"/>
            <w:r w:rsidRPr="00182011">
              <w:rPr>
                <w:lang w:val="es-ES_tradnl"/>
              </w:rPr>
              <w:t>kan’ta</w:t>
            </w:r>
            <w:proofErr w:type="spellEnd"/>
            <w:r w:rsidRPr="00182011">
              <w:rPr>
                <w:lang w:val="es-ES_tradnl"/>
              </w:rPr>
              <w:t>.</w:t>
            </w:r>
          </w:p>
        </w:tc>
        <w:tc>
          <w:tcPr>
            <w:tcW w:w="889" w:type="dxa"/>
          </w:tcPr>
          <w:p w14:paraId="63A7C89E" w14:textId="1219CF8A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rFonts w:ascii="Calibri" w:hAnsi="Calibri" w:cs="Calibri"/>
                <w:lang w:val="es-ES_tradnl"/>
              </w:rPr>
              <w:t>β</w:t>
            </w:r>
            <w:r w:rsidRPr="00182011">
              <w:rPr>
                <w:rFonts w:cstheme="minorHAnsi"/>
                <w:lang w:val="es-ES_tradnl"/>
              </w:rPr>
              <w:t>as</w:t>
            </w:r>
          </w:p>
        </w:tc>
        <w:tc>
          <w:tcPr>
            <w:tcW w:w="891" w:type="dxa"/>
          </w:tcPr>
          <w:p w14:paraId="36C848DD" w14:textId="37A87357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rFonts w:ascii="Calibri" w:hAnsi="Calibri" w:cs="Calibri"/>
                <w:lang w:val="es-ES_tradnl"/>
              </w:rPr>
              <w:t>β</w:t>
            </w:r>
            <w:r w:rsidRPr="00182011">
              <w:rPr>
                <w:rFonts w:cstheme="minorHAnsi"/>
                <w:lang w:val="es-ES_tradnl"/>
              </w:rPr>
              <w:t>as</w:t>
            </w:r>
          </w:p>
        </w:tc>
        <w:tc>
          <w:tcPr>
            <w:tcW w:w="905" w:type="dxa"/>
          </w:tcPr>
          <w:p w14:paraId="3CA01C9A" w14:textId="43FA153A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rFonts w:ascii="Calibri" w:hAnsi="Calibri" w:cs="Calibri"/>
                <w:lang w:val="es-ES_tradnl"/>
              </w:rPr>
              <w:t>β</w:t>
            </w:r>
            <w:r w:rsidRPr="00182011">
              <w:rPr>
                <w:rFonts w:cstheme="minorHAnsi"/>
                <w:lang w:val="es-ES_tradnl"/>
              </w:rPr>
              <w:t>as</w:t>
            </w:r>
          </w:p>
        </w:tc>
      </w:tr>
      <w:tr w:rsidR="00EB52AF" w:rsidRPr="00182011" w14:paraId="4B88CB48" w14:textId="77777777" w:rsidTr="00EB52AF">
        <w:trPr>
          <w:jc w:val="center"/>
        </w:trPr>
        <w:tc>
          <w:tcPr>
            <w:tcW w:w="1335" w:type="dxa"/>
          </w:tcPr>
          <w:p w14:paraId="0037F524" w14:textId="77777777" w:rsidR="00EB52AF" w:rsidRPr="00182011" w:rsidRDefault="00EB52AF" w:rsidP="00EB52AF">
            <w:pPr>
              <w:jc w:val="both"/>
              <w:rPr>
                <w:lang w:val="es-ES_tradnl"/>
              </w:rPr>
            </w:pPr>
          </w:p>
        </w:tc>
        <w:tc>
          <w:tcPr>
            <w:tcW w:w="889" w:type="dxa"/>
          </w:tcPr>
          <w:p w14:paraId="7DC422B1" w14:textId="36A3599E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vas</w:t>
            </w:r>
          </w:p>
        </w:tc>
        <w:tc>
          <w:tcPr>
            <w:tcW w:w="891" w:type="dxa"/>
          </w:tcPr>
          <w:p w14:paraId="6873DE7B" w14:textId="545D94CA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vas</w:t>
            </w:r>
          </w:p>
        </w:tc>
        <w:tc>
          <w:tcPr>
            <w:tcW w:w="905" w:type="dxa"/>
          </w:tcPr>
          <w:p w14:paraId="402AF86A" w14:textId="6C0D3220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vas</w:t>
            </w:r>
          </w:p>
        </w:tc>
      </w:tr>
      <w:tr w:rsidR="00EB52AF" w:rsidRPr="00182011" w14:paraId="7C2247B7" w14:textId="77777777" w:rsidTr="00EB52AF">
        <w:trPr>
          <w:jc w:val="center"/>
        </w:trPr>
        <w:tc>
          <w:tcPr>
            <w:tcW w:w="1335" w:type="dxa"/>
          </w:tcPr>
          <w:p w14:paraId="59EB5BA7" w14:textId="77777777" w:rsidR="00EB52AF" w:rsidRPr="00182011" w:rsidRDefault="00EB52AF" w:rsidP="00EB52AF">
            <w:pPr>
              <w:jc w:val="both"/>
              <w:rPr>
                <w:lang w:val="es-ES_tradnl"/>
              </w:rPr>
            </w:pPr>
          </w:p>
        </w:tc>
        <w:tc>
          <w:tcPr>
            <w:tcW w:w="889" w:type="dxa"/>
          </w:tcPr>
          <w:p w14:paraId="3527EEFC" w14:textId="3535007D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rFonts w:ascii="Calibri" w:hAnsi="Calibri" w:cs="Calibri"/>
                <w:lang w:val="es-ES_tradnl"/>
              </w:rPr>
              <w:t>βes</w:t>
            </w:r>
          </w:p>
        </w:tc>
        <w:tc>
          <w:tcPr>
            <w:tcW w:w="891" w:type="dxa"/>
          </w:tcPr>
          <w:p w14:paraId="580800CD" w14:textId="2521EE77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rFonts w:ascii="Calibri" w:hAnsi="Calibri" w:cs="Calibri"/>
                <w:lang w:val="es-ES_tradnl"/>
              </w:rPr>
              <w:t>βes</w:t>
            </w:r>
          </w:p>
        </w:tc>
        <w:tc>
          <w:tcPr>
            <w:tcW w:w="905" w:type="dxa"/>
          </w:tcPr>
          <w:p w14:paraId="4613AEB6" w14:textId="5148F095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rFonts w:ascii="Calibri" w:hAnsi="Calibri" w:cs="Calibri"/>
                <w:lang w:val="es-ES_tradnl"/>
              </w:rPr>
              <w:t>βes</w:t>
            </w:r>
          </w:p>
        </w:tc>
      </w:tr>
      <w:tr w:rsidR="00EB52AF" w:rsidRPr="00182011" w14:paraId="65E5CCAC" w14:textId="77777777" w:rsidTr="00EB52AF">
        <w:trPr>
          <w:jc w:val="center"/>
        </w:trPr>
        <w:tc>
          <w:tcPr>
            <w:tcW w:w="1335" w:type="dxa"/>
          </w:tcPr>
          <w:p w14:paraId="4A26423F" w14:textId="77777777" w:rsidR="00EB52AF" w:rsidRPr="00182011" w:rsidRDefault="00EB52AF" w:rsidP="00EB52AF">
            <w:pPr>
              <w:jc w:val="both"/>
              <w:rPr>
                <w:lang w:val="es-ES_tradnl"/>
              </w:rPr>
            </w:pPr>
          </w:p>
        </w:tc>
        <w:tc>
          <w:tcPr>
            <w:tcW w:w="889" w:type="dxa"/>
          </w:tcPr>
          <w:p w14:paraId="38C85403" w14:textId="6FE6672F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ves</w:t>
            </w:r>
          </w:p>
        </w:tc>
        <w:tc>
          <w:tcPr>
            <w:tcW w:w="891" w:type="dxa"/>
          </w:tcPr>
          <w:p w14:paraId="784BCADB" w14:textId="21C5FFFB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ves</w:t>
            </w:r>
          </w:p>
        </w:tc>
        <w:tc>
          <w:tcPr>
            <w:tcW w:w="905" w:type="dxa"/>
          </w:tcPr>
          <w:p w14:paraId="0EB2369D" w14:textId="764260D0" w:rsidR="00EB52AF" w:rsidRPr="00182011" w:rsidRDefault="00EB52AF" w:rsidP="00EB52AF">
            <w:pPr>
              <w:jc w:val="both"/>
              <w:rPr>
                <w:lang w:val="es-ES_tradnl"/>
              </w:rPr>
            </w:pPr>
            <w:r w:rsidRPr="00182011">
              <w:rPr>
                <w:lang w:val="es-ES_tradnl"/>
              </w:rPr>
              <w:t>ves</w:t>
            </w:r>
          </w:p>
        </w:tc>
      </w:tr>
    </w:tbl>
    <w:p w14:paraId="01EC3362" w14:textId="77777777" w:rsidR="000015EB" w:rsidRDefault="000015EB" w:rsidP="00BC0E66">
      <w:pPr>
        <w:spacing w:before="120" w:after="0" w:line="360" w:lineRule="auto"/>
        <w:jc w:val="both"/>
        <w:rPr>
          <w:lang w:val="es-ES_tradnl"/>
        </w:rPr>
      </w:pPr>
    </w:p>
    <w:p w14:paraId="388D5CC3" w14:textId="33BFFA8F" w:rsidR="008E7A37" w:rsidRPr="008E7A37" w:rsidRDefault="008E7A37" w:rsidP="008E7A37">
      <w:pPr>
        <w:spacing w:before="120" w:after="0" w:line="360" w:lineRule="auto"/>
        <w:jc w:val="center"/>
        <w:rPr>
          <w:color w:val="FF0000"/>
          <w:lang w:val="es-ES_tradnl"/>
        </w:rPr>
      </w:pPr>
      <w:r w:rsidRPr="008E7A37">
        <w:rPr>
          <w:color w:val="FF0000"/>
          <w:highlight w:val="yellow"/>
          <w:lang w:val="es-ES_tradnl"/>
        </w:rPr>
        <w:t>EN CONSTRUCCIÓN</w:t>
      </w:r>
    </w:p>
    <w:p w14:paraId="170AF4C7" w14:textId="77777777" w:rsidR="003A6281" w:rsidRDefault="003A6281" w:rsidP="00BC0E66">
      <w:pPr>
        <w:spacing w:before="120" w:after="0" w:line="360" w:lineRule="auto"/>
        <w:jc w:val="both"/>
        <w:rPr>
          <w:lang w:val="es-ES_tradnl"/>
        </w:rPr>
      </w:pPr>
    </w:p>
    <w:p w14:paraId="01FBA90C" w14:textId="77777777" w:rsidR="003A6281" w:rsidRDefault="003A6281" w:rsidP="00BC0E66">
      <w:pPr>
        <w:spacing w:before="120" w:after="0" w:line="360" w:lineRule="auto"/>
        <w:jc w:val="both"/>
        <w:rPr>
          <w:lang w:val="es-ES_tradnl"/>
        </w:rPr>
      </w:pPr>
    </w:p>
    <w:p w14:paraId="2C790932" w14:textId="77777777" w:rsidR="003A6281" w:rsidRDefault="003A6281" w:rsidP="00BC0E66">
      <w:pPr>
        <w:spacing w:before="120" w:after="0" w:line="360" w:lineRule="auto"/>
        <w:jc w:val="both"/>
        <w:rPr>
          <w:lang w:val="es-ES_tradnl"/>
        </w:rPr>
      </w:pPr>
    </w:p>
    <w:p w14:paraId="733F6BC4" w14:textId="77777777" w:rsidR="003A6281" w:rsidRDefault="003A6281" w:rsidP="00BC0E66">
      <w:pPr>
        <w:spacing w:before="120" w:after="0" w:line="360" w:lineRule="auto"/>
        <w:jc w:val="both"/>
        <w:rPr>
          <w:lang w:val="es-ES_tradnl"/>
        </w:rPr>
      </w:pPr>
    </w:p>
    <w:p w14:paraId="057CF061" w14:textId="77777777" w:rsidR="003A6281" w:rsidRDefault="003A6281" w:rsidP="00BC0E66">
      <w:pPr>
        <w:spacing w:before="120" w:after="0" w:line="360" w:lineRule="auto"/>
        <w:jc w:val="both"/>
        <w:rPr>
          <w:lang w:val="es-ES_tradnl"/>
        </w:rPr>
      </w:pPr>
    </w:p>
    <w:p w14:paraId="459FD9A0" w14:textId="77777777" w:rsidR="003A6281" w:rsidRDefault="003A6281" w:rsidP="003A6281">
      <w:pPr>
        <w:spacing w:after="120" w:line="360" w:lineRule="auto"/>
        <w:jc w:val="center"/>
        <w:rPr>
          <w:lang w:val="es-ES_tradnl"/>
        </w:rPr>
      </w:pPr>
      <w:r>
        <w:rPr>
          <w:lang w:val="es-ES_tradnl"/>
        </w:rPr>
        <w:t>--------------------------------------</w:t>
      </w:r>
    </w:p>
    <w:p w14:paraId="0552A99F" w14:textId="011E0E65" w:rsidR="003A6281" w:rsidRDefault="003A6281" w:rsidP="003A6281">
      <w:pPr>
        <w:spacing w:before="120" w:after="0" w:line="360" w:lineRule="auto"/>
        <w:jc w:val="both"/>
        <w:rPr>
          <w:lang w:val="es-ES_tradnl"/>
        </w:rPr>
      </w:pPr>
      <w:r>
        <w:rPr>
          <w:b/>
          <w:bCs/>
          <w:lang w:val="es-ES_tradnl"/>
        </w:rPr>
        <w:t xml:space="preserve">Estructura </w:t>
      </w:r>
      <w:r w:rsidR="00102949">
        <w:rPr>
          <w:b/>
          <w:bCs/>
          <w:lang w:val="es-ES_tradnl"/>
        </w:rPr>
        <w:t>inicial del proyecto</w:t>
      </w:r>
      <w:r w:rsidR="0091282A">
        <w:rPr>
          <w:b/>
          <w:bCs/>
          <w:lang w:val="es-ES_tradnl"/>
        </w:rPr>
        <w:t xml:space="preserve">: construir una función en </w:t>
      </w:r>
      <w:r>
        <w:rPr>
          <w:b/>
          <w:bCs/>
          <w:lang w:val="es-ES_tradnl"/>
        </w:rPr>
        <w:t xml:space="preserve">R </w:t>
      </w:r>
      <w:r w:rsidRPr="003A6281">
        <w:rPr>
          <w:lang w:val="es-ES_tradnl"/>
        </w:rPr>
        <w:t>(propuesta inicial</w:t>
      </w:r>
      <w:r w:rsidR="001E028D">
        <w:rPr>
          <w:lang w:val="es-ES_tradnl"/>
        </w:rPr>
        <w:t>)</w:t>
      </w:r>
    </w:p>
    <w:p w14:paraId="21B616B3" w14:textId="791ADF6D" w:rsidR="00536029" w:rsidRPr="004521B6" w:rsidRDefault="00BD7214" w:rsidP="00BD7214">
      <w:pPr>
        <w:pStyle w:val="Prrafodelista"/>
        <w:numPr>
          <w:ilvl w:val="0"/>
          <w:numId w:val="3"/>
        </w:numPr>
        <w:spacing w:before="120" w:after="0" w:line="360" w:lineRule="auto"/>
        <w:ind w:left="284" w:hanging="284"/>
        <w:jc w:val="both"/>
        <w:rPr>
          <w:b/>
          <w:bCs/>
        </w:rPr>
      </w:pPr>
      <w:r w:rsidRPr="004521B6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73C288" wp14:editId="46F3BE29">
                <wp:simplePos x="0" y="0"/>
                <wp:positionH relativeFrom="column">
                  <wp:posOffset>3347085</wp:posOffset>
                </wp:positionH>
                <wp:positionV relativeFrom="paragraph">
                  <wp:posOffset>99695</wp:posOffset>
                </wp:positionV>
                <wp:extent cx="1979930" cy="4126865"/>
                <wp:effectExtent l="0" t="0" r="20320" b="26035"/>
                <wp:wrapSquare wrapText="bothSides"/>
                <wp:docPr id="581367839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4126865"/>
                          <a:chOff x="0" y="0"/>
                          <a:chExt cx="1980000" cy="4127288"/>
                        </a:xfrm>
                      </wpg:grpSpPr>
                      <wps:wsp>
                        <wps:cNvPr id="531534621" name="Rectángulo 1"/>
                        <wps:cNvSpPr/>
                        <wps:spPr>
                          <a:xfrm>
                            <a:off x="0" y="0"/>
                            <a:ext cx="198000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B3615" w14:textId="6D666D6E" w:rsidR="00E91BFF" w:rsidRPr="00E24E42" w:rsidRDefault="00E91BFF" w:rsidP="00E91BFF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 w:rsidRPr="00E24E42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Entrada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724856" name="Rectángulo 1"/>
                        <wps:cNvSpPr/>
                        <wps:spPr>
                          <a:xfrm>
                            <a:off x="0" y="482600"/>
                            <a:ext cx="1980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F5429" w14:textId="16F64327" w:rsidR="00E24E42" w:rsidRPr="00E24E42" w:rsidRDefault="005F5D6C" w:rsidP="00E24E42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Conocer </w:t>
                              </w:r>
                              <w:r w:rsidR="0013379B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las </w:t>
                              </w: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funci</w:t>
                              </w:r>
                              <w:r w:rsidR="006A609D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nes r complementarias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613065" name="Rectángulo 1"/>
                        <wps:cNvSpPr/>
                        <wps:spPr>
                          <a:xfrm>
                            <a:off x="0" y="1828800"/>
                            <a:ext cx="197993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4DA91" w14:textId="0068171B" w:rsidR="00AD2215" w:rsidRPr="00E24E42" w:rsidRDefault="00AD2215" w:rsidP="00AD2215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Calcular</w:t>
                              </w:r>
                              <w:r w:rsidR="003E129F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 la</w:t>
                              </w: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 distancia </w:t>
                              </w:r>
                              <w:r w:rsidR="001E448E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entre poblaciones por ítem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826424" name="Rectángulo 1"/>
                        <wps:cNvSpPr/>
                        <wps:spPr>
                          <a:xfrm>
                            <a:off x="0" y="2506133"/>
                            <a:ext cx="197993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9AAD7" w14:textId="79A5C520" w:rsidR="00657D8F" w:rsidRPr="00E24E42" w:rsidRDefault="007D7489" w:rsidP="00657D8F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O</w:t>
                              </w:r>
                              <w:r w:rsidR="00657D8F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btener</w:t>
                              </w: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 y ordenar </w:t>
                              </w:r>
                              <w:r w:rsidR="00FF3B8C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estabilidad y capacidad diferenciadora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125286" name="Rectángulo 1"/>
                        <wps:cNvSpPr/>
                        <wps:spPr>
                          <a:xfrm>
                            <a:off x="0" y="1155700"/>
                            <a:ext cx="197993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ECB00" w14:textId="6CF375A6" w:rsidR="00CD76B1" w:rsidRPr="00E24E42" w:rsidRDefault="004A1C9E" w:rsidP="00CD76B1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Clasifica</w:t>
                              </w:r>
                              <w:r w:rsidR="00046A8B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fuzzy con</w:t>
                              </w:r>
                              <w:r w:rsidR="00046A8B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 xml:space="preserve"> </w:t>
                              </w:r>
                              <w:r w:rsidR="00D64203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distancia entre poblaciones por corpus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013928" name="Rectángulo 1"/>
                        <wps:cNvSpPr/>
                        <wps:spPr>
                          <a:xfrm>
                            <a:off x="0" y="3175000"/>
                            <a:ext cx="197993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183A0" w14:textId="0E9D7C70" w:rsidR="00A7388A" w:rsidRPr="00E24E42" w:rsidRDefault="00A7388A" w:rsidP="00A7388A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Obtener relaciones entre ítems (reglas subyacentes)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886873" name="Rectángulo 1"/>
                        <wps:cNvSpPr/>
                        <wps:spPr>
                          <a:xfrm>
                            <a:off x="0" y="3852333"/>
                            <a:ext cx="198000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4C190" w14:textId="255ABE4B" w:rsidR="000817E4" w:rsidRPr="00E24E42" w:rsidRDefault="000817E4" w:rsidP="000817E4">
                              <w:pPr>
                                <w:jc w:val="center"/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Información al usuario</w:t>
                              </w:r>
                              <w:r w:rsidR="00D43869">
                                <w:rPr>
                                  <w:b/>
                                  <w:bCs/>
                                  <w:color w:val="1F4E79" w:themeColor="accent5" w:themeShade="80"/>
                                  <w:lang w:val="es-ES_tradnl"/>
                                </w:rPr>
                                <w:t>: 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897298" name="Conector: angular 4"/>
                        <wps:cNvCnPr/>
                        <wps:spPr>
                          <a:xfrm>
                            <a:off x="986367" y="279400"/>
                            <a:ext cx="0" cy="2160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581010" name="Conector: angular 4"/>
                        <wps:cNvCnPr/>
                        <wps:spPr>
                          <a:xfrm>
                            <a:off x="986367" y="944033"/>
                            <a:ext cx="0" cy="21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7178030" name="Conector: angular 4"/>
                        <wps:cNvCnPr/>
                        <wps:spPr>
                          <a:xfrm>
                            <a:off x="986367" y="1621367"/>
                            <a:ext cx="0" cy="21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995887" name="Conector: angular 4"/>
                        <wps:cNvCnPr/>
                        <wps:spPr>
                          <a:xfrm>
                            <a:off x="986367" y="2294467"/>
                            <a:ext cx="0" cy="21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590436" name="Conector: angular 4"/>
                        <wps:cNvCnPr/>
                        <wps:spPr>
                          <a:xfrm>
                            <a:off x="986367" y="2971800"/>
                            <a:ext cx="0" cy="21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05713" name="Conector: angular 4"/>
                        <wps:cNvCnPr/>
                        <wps:spPr>
                          <a:xfrm>
                            <a:off x="986367" y="3644900"/>
                            <a:ext cx="0" cy="21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3C288" id="Grupo 6" o:spid="_x0000_s1026" style="position:absolute;left:0;text-align:left;margin-left:263.55pt;margin-top:7.85pt;width:155.9pt;height:324.95pt;z-index:251658240" coordsize="19800,4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">
                <v:rect id="Rectángulo 1" o:spid="_x0000_s1027" style="position:absolute;width:19800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" filled="f" strokecolor="#1f4d78 [1608]" strokeweight="1pt">
                  <v:textbox>
                    <w:txbxContent>
                      <w:p w14:paraId="279B3615" w14:textId="6D666D6E" w:rsidR="00E91BFF" w:rsidRPr="00E24E42" w:rsidRDefault="00E91BFF" w:rsidP="00E91BFF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 w:rsidRPr="00E24E42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Entrada de datos</w:t>
                        </w:r>
                      </w:p>
                    </w:txbxContent>
                  </v:textbox>
                </v:rect>
                <v:rect id="Rectángulo 1" o:spid="_x0000_s1028" style="position:absolute;top:4826;width:19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" filled="f" strokecolor="#1f4d78 [1608]" strokeweight="1pt">
                  <v:textbox>
                    <w:txbxContent>
                      <w:p w14:paraId="577F5429" w14:textId="16F64327" w:rsidR="00E24E42" w:rsidRPr="00E24E42" w:rsidRDefault="005F5D6C" w:rsidP="00E24E42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Conocer </w:t>
                        </w:r>
                        <w:r w:rsidR="0013379B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las </w:t>
                        </w: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funci</w:t>
                        </w:r>
                        <w:r w:rsidR="006A609D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o</w:t>
                        </w: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nes r complementarias </w:t>
                        </w:r>
                      </w:p>
                    </w:txbxContent>
                  </v:textbox>
                </v:rect>
                <v:rect id="Rectángulo 1" o:spid="_x0000_s1029" style="position:absolute;top:18288;width:1979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" filled="f" strokecolor="#1f4d78 [1608]" strokeweight="1pt">
                  <v:textbox>
                    <w:txbxContent>
                      <w:p w14:paraId="6E44DA91" w14:textId="0068171B" w:rsidR="00AD2215" w:rsidRPr="00E24E42" w:rsidRDefault="00AD2215" w:rsidP="00AD2215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Calcular</w:t>
                        </w:r>
                        <w:r w:rsidR="003E129F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 la</w:t>
                        </w: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 distancia </w:t>
                        </w:r>
                        <w:r w:rsidR="001E448E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entre poblaciones por ítem</w:t>
                        </w:r>
                      </w:p>
                    </w:txbxContent>
                  </v:textbox>
                </v:rect>
                <v:rect id="Rectángulo 1" o:spid="_x0000_s1030" style="position:absolute;top:25061;width:19799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" filled="f" strokecolor="#1f4d78 [1608]" strokeweight="1pt">
                  <v:textbox>
                    <w:txbxContent>
                      <w:p w14:paraId="3CC9AAD7" w14:textId="79A5C520" w:rsidR="00657D8F" w:rsidRPr="00E24E42" w:rsidRDefault="007D7489" w:rsidP="00657D8F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O</w:t>
                        </w:r>
                        <w:r w:rsidR="00657D8F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btener</w:t>
                        </w: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 y ordenar </w:t>
                        </w:r>
                        <w:r w:rsidR="00FF3B8C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estabilidad y capacidad diferenciadora</w:t>
                        </w:r>
                      </w:p>
                    </w:txbxContent>
                  </v:textbox>
                </v:rect>
                <v:rect id="Rectángulo 1" o:spid="_x0000_s1031" style="position:absolute;top:11557;width:1979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" filled="f" strokecolor="#1f4d78 [1608]" strokeweight="1pt">
                  <v:textbox>
                    <w:txbxContent>
                      <w:p w14:paraId="57CECB00" w14:textId="6CF375A6" w:rsidR="00CD76B1" w:rsidRPr="00E24E42" w:rsidRDefault="004A1C9E" w:rsidP="00CD76B1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Clasifica</w:t>
                        </w:r>
                        <w:r w:rsidR="00046A8B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r</w:t>
                        </w: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fuzzy con</w:t>
                        </w:r>
                        <w:r w:rsidR="00046A8B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 xml:space="preserve"> </w:t>
                        </w:r>
                        <w:r w:rsidR="00D64203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distancia entre poblaciones por corpus</w:t>
                        </w:r>
                      </w:p>
                    </w:txbxContent>
                  </v:textbox>
                </v:rect>
                <v:rect id="Rectángulo 1" o:spid="_x0000_s1032" style="position:absolute;top:31750;width:1979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" filled="f" strokecolor="#1f4d78 [1608]" strokeweight="1pt">
                  <v:textbox>
                    <w:txbxContent>
                      <w:p w14:paraId="3C1183A0" w14:textId="0E9D7C70" w:rsidR="00A7388A" w:rsidRPr="00E24E42" w:rsidRDefault="00A7388A" w:rsidP="00A7388A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Obtener relaciones entre ítems (reglas subyacentes)</w:t>
                        </w:r>
                      </w:p>
                    </w:txbxContent>
                  </v:textbox>
                </v:rect>
                <v:rect id="Rectángulo 1" o:spid="_x0000_s1033" style="position:absolute;top:38523;width:19800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" filled="f" strokecolor="#1f4d78 [1608]" strokeweight="1pt">
                  <v:textbox>
                    <w:txbxContent>
                      <w:p w14:paraId="4EC4C190" w14:textId="255ABE4B" w:rsidR="000817E4" w:rsidRPr="00E24E42" w:rsidRDefault="000817E4" w:rsidP="000817E4">
                        <w:pPr>
                          <w:jc w:val="center"/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Información al usuario</w:t>
                        </w:r>
                        <w:r w:rsidR="00D43869">
                          <w:rPr>
                            <w:b/>
                            <w:bCs/>
                            <w:color w:val="1F4E79" w:themeColor="accent5" w:themeShade="80"/>
                            <w:lang w:val="es-ES_tradnl"/>
                          </w:rPr>
                          <w:t>: salida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4" o:spid="_x0000_s1034" type="#_x0000_t34" style="position:absolute;left:9863;top:2794;width:0;height:2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" strokecolor="#1f4d78 [1608]" strokeweight="1pt">
                  <v:stroke endarrow="block"/>
                </v:shape>
                <v:shape id="Conector: angular 4" o:spid="_x0000_s1035" type="#_x0000_t34" style="position:absolute;left:9863;top:9440;width:0;height:21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" strokecolor="#1f4d78 [1608]" strokeweight="1pt">
                  <v:stroke endarrow="block"/>
                </v:shape>
                <v:shape id="Conector: angular 4" o:spid="_x0000_s1036" type="#_x0000_t34" style="position:absolute;left:9863;top:16213;width:0;height:21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" strokecolor="#1f4d78 [1608]" strokeweight="1pt">
                  <v:stroke endarrow="block"/>
                </v:shape>
                <v:shape id="Conector: angular 4" o:spid="_x0000_s1037" type="#_x0000_t34" style="position:absolute;left:9863;top:22944;width:0;height:21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" strokecolor="#1f4d78 [1608]" strokeweight="1pt">
                  <v:stroke endarrow="block"/>
                </v:shape>
                <v:shape id="Conector: angular 4" o:spid="_x0000_s1038" type="#_x0000_t34" style="position:absolute;left:9863;top:29718;width:0;height:21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" strokecolor="#1f4d78 [1608]" strokeweight="1pt">
                  <v:stroke endarrow="block"/>
                </v:shape>
                <v:shape id="Conector: angular 4" o:spid="_x0000_s1039" type="#_x0000_t34" style="position:absolute;left:9863;top:36449;width:0;height:21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" strokecolor="#1f4d78 [1608]" strokeweight="1pt">
                  <v:stroke endarrow="block"/>
                </v:shape>
                <w10:wrap type="square"/>
              </v:group>
            </w:pict>
          </mc:Fallback>
        </mc:AlternateContent>
      </w:r>
      <w:r w:rsidR="00536029" w:rsidRPr="004521B6">
        <w:rPr>
          <w:rFonts w:cstheme="minorHAnsi"/>
          <w:lang w:val="es-ES_tradnl"/>
        </w:rPr>
        <w:t xml:space="preserve">Definir una estructura de fichero (‘data </w:t>
      </w:r>
      <w:proofErr w:type="spellStart"/>
      <w:proofErr w:type="gramStart"/>
      <w:r w:rsidR="00536029" w:rsidRPr="004521B6">
        <w:rPr>
          <w:rFonts w:cstheme="minorHAnsi"/>
          <w:lang w:val="es-ES_tradnl"/>
        </w:rPr>
        <w:t>frame</w:t>
      </w:r>
      <w:proofErr w:type="spellEnd"/>
      <w:proofErr w:type="gramEnd"/>
      <w:r w:rsidR="00536029" w:rsidRPr="004521B6">
        <w:rPr>
          <w:rFonts w:cstheme="minorHAnsi"/>
          <w:lang w:val="es-ES_tradnl"/>
        </w:rPr>
        <w:t xml:space="preserve">’) que sea compatible con las funciones r a emplear y con </w:t>
      </w:r>
      <w:proofErr w:type="spellStart"/>
      <w:r w:rsidR="00536029" w:rsidRPr="004521B6">
        <w:rPr>
          <w:rFonts w:cstheme="minorHAnsi"/>
          <w:lang w:val="es-ES_tradnl"/>
        </w:rPr>
        <w:t>DiaTech</w:t>
      </w:r>
      <w:proofErr w:type="spellEnd"/>
      <w:r w:rsidR="00536029" w:rsidRPr="004521B6">
        <w:rPr>
          <w:rFonts w:cstheme="minorHAnsi"/>
          <w:lang w:val="es-ES_tradnl"/>
        </w:rPr>
        <w:t>.</w:t>
      </w:r>
    </w:p>
    <w:p w14:paraId="6191A625" w14:textId="50714CAE" w:rsidR="00536029" w:rsidRPr="004521B6" w:rsidRDefault="00536029" w:rsidP="00BD7214">
      <w:pPr>
        <w:pStyle w:val="Prrafodelista"/>
        <w:numPr>
          <w:ilvl w:val="0"/>
          <w:numId w:val="3"/>
        </w:numPr>
        <w:spacing w:after="120" w:line="360" w:lineRule="auto"/>
        <w:ind w:left="284" w:hanging="284"/>
        <w:jc w:val="both"/>
        <w:rPr>
          <w:b/>
          <w:bCs/>
        </w:rPr>
      </w:pPr>
      <w:proofErr w:type="spellStart"/>
      <w:r w:rsidRPr="004521B6">
        <w:rPr>
          <w:rFonts w:cstheme="minorHAnsi"/>
          <w:lang w:val="es-ES_tradnl"/>
        </w:rPr>
        <w:t>Cálcular</w:t>
      </w:r>
      <w:proofErr w:type="spellEnd"/>
      <w:r w:rsidRPr="004521B6">
        <w:rPr>
          <w:rFonts w:cstheme="minorHAnsi"/>
          <w:lang w:val="es-ES_tradnl"/>
        </w:rPr>
        <w:t xml:space="preserve"> de la</w:t>
      </w:r>
      <w:r w:rsidRPr="004521B6">
        <w:rPr>
          <w:rFonts w:cstheme="minorHAnsi"/>
          <w:b/>
          <w:bCs/>
          <w:lang w:val="es-ES_tradnl"/>
        </w:rPr>
        <w:t xml:space="preserve"> </w:t>
      </w:r>
      <w:r w:rsidRPr="004521B6">
        <w:rPr>
          <w:rFonts w:cstheme="minorHAnsi"/>
          <w:lang w:val="es-ES_tradnl"/>
        </w:rPr>
        <w:t xml:space="preserve">distancia entre dos vectores de caracteres (lingüística, </w:t>
      </w:r>
      <w:proofErr w:type="gramStart"/>
      <w:r w:rsidRPr="004521B6">
        <w:rPr>
          <w:rFonts w:cstheme="minorHAnsi"/>
          <w:lang w:val="es-ES_tradnl"/>
        </w:rPr>
        <w:t>genómica,…</w:t>
      </w:r>
      <w:proofErr w:type="gramEnd"/>
      <w:r w:rsidRPr="004521B6">
        <w:rPr>
          <w:rFonts w:cstheme="minorHAnsi"/>
          <w:lang w:val="es-ES_tradnl"/>
        </w:rPr>
        <w:t>). Funciones en r: ‘</w:t>
      </w:r>
      <w:proofErr w:type="spellStart"/>
      <w:r w:rsidRPr="004521B6">
        <w:rPr>
          <w:rFonts w:cstheme="minorHAnsi"/>
          <w:lang w:val="es-ES_tradnl"/>
        </w:rPr>
        <w:t>stringdist</w:t>
      </w:r>
      <w:proofErr w:type="spellEnd"/>
      <w:r w:rsidRPr="004521B6">
        <w:rPr>
          <w:rFonts w:cstheme="minorHAnsi"/>
          <w:lang w:val="es-ES_tradnl"/>
        </w:rPr>
        <w:t>’ y alternativas</w:t>
      </w:r>
      <w:r w:rsidR="00541955" w:rsidRPr="004521B6">
        <w:rPr>
          <w:rFonts w:cstheme="minorHAnsi"/>
          <w:lang w:val="es-ES_tradnl"/>
        </w:rPr>
        <w:t xml:space="preserve"> tienen implementadas distancias textuales</w:t>
      </w:r>
      <w:r w:rsidRPr="004521B6">
        <w:rPr>
          <w:rFonts w:cstheme="minorHAnsi"/>
          <w:lang w:val="es-ES_tradnl"/>
        </w:rPr>
        <w:t xml:space="preserve">. En lingüística, las distancias más empleadas son: </w:t>
      </w:r>
      <w:proofErr w:type="spellStart"/>
      <w:r w:rsidRPr="004521B6">
        <w:rPr>
          <w:rFonts w:cstheme="minorHAnsi"/>
          <w:shd w:val="clear" w:color="auto" w:fill="FFFFFF"/>
        </w:rPr>
        <w:t>Levenshtein</w:t>
      </w:r>
      <w:proofErr w:type="spellEnd"/>
      <w:r w:rsidRPr="004521B6">
        <w:rPr>
          <w:rFonts w:cstheme="minorHAnsi"/>
          <w:shd w:val="clear" w:color="auto" w:fill="FFFFFF"/>
        </w:rPr>
        <w:t xml:space="preserve"> y RIV (RIV se </w:t>
      </w:r>
      <w:proofErr w:type="spellStart"/>
      <w:r w:rsidRPr="004521B6">
        <w:rPr>
          <w:rFonts w:cstheme="minorHAnsi"/>
          <w:shd w:val="clear" w:color="auto" w:fill="FFFFFF"/>
        </w:rPr>
        <w:t>puede</w:t>
      </w:r>
      <w:proofErr w:type="spellEnd"/>
      <w:r w:rsidRPr="004521B6">
        <w:rPr>
          <w:rFonts w:cstheme="minorHAnsi"/>
          <w:shd w:val="clear" w:color="auto" w:fill="FFFFFF"/>
        </w:rPr>
        <w:t xml:space="preserve"> </w:t>
      </w:r>
      <w:proofErr w:type="spellStart"/>
      <w:r w:rsidRPr="004521B6">
        <w:rPr>
          <w:rFonts w:cstheme="minorHAnsi"/>
          <w:shd w:val="clear" w:color="auto" w:fill="FFFFFF"/>
        </w:rPr>
        <w:t>deducir</w:t>
      </w:r>
      <w:proofErr w:type="spellEnd"/>
      <w:r w:rsidRPr="004521B6">
        <w:rPr>
          <w:rFonts w:cstheme="minorHAnsi"/>
          <w:shd w:val="clear" w:color="auto" w:fill="FFFFFF"/>
        </w:rPr>
        <w:t xml:space="preserve"> de </w:t>
      </w:r>
      <w:proofErr w:type="spellStart"/>
      <w:r w:rsidRPr="004521B6">
        <w:rPr>
          <w:rFonts w:cstheme="minorHAnsi"/>
          <w:shd w:val="clear" w:color="auto" w:fill="FFFFFF"/>
        </w:rPr>
        <w:t>Levenshtein</w:t>
      </w:r>
      <w:proofErr w:type="spellEnd"/>
      <w:r w:rsidRPr="004521B6">
        <w:rPr>
          <w:rFonts w:cstheme="minorHAnsi"/>
          <w:shd w:val="clear" w:color="auto" w:fill="FFFFFF"/>
        </w:rPr>
        <w:t xml:space="preserve">: </w:t>
      </w:r>
      <w:proofErr w:type="spellStart"/>
      <w:proofErr w:type="gramStart"/>
      <w:r w:rsidRPr="004521B6">
        <w:rPr>
          <w:rFonts w:cstheme="minorHAnsi"/>
          <w:shd w:val="clear" w:color="auto" w:fill="FFFFFF"/>
        </w:rPr>
        <w:t>d</w:t>
      </w:r>
      <w:r w:rsidRPr="004521B6">
        <w:rPr>
          <w:rFonts w:cstheme="minorHAnsi"/>
          <w:shd w:val="clear" w:color="auto" w:fill="FFFFFF"/>
          <w:vertAlign w:val="subscript"/>
        </w:rPr>
        <w:t>RIV</w:t>
      </w:r>
      <w:proofErr w:type="spellEnd"/>
      <w:r w:rsidRPr="004521B6">
        <w:rPr>
          <w:rFonts w:cstheme="minorHAnsi"/>
          <w:shd w:val="clear" w:color="auto" w:fill="FFFFFF"/>
        </w:rPr>
        <w:t>(</w:t>
      </w:r>
      <w:proofErr w:type="gramEnd"/>
      <w:r w:rsidRPr="004521B6">
        <w:rPr>
          <w:rFonts w:cstheme="minorHAnsi"/>
          <w:shd w:val="clear" w:color="auto" w:fill="FFFFFF"/>
        </w:rPr>
        <w:t>P</w:t>
      </w:r>
      <w:r w:rsidRPr="004521B6">
        <w:rPr>
          <w:rFonts w:cstheme="minorHAnsi"/>
          <w:shd w:val="clear" w:color="auto" w:fill="FFFFFF"/>
          <w:vertAlign w:val="subscript"/>
        </w:rPr>
        <w:t>i</w:t>
      </w:r>
      <w:r w:rsidRPr="004521B6">
        <w:rPr>
          <w:rFonts w:cstheme="minorHAnsi"/>
          <w:shd w:val="clear" w:color="auto" w:fill="FFFFFF"/>
        </w:rPr>
        <w:t xml:space="preserve">, </w:t>
      </w:r>
      <w:proofErr w:type="spellStart"/>
      <w:r w:rsidRPr="004521B6">
        <w:rPr>
          <w:rFonts w:cstheme="minorHAnsi"/>
          <w:shd w:val="clear" w:color="auto" w:fill="FFFFFF"/>
        </w:rPr>
        <w:t>P</w:t>
      </w:r>
      <w:r w:rsidRPr="004521B6">
        <w:rPr>
          <w:rFonts w:cstheme="minorHAnsi"/>
          <w:shd w:val="clear" w:color="auto" w:fill="FFFFFF"/>
          <w:vertAlign w:val="subscript"/>
        </w:rPr>
        <w:t>j</w:t>
      </w:r>
      <w:proofErr w:type="spellEnd"/>
      <w:r w:rsidRPr="004521B6">
        <w:rPr>
          <w:rFonts w:cstheme="minorHAnsi"/>
          <w:shd w:val="clear" w:color="auto" w:fill="FFFFFF"/>
        </w:rPr>
        <w:t xml:space="preserve">)=0 si </w:t>
      </w:r>
      <w:proofErr w:type="spellStart"/>
      <w:r w:rsidRPr="004521B6">
        <w:rPr>
          <w:rFonts w:cstheme="minorHAnsi"/>
          <w:shd w:val="clear" w:color="auto" w:fill="FFFFFF"/>
        </w:rPr>
        <w:t>d</w:t>
      </w:r>
      <w:r w:rsidRPr="004521B6">
        <w:rPr>
          <w:rFonts w:cstheme="minorHAnsi"/>
          <w:shd w:val="clear" w:color="auto" w:fill="FFFFFF"/>
          <w:vertAlign w:val="subscript"/>
        </w:rPr>
        <w:t>Lev</w:t>
      </w:r>
      <w:proofErr w:type="spellEnd"/>
      <w:r w:rsidRPr="004521B6">
        <w:rPr>
          <w:rFonts w:cstheme="minorHAnsi"/>
          <w:shd w:val="clear" w:color="auto" w:fill="FFFFFF"/>
        </w:rPr>
        <w:t>(P</w:t>
      </w:r>
      <w:r w:rsidRPr="004521B6">
        <w:rPr>
          <w:rFonts w:cstheme="minorHAnsi"/>
          <w:shd w:val="clear" w:color="auto" w:fill="FFFFFF"/>
          <w:vertAlign w:val="subscript"/>
        </w:rPr>
        <w:t>i</w:t>
      </w:r>
      <w:r w:rsidRPr="004521B6">
        <w:rPr>
          <w:rFonts w:cstheme="minorHAnsi"/>
          <w:shd w:val="clear" w:color="auto" w:fill="FFFFFF"/>
        </w:rPr>
        <w:t xml:space="preserve">, </w:t>
      </w:r>
      <w:proofErr w:type="spellStart"/>
      <w:r w:rsidRPr="004521B6">
        <w:rPr>
          <w:rFonts w:cstheme="minorHAnsi"/>
          <w:shd w:val="clear" w:color="auto" w:fill="FFFFFF"/>
        </w:rPr>
        <w:t>P</w:t>
      </w:r>
      <w:r w:rsidRPr="004521B6">
        <w:rPr>
          <w:rFonts w:cstheme="minorHAnsi"/>
          <w:shd w:val="clear" w:color="auto" w:fill="FFFFFF"/>
          <w:vertAlign w:val="subscript"/>
        </w:rPr>
        <w:t>j</w:t>
      </w:r>
      <w:proofErr w:type="spellEnd"/>
      <w:r w:rsidRPr="004521B6">
        <w:rPr>
          <w:rFonts w:cstheme="minorHAnsi"/>
          <w:shd w:val="clear" w:color="auto" w:fill="FFFFFF"/>
        </w:rPr>
        <w:t xml:space="preserve">)=0 y </w:t>
      </w:r>
      <w:proofErr w:type="spellStart"/>
      <w:r w:rsidRPr="004521B6">
        <w:rPr>
          <w:rFonts w:cstheme="minorHAnsi"/>
          <w:shd w:val="clear" w:color="auto" w:fill="FFFFFF"/>
        </w:rPr>
        <w:t>d</w:t>
      </w:r>
      <w:r w:rsidRPr="004521B6">
        <w:rPr>
          <w:rFonts w:cstheme="minorHAnsi"/>
          <w:shd w:val="clear" w:color="auto" w:fill="FFFFFF"/>
          <w:vertAlign w:val="subscript"/>
        </w:rPr>
        <w:t>RIV</w:t>
      </w:r>
      <w:proofErr w:type="spellEnd"/>
      <w:r w:rsidRPr="004521B6">
        <w:rPr>
          <w:rFonts w:cstheme="minorHAnsi"/>
          <w:shd w:val="clear" w:color="auto" w:fill="FFFFFF"/>
        </w:rPr>
        <w:t>(</w:t>
      </w:r>
      <w:proofErr w:type="spellStart"/>
      <w:r w:rsidRPr="004521B6">
        <w:rPr>
          <w:rFonts w:cstheme="minorHAnsi"/>
          <w:shd w:val="clear" w:color="auto" w:fill="FFFFFF"/>
        </w:rPr>
        <w:t>P</w:t>
      </w:r>
      <w:r w:rsidRPr="004521B6">
        <w:rPr>
          <w:rFonts w:cstheme="minorHAnsi"/>
          <w:shd w:val="clear" w:color="auto" w:fill="FFFFFF"/>
          <w:vertAlign w:val="subscript"/>
        </w:rPr>
        <w:t>i</w:t>
      </w:r>
      <w:r w:rsidRPr="004521B6">
        <w:rPr>
          <w:rFonts w:cstheme="minorHAnsi"/>
          <w:shd w:val="clear" w:color="auto" w:fill="FFFFFF"/>
        </w:rPr>
        <w:t>,P</w:t>
      </w:r>
      <w:r w:rsidRPr="004521B6">
        <w:rPr>
          <w:rFonts w:cstheme="minorHAnsi"/>
          <w:shd w:val="clear" w:color="auto" w:fill="FFFFFF"/>
          <w:vertAlign w:val="subscript"/>
        </w:rPr>
        <w:t>j</w:t>
      </w:r>
      <w:proofErr w:type="spellEnd"/>
      <w:r w:rsidRPr="004521B6">
        <w:rPr>
          <w:rFonts w:cstheme="minorHAnsi"/>
          <w:shd w:val="clear" w:color="auto" w:fill="FFFFFF"/>
        </w:rPr>
        <w:t xml:space="preserve">)=1 si </w:t>
      </w:r>
      <w:proofErr w:type="spellStart"/>
      <w:r w:rsidRPr="004521B6">
        <w:rPr>
          <w:rFonts w:cstheme="minorHAnsi"/>
          <w:shd w:val="clear" w:color="auto" w:fill="FFFFFF"/>
        </w:rPr>
        <w:t>d</w:t>
      </w:r>
      <w:r w:rsidRPr="004521B6">
        <w:rPr>
          <w:rFonts w:cstheme="minorHAnsi"/>
          <w:shd w:val="clear" w:color="auto" w:fill="FFFFFF"/>
          <w:vertAlign w:val="subscript"/>
        </w:rPr>
        <w:t>Lev</w:t>
      </w:r>
      <w:proofErr w:type="spellEnd"/>
      <w:r w:rsidRPr="004521B6">
        <w:rPr>
          <w:rFonts w:cstheme="minorHAnsi"/>
          <w:shd w:val="clear" w:color="auto" w:fill="FFFFFF"/>
        </w:rPr>
        <w:t>(P</w:t>
      </w:r>
      <w:r w:rsidRPr="004521B6">
        <w:rPr>
          <w:rFonts w:cstheme="minorHAnsi"/>
          <w:shd w:val="clear" w:color="auto" w:fill="FFFFFF"/>
          <w:vertAlign w:val="subscript"/>
        </w:rPr>
        <w:t>i</w:t>
      </w:r>
      <w:r w:rsidRPr="004521B6">
        <w:rPr>
          <w:rFonts w:cstheme="minorHAnsi"/>
          <w:shd w:val="clear" w:color="auto" w:fill="FFFFFF"/>
        </w:rPr>
        <w:t xml:space="preserve">, </w:t>
      </w:r>
      <w:proofErr w:type="spellStart"/>
      <w:r w:rsidRPr="004521B6">
        <w:rPr>
          <w:rFonts w:cstheme="minorHAnsi"/>
          <w:shd w:val="clear" w:color="auto" w:fill="FFFFFF"/>
        </w:rPr>
        <w:t>P</w:t>
      </w:r>
      <w:r w:rsidRPr="004521B6">
        <w:rPr>
          <w:rFonts w:cstheme="minorHAnsi"/>
          <w:shd w:val="clear" w:color="auto" w:fill="FFFFFF"/>
          <w:vertAlign w:val="subscript"/>
        </w:rPr>
        <w:t>j</w:t>
      </w:r>
      <w:proofErr w:type="spellEnd"/>
      <w:r w:rsidRPr="004521B6">
        <w:rPr>
          <w:rFonts w:cstheme="minorHAnsi"/>
          <w:shd w:val="clear" w:color="auto" w:fill="FFFFFF"/>
        </w:rPr>
        <w:t xml:space="preserve">)&gt;0). </w:t>
      </w:r>
      <w:r w:rsidRPr="004521B6">
        <w:rPr>
          <w:rFonts w:cstheme="minorHAnsi"/>
          <w:shd w:val="clear" w:color="auto" w:fill="FFFFFF"/>
          <w:lang w:val="es-ES_tradnl"/>
        </w:rPr>
        <w:t xml:space="preserve">También, aunque menos utilizadas, </w:t>
      </w:r>
      <w:r w:rsidRPr="004521B6">
        <w:rPr>
          <w:rFonts w:cstheme="minorHAnsi"/>
          <w:shd w:val="clear" w:color="auto" w:fill="FFFFFF"/>
        </w:rPr>
        <w:t xml:space="preserve">las </w:t>
      </w:r>
      <w:proofErr w:type="spellStart"/>
      <w:r w:rsidRPr="004521B6">
        <w:rPr>
          <w:rFonts w:cstheme="minorHAnsi"/>
          <w:shd w:val="clear" w:color="auto" w:fill="FFFFFF"/>
        </w:rPr>
        <w:t>distancias</w:t>
      </w:r>
      <w:proofErr w:type="spellEnd"/>
      <w:r w:rsidRPr="004521B6">
        <w:rPr>
          <w:rFonts w:cstheme="minorHAnsi"/>
          <w:shd w:val="clear" w:color="auto" w:fill="FFFFFF"/>
        </w:rPr>
        <w:t xml:space="preserve"> WIV (RIV ponderada) y COD</w:t>
      </w:r>
      <w:r w:rsidRPr="004521B6">
        <w:rPr>
          <w:rFonts w:cstheme="minorHAnsi"/>
          <w:shd w:val="clear" w:color="auto" w:fill="FFFFFF"/>
          <w:lang w:val="es-ES_tradnl"/>
        </w:rPr>
        <w:t>. En el ámbito de la genómica, las distancias implementadas en ‘</w:t>
      </w:r>
      <w:proofErr w:type="spellStart"/>
      <w:r w:rsidRPr="004521B6">
        <w:rPr>
          <w:rFonts w:cstheme="minorHAnsi"/>
          <w:shd w:val="clear" w:color="auto" w:fill="FFFFFF"/>
          <w:lang w:val="es-ES_tradnl"/>
        </w:rPr>
        <w:t>s</w:t>
      </w:r>
      <w:r w:rsidRPr="004521B6">
        <w:rPr>
          <w:rFonts w:cstheme="minorHAnsi"/>
          <w:lang w:val="es-ES_tradnl"/>
        </w:rPr>
        <w:t>tringdist</w:t>
      </w:r>
      <w:proofErr w:type="spellEnd"/>
      <w:r w:rsidRPr="004521B6">
        <w:rPr>
          <w:rFonts w:cstheme="minorHAnsi"/>
          <w:lang w:val="es-ES_tradnl"/>
        </w:rPr>
        <w:t>’</w:t>
      </w:r>
      <w:r w:rsidRPr="004521B6">
        <w:rPr>
          <w:rFonts w:cstheme="minorHAnsi"/>
          <w:shd w:val="clear" w:color="auto" w:fill="FFFFFF"/>
          <w:lang w:val="es-ES_tradnl"/>
        </w:rPr>
        <w:t xml:space="preserve"> </w:t>
      </w:r>
      <w:r w:rsidR="00E62AD1" w:rsidRPr="004521B6">
        <w:rPr>
          <w:rFonts w:cstheme="minorHAnsi"/>
          <w:shd w:val="clear" w:color="auto" w:fill="FFFFFF"/>
          <w:lang w:val="es-ES_tradnl"/>
        </w:rPr>
        <w:t xml:space="preserve">pueden dar </w:t>
      </w:r>
      <w:r w:rsidRPr="004521B6">
        <w:rPr>
          <w:rFonts w:cstheme="minorHAnsi"/>
          <w:shd w:val="clear" w:color="auto" w:fill="FFFFFF"/>
          <w:lang w:val="es-ES_tradnl"/>
        </w:rPr>
        <w:t>respuesta a las necesidades del investigador.</w:t>
      </w:r>
    </w:p>
    <w:p w14:paraId="41CD8542" w14:textId="77777777" w:rsidR="00E62AD1" w:rsidRPr="004521B6" w:rsidRDefault="00E62AD1" w:rsidP="00E62AD1">
      <w:pPr>
        <w:pStyle w:val="Prrafodelista"/>
        <w:numPr>
          <w:ilvl w:val="0"/>
          <w:numId w:val="3"/>
        </w:numPr>
        <w:spacing w:before="120" w:after="0" w:line="360" w:lineRule="auto"/>
        <w:ind w:left="284" w:hanging="284"/>
        <w:jc w:val="both"/>
        <w:rPr>
          <w:lang w:val="es-ES_tradnl"/>
        </w:rPr>
      </w:pPr>
      <w:r w:rsidRPr="004521B6">
        <w:rPr>
          <w:b/>
          <w:bCs/>
          <w:lang w:val="es-ES_tradnl"/>
        </w:rPr>
        <w:t xml:space="preserve">Clúster análisis. </w:t>
      </w:r>
      <w:r w:rsidRPr="004521B6">
        <w:rPr>
          <w:lang w:val="es-ES_tradnl"/>
        </w:rPr>
        <w:t>Librerías de clasificación determinista: ‘</w:t>
      </w:r>
      <w:proofErr w:type="spellStart"/>
      <w:r w:rsidRPr="004521B6">
        <w:rPr>
          <w:lang w:val="es-ES_tradnl"/>
        </w:rPr>
        <w:t>mclust</w:t>
      </w:r>
      <w:proofErr w:type="spellEnd"/>
      <w:r w:rsidRPr="004521B6">
        <w:rPr>
          <w:lang w:val="es-ES_tradnl"/>
        </w:rPr>
        <w:t>’, ‘</w:t>
      </w:r>
      <w:proofErr w:type="spellStart"/>
      <w:r w:rsidRPr="004521B6">
        <w:rPr>
          <w:lang w:val="es-ES_tradnl"/>
        </w:rPr>
        <w:t>ppclust</w:t>
      </w:r>
      <w:proofErr w:type="spellEnd"/>
      <w:proofErr w:type="gramStart"/>
      <w:r w:rsidRPr="004521B6">
        <w:rPr>
          <w:lang w:val="es-ES_tradnl"/>
        </w:rPr>
        <w:t xml:space="preserve">’,   </w:t>
      </w:r>
      <w:proofErr w:type="gramEnd"/>
      <w:r w:rsidRPr="004521B6">
        <w:rPr>
          <w:lang w:val="es-ES_tradnl"/>
        </w:rPr>
        <w:t xml:space="preserve"> . Librerías que trabajan con lógica </w:t>
      </w:r>
      <w:proofErr w:type="spellStart"/>
      <w:r w:rsidRPr="004521B6">
        <w:rPr>
          <w:lang w:val="es-ES_tradnl"/>
        </w:rPr>
        <w:t>fuzzy</w:t>
      </w:r>
      <w:proofErr w:type="spellEnd"/>
      <w:r w:rsidRPr="004521B6">
        <w:rPr>
          <w:lang w:val="es-ES_tradnl"/>
        </w:rPr>
        <w:t xml:space="preserve"> ‘</w:t>
      </w:r>
      <w:proofErr w:type="spellStart"/>
      <w:r w:rsidRPr="004521B6">
        <w:rPr>
          <w:lang w:val="es-ES_tradnl"/>
        </w:rPr>
        <w:t>fclust</w:t>
      </w:r>
      <w:proofErr w:type="spellEnd"/>
      <w:r w:rsidRPr="004521B6">
        <w:rPr>
          <w:lang w:val="es-ES_tradnl"/>
        </w:rPr>
        <w:t>’, ‘</w:t>
      </w:r>
      <w:proofErr w:type="spellStart"/>
      <w:r w:rsidRPr="004521B6">
        <w:rPr>
          <w:lang w:val="es-ES_tradnl"/>
        </w:rPr>
        <w:t>ppclust</w:t>
      </w:r>
      <w:proofErr w:type="spellEnd"/>
      <w:proofErr w:type="gramStart"/>
      <w:r w:rsidRPr="004521B6">
        <w:rPr>
          <w:lang w:val="es-ES_tradnl"/>
        </w:rPr>
        <w:t>’,…</w:t>
      </w:r>
      <w:proofErr w:type="gramEnd"/>
      <w:r w:rsidRPr="004521B6">
        <w:rPr>
          <w:lang w:val="es-ES_tradnl"/>
        </w:rPr>
        <w:t>.</w:t>
      </w:r>
    </w:p>
    <w:p w14:paraId="4FFDF73D" w14:textId="65F10920" w:rsidR="00046A8B" w:rsidRPr="00B17C81" w:rsidRDefault="00D63A9E" w:rsidP="003A6281">
      <w:pPr>
        <w:spacing w:before="120" w:after="0" w:line="360" w:lineRule="auto"/>
        <w:jc w:val="both"/>
        <w:rPr>
          <w:lang w:val="es-ES"/>
        </w:rPr>
      </w:pPr>
      <w:r>
        <w:rPr>
          <w:rFonts w:cstheme="minorHAnsi"/>
          <w:shd w:val="clear" w:color="auto" w:fill="FFFFFF"/>
        </w:rPr>
        <w:t>*</w:t>
      </w:r>
      <w:r w:rsidR="005F757C" w:rsidRPr="00931F34">
        <w:rPr>
          <w:rFonts w:cstheme="minorHAnsi"/>
          <w:shd w:val="clear" w:color="auto" w:fill="FFFFFF"/>
        </w:rPr>
        <w:t xml:space="preserve">Distancia </w:t>
      </w:r>
      <w:proofErr w:type="spellStart"/>
      <w:r w:rsidR="005F757C" w:rsidRPr="00931F34">
        <w:rPr>
          <w:rFonts w:cstheme="minorHAnsi"/>
          <w:shd w:val="clear" w:color="auto" w:fill="FFFFFF"/>
        </w:rPr>
        <w:t>Levenshein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shd w:val="clear" w:color="auto" w:fill="FFFFFF"/>
        </w:rPr>
        <w:t>información</w:t>
      </w:r>
      <w:proofErr w:type="spellEnd"/>
      <w:r>
        <w:rPr>
          <w:rFonts w:cstheme="minorHAnsi"/>
          <w:shd w:val="clear" w:color="auto" w:fill="FFFFFF"/>
        </w:rPr>
        <w:t xml:space="preserve">) </w:t>
      </w:r>
      <w:r w:rsidR="00931F34">
        <w:rPr>
          <w:rFonts w:cstheme="minorHAnsi"/>
          <w:color w:val="1F4E79" w:themeColor="accent5" w:themeShade="80"/>
          <w:shd w:val="clear" w:color="auto" w:fill="FFFFFF"/>
        </w:rPr>
        <w:t xml:space="preserve">. </w:t>
      </w:r>
      <w:hyperlink r:id="rId7" w:history="1">
        <w:r w:rsidR="00931F34" w:rsidRPr="00245728">
          <w:rPr>
            <w:rStyle w:val="Hipervnculo"/>
            <w:lang w:val="es-ES"/>
          </w:rPr>
          <w:t>https://ast.wikipedia.org/wiki/Distancia_de_Levenshtein</w:t>
        </w:r>
      </w:hyperlink>
      <w:r w:rsidR="00931F34">
        <w:rPr>
          <w:lang w:val="es-ES"/>
        </w:rPr>
        <w:t xml:space="preserve"> ; </w:t>
      </w:r>
      <w:hyperlink r:id="rId8" w:history="1">
        <w:r w:rsidR="00931F34" w:rsidRPr="00245728">
          <w:rPr>
            <w:rStyle w:val="Hipervnculo"/>
            <w:lang w:val="es-ES"/>
          </w:rPr>
          <w:t>https://en.wikipedia.org/wiki/Levenshtein_distance</w:t>
        </w:r>
      </w:hyperlink>
      <w:r w:rsidR="00931F34">
        <w:rPr>
          <w:lang w:val="es-ES"/>
        </w:rPr>
        <w:t xml:space="preserve"> </w:t>
      </w:r>
    </w:p>
    <w:p w14:paraId="5E8A93EC" w14:textId="77777777" w:rsidR="003A6281" w:rsidRDefault="003A6281" w:rsidP="003A6281">
      <w:pPr>
        <w:spacing w:after="120" w:line="360" w:lineRule="auto"/>
        <w:jc w:val="center"/>
        <w:rPr>
          <w:lang w:val="es-ES_tradnl"/>
        </w:rPr>
      </w:pPr>
      <w:r>
        <w:rPr>
          <w:lang w:val="es-ES_tradnl"/>
        </w:rPr>
        <w:t>--------------------------------------</w:t>
      </w:r>
    </w:p>
    <w:p w14:paraId="499E720F" w14:textId="589854E3" w:rsidR="003A6281" w:rsidRPr="00266312" w:rsidRDefault="003A6281" w:rsidP="00BC0E66">
      <w:pPr>
        <w:spacing w:before="120" w:after="0" w:line="360" w:lineRule="auto"/>
        <w:jc w:val="both"/>
        <w:rPr>
          <w:lang w:val="es-ES_tradnl"/>
        </w:rPr>
      </w:pPr>
      <w:r>
        <w:rPr>
          <w:b/>
          <w:bCs/>
          <w:lang w:val="es-ES_tradnl"/>
        </w:rPr>
        <w:t>Validación y e</w:t>
      </w:r>
      <w:r w:rsidRPr="003A6281">
        <w:rPr>
          <w:b/>
          <w:bCs/>
          <w:lang w:val="es-ES_tradnl"/>
        </w:rPr>
        <w:t>jemplo ilustrativo</w:t>
      </w:r>
      <w:r>
        <w:rPr>
          <w:lang w:val="es-ES_tradnl"/>
        </w:rPr>
        <w:t xml:space="preserve">. La validación de resultados (conceptualización </w:t>
      </w:r>
      <w:proofErr w:type="spellStart"/>
      <w:r>
        <w:rPr>
          <w:lang w:val="es-ES_tradnl"/>
        </w:rPr>
        <w:t>y</w:t>
      </w:r>
      <w:proofErr w:type="spellEnd"/>
      <w:r>
        <w:rPr>
          <w:lang w:val="es-ES_tradnl"/>
        </w:rPr>
        <w:t xml:space="preserve"> implementación) se realizará con el Vasco Corpus </w:t>
      </w:r>
      <w:proofErr w:type="spellStart"/>
      <w:r>
        <w:rPr>
          <w:lang w:val="es-ES_tradnl"/>
        </w:rPr>
        <w:t>Bourciez</w:t>
      </w:r>
      <w:proofErr w:type="spellEnd"/>
      <w:r>
        <w:rPr>
          <w:lang w:val="es-ES_tradnl"/>
        </w:rPr>
        <w:t>.</w:t>
      </w:r>
    </w:p>
    <w:sectPr w:rsidR="003A6281" w:rsidRPr="00266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32E5B"/>
    <w:multiLevelType w:val="hybridMultilevel"/>
    <w:tmpl w:val="57328AB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8ECA0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DF1"/>
    <w:multiLevelType w:val="hybridMultilevel"/>
    <w:tmpl w:val="B19EAAD8"/>
    <w:lvl w:ilvl="0" w:tplc="8BA001E0">
      <w:start w:val="1"/>
      <w:numFmt w:val="decimal"/>
      <w:lvlText w:val="%1."/>
      <w:lvlJc w:val="left"/>
      <w:pPr>
        <w:ind w:left="644" w:hanging="360"/>
      </w:pPr>
      <w:rPr>
        <w:rFonts w:cstheme="minorHAnsi" w:hint="default"/>
        <w:b w:val="0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65E4A0C"/>
    <w:multiLevelType w:val="hybridMultilevel"/>
    <w:tmpl w:val="9C44713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70725">
    <w:abstractNumId w:val="2"/>
  </w:num>
  <w:num w:numId="2" w16cid:durableId="922299128">
    <w:abstractNumId w:val="0"/>
  </w:num>
  <w:num w:numId="3" w16cid:durableId="189657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95"/>
    <w:rsid w:val="000015EB"/>
    <w:rsid w:val="00013C10"/>
    <w:rsid w:val="00014A7E"/>
    <w:rsid w:val="00014B14"/>
    <w:rsid w:val="000268A0"/>
    <w:rsid w:val="00032D54"/>
    <w:rsid w:val="000341DB"/>
    <w:rsid w:val="00037A4F"/>
    <w:rsid w:val="000459F7"/>
    <w:rsid w:val="00046A8B"/>
    <w:rsid w:val="00051899"/>
    <w:rsid w:val="00051F16"/>
    <w:rsid w:val="00052D77"/>
    <w:rsid w:val="0005799F"/>
    <w:rsid w:val="00060AE1"/>
    <w:rsid w:val="00063BFC"/>
    <w:rsid w:val="00066F72"/>
    <w:rsid w:val="000817E4"/>
    <w:rsid w:val="00091D01"/>
    <w:rsid w:val="000A3656"/>
    <w:rsid w:val="000A5636"/>
    <w:rsid w:val="000A654E"/>
    <w:rsid w:val="000C0261"/>
    <w:rsid w:val="000D4301"/>
    <w:rsid w:val="000D6088"/>
    <w:rsid w:val="000E4CC8"/>
    <w:rsid w:val="000F18BC"/>
    <w:rsid w:val="000F7012"/>
    <w:rsid w:val="000F7664"/>
    <w:rsid w:val="00102949"/>
    <w:rsid w:val="00104F83"/>
    <w:rsid w:val="00105BA7"/>
    <w:rsid w:val="00112C0B"/>
    <w:rsid w:val="001248FB"/>
    <w:rsid w:val="0012545C"/>
    <w:rsid w:val="0013379B"/>
    <w:rsid w:val="00136402"/>
    <w:rsid w:val="00152F59"/>
    <w:rsid w:val="00156BC0"/>
    <w:rsid w:val="00161F64"/>
    <w:rsid w:val="001620A6"/>
    <w:rsid w:val="00162EFD"/>
    <w:rsid w:val="00167467"/>
    <w:rsid w:val="00173B72"/>
    <w:rsid w:val="00181911"/>
    <w:rsid w:val="00182011"/>
    <w:rsid w:val="00192E73"/>
    <w:rsid w:val="001957C0"/>
    <w:rsid w:val="00195DD5"/>
    <w:rsid w:val="001A083F"/>
    <w:rsid w:val="001A0ABF"/>
    <w:rsid w:val="001B0087"/>
    <w:rsid w:val="001B4F40"/>
    <w:rsid w:val="001B73AF"/>
    <w:rsid w:val="001C0E88"/>
    <w:rsid w:val="001C471B"/>
    <w:rsid w:val="001E028D"/>
    <w:rsid w:val="001E35D4"/>
    <w:rsid w:val="001E448E"/>
    <w:rsid w:val="001E512C"/>
    <w:rsid w:val="00201BA6"/>
    <w:rsid w:val="00202AB2"/>
    <w:rsid w:val="00206610"/>
    <w:rsid w:val="00211375"/>
    <w:rsid w:val="002165EE"/>
    <w:rsid w:val="0022344C"/>
    <w:rsid w:val="0023135B"/>
    <w:rsid w:val="002317BE"/>
    <w:rsid w:val="0023275E"/>
    <w:rsid w:val="00234B0C"/>
    <w:rsid w:val="00237172"/>
    <w:rsid w:val="002546A5"/>
    <w:rsid w:val="00254E41"/>
    <w:rsid w:val="0026565B"/>
    <w:rsid w:val="00266312"/>
    <w:rsid w:val="00280160"/>
    <w:rsid w:val="00296D79"/>
    <w:rsid w:val="0029777B"/>
    <w:rsid w:val="002A6F87"/>
    <w:rsid w:val="002B21A0"/>
    <w:rsid w:val="002B396A"/>
    <w:rsid w:val="002B6A37"/>
    <w:rsid w:val="002C0110"/>
    <w:rsid w:val="002C2EEB"/>
    <w:rsid w:val="002C7CEB"/>
    <w:rsid w:val="002D6A4A"/>
    <w:rsid w:val="002F490A"/>
    <w:rsid w:val="002F4C1C"/>
    <w:rsid w:val="003255EB"/>
    <w:rsid w:val="00333C63"/>
    <w:rsid w:val="00334066"/>
    <w:rsid w:val="00352405"/>
    <w:rsid w:val="00355759"/>
    <w:rsid w:val="00365121"/>
    <w:rsid w:val="00371D16"/>
    <w:rsid w:val="00376281"/>
    <w:rsid w:val="00385059"/>
    <w:rsid w:val="003A6281"/>
    <w:rsid w:val="003B5FB6"/>
    <w:rsid w:val="003C100B"/>
    <w:rsid w:val="003C4B69"/>
    <w:rsid w:val="003D682D"/>
    <w:rsid w:val="003D6FBD"/>
    <w:rsid w:val="003E129F"/>
    <w:rsid w:val="003E3726"/>
    <w:rsid w:val="003E430F"/>
    <w:rsid w:val="003E4B32"/>
    <w:rsid w:val="003E6BE3"/>
    <w:rsid w:val="003E7F33"/>
    <w:rsid w:val="003F5E35"/>
    <w:rsid w:val="003F6009"/>
    <w:rsid w:val="0040685E"/>
    <w:rsid w:val="004069DC"/>
    <w:rsid w:val="004126C2"/>
    <w:rsid w:val="0041486C"/>
    <w:rsid w:val="004342F0"/>
    <w:rsid w:val="004421A1"/>
    <w:rsid w:val="00442F89"/>
    <w:rsid w:val="00447407"/>
    <w:rsid w:val="00450C4E"/>
    <w:rsid w:val="004521B6"/>
    <w:rsid w:val="004534F9"/>
    <w:rsid w:val="00461C0B"/>
    <w:rsid w:val="0047538B"/>
    <w:rsid w:val="004779A9"/>
    <w:rsid w:val="00482C4D"/>
    <w:rsid w:val="00487640"/>
    <w:rsid w:val="004924DF"/>
    <w:rsid w:val="0049387B"/>
    <w:rsid w:val="00497760"/>
    <w:rsid w:val="004A0B52"/>
    <w:rsid w:val="004A1C9E"/>
    <w:rsid w:val="004A3FA9"/>
    <w:rsid w:val="004B37D7"/>
    <w:rsid w:val="004B4299"/>
    <w:rsid w:val="004B42BD"/>
    <w:rsid w:val="004C2897"/>
    <w:rsid w:val="004D6BD1"/>
    <w:rsid w:val="004E0BC9"/>
    <w:rsid w:val="004E1582"/>
    <w:rsid w:val="004E64F1"/>
    <w:rsid w:val="004F4702"/>
    <w:rsid w:val="00504C4D"/>
    <w:rsid w:val="0051235A"/>
    <w:rsid w:val="005133A1"/>
    <w:rsid w:val="005152CD"/>
    <w:rsid w:val="00525879"/>
    <w:rsid w:val="0053113B"/>
    <w:rsid w:val="005321E6"/>
    <w:rsid w:val="00533F08"/>
    <w:rsid w:val="00535718"/>
    <w:rsid w:val="00536029"/>
    <w:rsid w:val="00541955"/>
    <w:rsid w:val="00541E45"/>
    <w:rsid w:val="00550580"/>
    <w:rsid w:val="005519D6"/>
    <w:rsid w:val="00551E55"/>
    <w:rsid w:val="005553BC"/>
    <w:rsid w:val="00555CED"/>
    <w:rsid w:val="005637F5"/>
    <w:rsid w:val="00563C6E"/>
    <w:rsid w:val="0057095C"/>
    <w:rsid w:val="005718D4"/>
    <w:rsid w:val="00576BC8"/>
    <w:rsid w:val="00582F3F"/>
    <w:rsid w:val="005845AA"/>
    <w:rsid w:val="00590010"/>
    <w:rsid w:val="005A225C"/>
    <w:rsid w:val="005A2657"/>
    <w:rsid w:val="005A308B"/>
    <w:rsid w:val="005A73F0"/>
    <w:rsid w:val="005B0F2F"/>
    <w:rsid w:val="005B7021"/>
    <w:rsid w:val="005C30E2"/>
    <w:rsid w:val="005C7A87"/>
    <w:rsid w:val="005D3FE5"/>
    <w:rsid w:val="005D6B71"/>
    <w:rsid w:val="005E237B"/>
    <w:rsid w:val="005E32A1"/>
    <w:rsid w:val="005E4262"/>
    <w:rsid w:val="005E46CC"/>
    <w:rsid w:val="005E5053"/>
    <w:rsid w:val="005E5E7F"/>
    <w:rsid w:val="005E7306"/>
    <w:rsid w:val="005F1067"/>
    <w:rsid w:val="005F5D6C"/>
    <w:rsid w:val="005F757C"/>
    <w:rsid w:val="00607055"/>
    <w:rsid w:val="0061781D"/>
    <w:rsid w:val="00624C64"/>
    <w:rsid w:val="00627271"/>
    <w:rsid w:val="006351E9"/>
    <w:rsid w:val="006374B8"/>
    <w:rsid w:val="00645026"/>
    <w:rsid w:val="00655CCF"/>
    <w:rsid w:val="00656C48"/>
    <w:rsid w:val="00657D10"/>
    <w:rsid w:val="00657D8F"/>
    <w:rsid w:val="00670D56"/>
    <w:rsid w:val="00674449"/>
    <w:rsid w:val="0069690D"/>
    <w:rsid w:val="00696C63"/>
    <w:rsid w:val="00697FD1"/>
    <w:rsid w:val="006A07F1"/>
    <w:rsid w:val="006A28EC"/>
    <w:rsid w:val="006A3413"/>
    <w:rsid w:val="006A609D"/>
    <w:rsid w:val="006A7CCB"/>
    <w:rsid w:val="006B2AFF"/>
    <w:rsid w:val="006B3127"/>
    <w:rsid w:val="006C6217"/>
    <w:rsid w:val="006D0676"/>
    <w:rsid w:val="006D3C10"/>
    <w:rsid w:val="006D594D"/>
    <w:rsid w:val="006E67F8"/>
    <w:rsid w:val="006E7230"/>
    <w:rsid w:val="006E7EE5"/>
    <w:rsid w:val="006F0728"/>
    <w:rsid w:val="006F2AED"/>
    <w:rsid w:val="006F6D80"/>
    <w:rsid w:val="00702EF8"/>
    <w:rsid w:val="0071198B"/>
    <w:rsid w:val="007120A7"/>
    <w:rsid w:val="0071546A"/>
    <w:rsid w:val="00717F77"/>
    <w:rsid w:val="00723C0C"/>
    <w:rsid w:val="007330AF"/>
    <w:rsid w:val="00735E1E"/>
    <w:rsid w:val="00736B43"/>
    <w:rsid w:val="00747384"/>
    <w:rsid w:val="0077102D"/>
    <w:rsid w:val="00771FAA"/>
    <w:rsid w:val="00775405"/>
    <w:rsid w:val="00775616"/>
    <w:rsid w:val="0077705F"/>
    <w:rsid w:val="00791B03"/>
    <w:rsid w:val="007A2289"/>
    <w:rsid w:val="007A7595"/>
    <w:rsid w:val="007A763C"/>
    <w:rsid w:val="007A7931"/>
    <w:rsid w:val="007B0E55"/>
    <w:rsid w:val="007B2099"/>
    <w:rsid w:val="007B72F9"/>
    <w:rsid w:val="007B7EBC"/>
    <w:rsid w:val="007C719F"/>
    <w:rsid w:val="007D28CF"/>
    <w:rsid w:val="007D7489"/>
    <w:rsid w:val="007D7A52"/>
    <w:rsid w:val="007E2D63"/>
    <w:rsid w:val="007F18A8"/>
    <w:rsid w:val="007F3502"/>
    <w:rsid w:val="007F59D8"/>
    <w:rsid w:val="007F5EC2"/>
    <w:rsid w:val="0081140F"/>
    <w:rsid w:val="00817F56"/>
    <w:rsid w:val="00820EB0"/>
    <w:rsid w:val="008215AD"/>
    <w:rsid w:val="008229C0"/>
    <w:rsid w:val="00830DB5"/>
    <w:rsid w:val="0083687E"/>
    <w:rsid w:val="008408EE"/>
    <w:rsid w:val="00842DF8"/>
    <w:rsid w:val="008452E7"/>
    <w:rsid w:val="00854760"/>
    <w:rsid w:val="00861B21"/>
    <w:rsid w:val="008658AC"/>
    <w:rsid w:val="00865E92"/>
    <w:rsid w:val="00872919"/>
    <w:rsid w:val="00875394"/>
    <w:rsid w:val="0087783E"/>
    <w:rsid w:val="00882DF4"/>
    <w:rsid w:val="008830F9"/>
    <w:rsid w:val="008855D5"/>
    <w:rsid w:val="008968C2"/>
    <w:rsid w:val="008A29C0"/>
    <w:rsid w:val="008A7A70"/>
    <w:rsid w:val="008B15F8"/>
    <w:rsid w:val="008B33F9"/>
    <w:rsid w:val="008B44ED"/>
    <w:rsid w:val="008C2D28"/>
    <w:rsid w:val="008C3662"/>
    <w:rsid w:val="008C398F"/>
    <w:rsid w:val="008C3A7F"/>
    <w:rsid w:val="008D1041"/>
    <w:rsid w:val="008D1D93"/>
    <w:rsid w:val="008D3DE2"/>
    <w:rsid w:val="008D411C"/>
    <w:rsid w:val="008D7AFC"/>
    <w:rsid w:val="008E3B05"/>
    <w:rsid w:val="008E52D4"/>
    <w:rsid w:val="008E7A37"/>
    <w:rsid w:val="00910CF2"/>
    <w:rsid w:val="0091282A"/>
    <w:rsid w:val="00917FE7"/>
    <w:rsid w:val="0092522E"/>
    <w:rsid w:val="00927FF9"/>
    <w:rsid w:val="00931A3E"/>
    <w:rsid w:val="00931F34"/>
    <w:rsid w:val="00933C74"/>
    <w:rsid w:val="009374C5"/>
    <w:rsid w:val="00950081"/>
    <w:rsid w:val="00955E37"/>
    <w:rsid w:val="00960B44"/>
    <w:rsid w:val="0096524F"/>
    <w:rsid w:val="0096725C"/>
    <w:rsid w:val="00972117"/>
    <w:rsid w:val="00986806"/>
    <w:rsid w:val="00987919"/>
    <w:rsid w:val="009954CF"/>
    <w:rsid w:val="009A279D"/>
    <w:rsid w:val="009A6526"/>
    <w:rsid w:val="009B65D7"/>
    <w:rsid w:val="009C21C4"/>
    <w:rsid w:val="009C7202"/>
    <w:rsid w:val="009D0D92"/>
    <w:rsid w:val="009D426D"/>
    <w:rsid w:val="009D5EB9"/>
    <w:rsid w:val="009D726C"/>
    <w:rsid w:val="009E7F4C"/>
    <w:rsid w:val="009F450F"/>
    <w:rsid w:val="009F4E10"/>
    <w:rsid w:val="00A02F0F"/>
    <w:rsid w:val="00A12BFE"/>
    <w:rsid w:val="00A335E2"/>
    <w:rsid w:val="00A34805"/>
    <w:rsid w:val="00A40164"/>
    <w:rsid w:val="00A456D4"/>
    <w:rsid w:val="00A5013B"/>
    <w:rsid w:val="00A71537"/>
    <w:rsid w:val="00A7388A"/>
    <w:rsid w:val="00A73BF1"/>
    <w:rsid w:val="00A90824"/>
    <w:rsid w:val="00A9732A"/>
    <w:rsid w:val="00AA098C"/>
    <w:rsid w:val="00AA56C2"/>
    <w:rsid w:val="00AA7EEE"/>
    <w:rsid w:val="00AB0185"/>
    <w:rsid w:val="00AB483F"/>
    <w:rsid w:val="00AB496F"/>
    <w:rsid w:val="00AB4A52"/>
    <w:rsid w:val="00AB5D44"/>
    <w:rsid w:val="00AB6C3E"/>
    <w:rsid w:val="00AC63CF"/>
    <w:rsid w:val="00AD2215"/>
    <w:rsid w:val="00AD62EB"/>
    <w:rsid w:val="00AE517F"/>
    <w:rsid w:val="00AE56F0"/>
    <w:rsid w:val="00AF19D8"/>
    <w:rsid w:val="00B13021"/>
    <w:rsid w:val="00B17C81"/>
    <w:rsid w:val="00B20362"/>
    <w:rsid w:val="00B20687"/>
    <w:rsid w:val="00B22E9F"/>
    <w:rsid w:val="00B240F2"/>
    <w:rsid w:val="00B25A97"/>
    <w:rsid w:val="00B31649"/>
    <w:rsid w:val="00B355F7"/>
    <w:rsid w:val="00B416D3"/>
    <w:rsid w:val="00B479E2"/>
    <w:rsid w:val="00B62EDE"/>
    <w:rsid w:val="00B66541"/>
    <w:rsid w:val="00B834B8"/>
    <w:rsid w:val="00B83E88"/>
    <w:rsid w:val="00B8479B"/>
    <w:rsid w:val="00BB425C"/>
    <w:rsid w:val="00BC09E1"/>
    <w:rsid w:val="00BC0E66"/>
    <w:rsid w:val="00BC50B9"/>
    <w:rsid w:val="00BD4272"/>
    <w:rsid w:val="00BD5454"/>
    <w:rsid w:val="00BD5644"/>
    <w:rsid w:val="00BD707B"/>
    <w:rsid w:val="00BD7214"/>
    <w:rsid w:val="00BE03A4"/>
    <w:rsid w:val="00BE0D75"/>
    <w:rsid w:val="00BE5F37"/>
    <w:rsid w:val="00C04411"/>
    <w:rsid w:val="00C13C8A"/>
    <w:rsid w:val="00C23A40"/>
    <w:rsid w:val="00C263AA"/>
    <w:rsid w:val="00C27653"/>
    <w:rsid w:val="00C305FE"/>
    <w:rsid w:val="00C50D1F"/>
    <w:rsid w:val="00C52A3A"/>
    <w:rsid w:val="00C61273"/>
    <w:rsid w:val="00C61614"/>
    <w:rsid w:val="00C64A4B"/>
    <w:rsid w:val="00C65AAB"/>
    <w:rsid w:val="00C67135"/>
    <w:rsid w:val="00C701D1"/>
    <w:rsid w:val="00C75CE1"/>
    <w:rsid w:val="00C94E56"/>
    <w:rsid w:val="00C95590"/>
    <w:rsid w:val="00CA1254"/>
    <w:rsid w:val="00CA3403"/>
    <w:rsid w:val="00CA71E2"/>
    <w:rsid w:val="00CB635B"/>
    <w:rsid w:val="00CC07C1"/>
    <w:rsid w:val="00CC21B1"/>
    <w:rsid w:val="00CC790D"/>
    <w:rsid w:val="00CD4095"/>
    <w:rsid w:val="00CD45E2"/>
    <w:rsid w:val="00CD76B1"/>
    <w:rsid w:val="00CE1F19"/>
    <w:rsid w:val="00CE4070"/>
    <w:rsid w:val="00CE4C1F"/>
    <w:rsid w:val="00CE6E25"/>
    <w:rsid w:val="00CF1B70"/>
    <w:rsid w:val="00CF4C43"/>
    <w:rsid w:val="00D03385"/>
    <w:rsid w:val="00D059F9"/>
    <w:rsid w:val="00D14C88"/>
    <w:rsid w:val="00D21A5C"/>
    <w:rsid w:val="00D33A80"/>
    <w:rsid w:val="00D35BE0"/>
    <w:rsid w:val="00D36B5F"/>
    <w:rsid w:val="00D424FE"/>
    <w:rsid w:val="00D43869"/>
    <w:rsid w:val="00D45D9E"/>
    <w:rsid w:val="00D46EEF"/>
    <w:rsid w:val="00D551D9"/>
    <w:rsid w:val="00D6014C"/>
    <w:rsid w:val="00D63A9E"/>
    <w:rsid w:val="00D64203"/>
    <w:rsid w:val="00D66688"/>
    <w:rsid w:val="00D67121"/>
    <w:rsid w:val="00D71148"/>
    <w:rsid w:val="00D90A7C"/>
    <w:rsid w:val="00D941A0"/>
    <w:rsid w:val="00DA30DD"/>
    <w:rsid w:val="00DB4940"/>
    <w:rsid w:val="00DB5B32"/>
    <w:rsid w:val="00DC2ABF"/>
    <w:rsid w:val="00DD6746"/>
    <w:rsid w:val="00DD77DA"/>
    <w:rsid w:val="00DE1713"/>
    <w:rsid w:val="00DF6F9E"/>
    <w:rsid w:val="00E00681"/>
    <w:rsid w:val="00E007BC"/>
    <w:rsid w:val="00E02B31"/>
    <w:rsid w:val="00E17475"/>
    <w:rsid w:val="00E20485"/>
    <w:rsid w:val="00E22AF4"/>
    <w:rsid w:val="00E24E42"/>
    <w:rsid w:val="00E2614B"/>
    <w:rsid w:val="00E27513"/>
    <w:rsid w:val="00E3519E"/>
    <w:rsid w:val="00E41B49"/>
    <w:rsid w:val="00E45D12"/>
    <w:rsid w:val="00E46147"/>
    <w:rsid w:val="00E52B27"/>
    <w:rsid w:val="00E62AD1"/>
    <w:rsid w:val="00E67D19"/>
    <w:rsid w:val="00E73376"/>
    <w:rsid w:val="00E76933"/>
    <w:rsid w:val="00E80D35"/>
    <w:rsid w:val="00E812F9"/>
    <w:rsid w:val="00E855BE"/>
    <w:rsid w:val="00E85B80"/>
    <w:rsid w:val="00E9020F"/>
    <w:rsid w:val="00E91BFF"/>
    <w:rsid w:val="00E9709C"/>
    <w:rsid w:val="00EA0BEF"/>
    <w:rsid w:val="00EA1532"/>
    <w:rsid w:val="00EA212A"/>
    <w:rsid w:val="00EB2FAD"/>
    <w:rsid w:val="00EB52AF"/>
    <w:rsid w:val="00EB74BA"/>
    <w:rsid w:val="00EC5BEE"/>
    <w:rsid w:val="00ED39F9"/>
    <w:rsid w:val="00ED547F"/>
    <w:rsid w:val="00ED7A12"/>
    <w:rsid w:val="00EE154C"/>
    <w:rsid w:val="00EE1C9D"/>
    <w:rsid w:val="00EE3CF0"/>
    <w:rsid w:val="00EE4A89"/>
    <w:rsid w:val="00EF6D98"/>
    <w:rsid w:val="00F00637"/>
    <w:rsid w:val="00F01EE9"/>
    <w:rsid w:val="00F04925"/>
    <w:rsid w:val="00F1179E"/>
    <w:rsid w:val="00F22462"/>
    <w:rsid w:val="00F24332"/>
    <w:rsid w:val="00F36008"/>
    <w:rsid w:val="00F41A73"/>
    <w:rsid w:val="00F4614C"/>
    <w:rsid w:val="00F4710C"/>
    <w:rsid w:val="00F56A0B"/>
    <w:rsid w:val="00F62802"/>
    <w:rsid w:val="00F65379"/>
    <w:rsid w:val="00F73AB9"/>
    <w:rsid w:val="00F90BC6"/>
    <w:rsid w:val="00F96934"/>
    <w:rsid w:val="00FA0D42"/>
    <w:rsid w:val="00FA72CB"/>
    <w:rsid w:val="00FB1585"/>
    <w:rsid w:val="00FC14C0"/>
    <w:rsid w:val="00FC24AB"/>
    <w:rsid w:val="00FC4D6E"/>
    <w:rsid w:val="00FC5E1E"/>
    <w:rsid w:val="00FD1754"/>
    <w:rsid w:val="00FD2375"/>
    <w:rsid w:val="00FD51D4"/>
    <w:rsid w:val="00FD768A"/>
    <w:rsid w:val="00FE1BF6"/>
    <w:rsid w:val="00FE7F6E"/>
    <w:rsid w:val="00FF2676"/>
    <w:rsid w:val="00FF3B8C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CDAA"/>
  <w15:chartTrackingRefBased/>
  <w15:docId w15:val="{3B96BCC7-BBF3-4447-BC4E-ED18A75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5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a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7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5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524F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C65AAB"/>
    <w:rPr>
      <w:rFonts w:ascii="Times New Roman" w:eastAsia="Times New Roman" w:hAnsi="Times New Roman" w:cs="Times New Roman"/>
      <w:b/>
      <w:bCs/>
      <w:kern w:val="0"/>
      <w:sz w:val="36"/>
      <w:szCs w:val="36"/>
      <w:lang w:eastAsia="ca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  <w:style w:type="character" w:styleId="Textoennegrita">
    <w:name w:val="Strong"/>
    <w:basedOn w:val="Fuentedeprrafopredeter"/>
    <w:uiPriority w:val="22"/>
    <w:qFormat/>
    <w:rsid w:val="00C65AA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5AA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5D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venshtein_di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t.wikipedia.org/wiki/Distancia_de_Levenshte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Salicru Pages</dc:creator>
  <cp:keywords/>
  <dc:description/>
  <cp:lastModifiedBy>Miquel s</cp:lastModifiedBy>
  <cp:revision>15</cp:revision>
  <dcterms:created xsi:type="dcterms:W3CDTF">2024-11-27T16:01:00Z</dcterms:created>
  <dcterms:modified xsi:type="dcterms:W3CDTF">2024-11-27T16:14:00Z</dcterms:modified>
</cp:coreProperties>
</file>