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Дисциплина: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Математическая статистика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Интервальные оценки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Саркисян П.С.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4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Постановка задачи</w:t>
      </w:r>
    </w:p>
    <w:p>
      <w:pPr>
        <w:pStyle w:val="Style14"/>
        <w:rPr/>
      </w:pPr>
      <w:r>
        <w:rPr>
          <w:b/>
          <w:bCs/>
        </w:rPr>
        <w:t>Цель работы:</w:t>
      </w:r>
      <w:r>
        <w:rPr/>
        <w:t xml:space="preserve"> построение доверительных интервалов для математического ожидания и дисперсии нормальной случайной величины.</w:t>
      </w:r>
    </w:p>
    <w:p>
      <w:pPr>
        <w:pStyle w:val="Style14"/>
        <w:rPr/>
      </w:pPr>
      <w:r>
        <w:rPr>
          <w:b/>
          <w:bCs/>
        </w:rPr>
        <w:t xml:space="preserve">Содержание работы </w:t>
      </w:r>
    </w:p>
    <w:p>
      <w:pPr>
        <w:pStyle w:val="Style14"/>
        <w:numPr>
          <w:ilvl w:val="0"/>
          <w:numId w:val="3"/>
        </w:numPr>
        <w:rPr/>
      </w:pPr>
      <w:r>
        <w:rPr/>
        <w:t>Для выборки объема n из нормальной генеральной совокупности X реализовать в виде программы на ЭВМ</w:t>
      </w:r>
    </w:p>
    <w:p>
      <w:pPr>
        <w:pStyle w:val="Style14"/>
        <w:numPr>
          <w:ilvl w:val="1"/>
          <w:numId w:val="3"/>
        </w:numPr>
        <w:rPr/>
      </w:pPr>
      <w:r>
        <w:rPr/>
        <w:t xml:space="preserve">вычисление точечных оценок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математического ожидания MX и дисперсииDXсоответственно;</w:t>
      </w:r>
    </w:p>
    <w:p>
      <w:pPr>
        <w:pStyle w:val="Style14"/>
        <w:numPr>
          <w:ilvl w:val="1"/>
          <w:numId w:val="3"/>
        </w:numPr>
        <w:rPr/>
      </w:pPr>
      <w:r>
        <w:rPr/>
        <w:t xml:space="preserve">вычисление нижней и верхней границ 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для γ-доверительного интервала для математического ожидания MX;</w:t>
      </w:r>
    </w:p>
    <w:p>
      <w:pPr>
        <w:pStyle w:val="Style14"/>
        <w:numPr>
          <w:ilvl w:val="1"/>
          <w:numId w:val="3"/>
        </w:numPr>
        <w:rPr/>
      </w:pPr>
      <w:r>
        <w:rPr/>
        <w:t xml:space="preserve">вычисление нижней и верхней границ </w:t>
      </w: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для γ-доверительного интервала для дисперсии DX;</w:t>
      </w:r>
    </w:p>
    <w:p>
      <w:pPr>
        <w:pStyle w:val="Style14"/>
        <w:numPr>
          <w:ilvl w:val="0"/>
          <w:numId w:val="3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</m:oMath>
      <w:r>
        <w:rPr/>
        <w:t xml:space="preserve"> и 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/>
        <w:t xml:space="preserve"> для выборки из индивидуального варианта;</w:t>
      </w:r>
    </w:p>
    <w:p>
      <w:pPr>
        <w:pStyle w:val="Style14"/>
        <w:numPr>
          <w:ilvl w:val="0"/>
          <w:numId w:val="3"/>
        </w:numPr>
        <w:rPr/>
      </w:pPr>
      <w:r>
        <w:rPr/>
        <w:t>для заданного пользователем уровня доверия γ и N–объема выборки из индивидуального варианта:</w:t>
      </w:r>
    </w:p>
    <w:p>
      <w:pPr>
        <w:pStyle w:val="Style14"/>
        <w:numPr>
          <w:ilvl w:val="1"/>
          <w:numId w:val="3"/>
        </w:numPr>
        <w:rPr/>
      </w:pPr>
      <w:r>
        <w:rPr/>
        <w:t xml:space="preserve">на координатной плоскости Oyn построить прямую y=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также графики функций y=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y=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y=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как функций объема n выборки, где n изменяется от 1 до N;</w:t>
      </w:r>
    </w:p>
    <w:p>
      <w:pPr>
        <w:pStyle w:val="Style14"/>
        <w:numPr>
          <w:ilvl w:val="1"/>
          <w:numId w:val="3"/>
        </w:numPr>
        <w:rPr/>
      </w:pPr>
      <w:bookmarkStart w:id="1" w:name="__DdeLink__2211_1377428612"/>
      <w:r>
        <w:rPr/>
        <w:t xml:space="preserve">на другой координатной плоскости Ozn построить прямую </w:t>
      </w:r>
      <w:bookmarkStart w:id="2" w:name="__DdeLink__551_1376539558"/>
      <w:r>
        <w:rPr/>
        <w:t>z=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также графики функций z=</w:t>
      </w: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z=</w:t>
      </w: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z=</w:t>
      </w:r>
      <w:r>
        <w:rPr/>
      </w:r>
      <m:oMath xmlns:m="http://schemas.openxmlformats.org/officeDocument/2006/math">
        <m:bar>
          <m:barPr>
            <m:pos m:val="top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как функций объема n выборки, где n изменяется от 1 до N.</w:t>
      </w:r>
      <w:bookmarkEnd w:id="1"/>
    </w:p>
    <w:p>
      <w:pPr>
        <w:pStyle w:val="Style14"/>
        <w:numPr>
          <w:ilvl w:val="0"/>
          <w:numId w:val="0"/>
        </w:numPr>
        <w:ind w:left="720" w:hanging="0"/>
        <w:rPr/>
      </w:pPr>
      <w:r>
        <w:rPr/>
      </w:r>
      <w:bookmarkEnd w:id="2"/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Аналитическая часть</w:t>
      </w:r>
    </w:p>
    <w:p>
      <w:pPr>
        <w:pStyle w:val="2"/>
        <w:numPr>
          <w:ilvl w:val="1"/>
          <w:numId w:val="2"/>
        </w:numPr>
        <w:rPr/>
      </w:pPr>
      <w:r>
        <w:rPr/>
        <w:t xml:space="preserve">Определение </w:t>
      </w:r>
      <w:r>
        <w:rPr>
          <w:rFonts w:eastAsia="Noto Sans CJK SC" w:cs="Lohit Devanagari"/>
        </w:rPr>
        <w:t>γ</w:t>
      </w:r>
      <w:r>
        <w:rPr/>
        <w:t>-доверительного интервала для значения параметра распределения случайной величины;</w:t>
      </w:r>
    </w:p>
    <w:p>
      <w:pPr>
        <w:pStyle w:val="Style14"/>
        <w:rPr/>
      </w:pPr>
      <w:r>
        <w:rPr/>
      </w:r>
    </w:p>
    <w:p>
      <w:pPr>
        <w:pStyle w:val="Style14"/>
        <w:ind w:left="0" w:right="0" w:firstLine="567"/>
        <w:rPr/>
      </w:pPr>
      <w:r>
        <w:rPr/>
        <w:t xml:space="preserve">Пусть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/>
        <w:t xml:space="preserve">– случайная выборка объёма </w:t>
      </w:r>
      <w:r>
        <w:rPr>
          <w:lang w:val="en-US"/>
        </w:rPr>
        <w:t>n</w:t>
      </w:r>
      <w:r>
        <w:rPr/>
        <w:t xml:space="preserve"> из генеральной совокупности </w:t>
      </w:r>
      <w:r>
        <w:rPr>
          <w:lang w:val="en-US"/>
        </w:rPr>
        <w:t>X</w:t>
      </w:r>
      <w:r>
        <w:rPr/>
        <w:t xml:space="preserve"> с функцией распределения </w:t>
      </w:r>
      <w:r>
        <w:rPr>
          <w:lang w:val="en-US"/>
        </w:rPr>
        <w:t>F</w:t>
      </w:r>
      <w:r>
        <w:rPr/>
        <w:t>(</w:t>
      </w:r>
      <w:r>
        <w:rPr>
          <w:lang w:val="en-US"/>
        </w:rPr>
        <w:t>x</w:t>
      </w:r>
      <w:r>
        <w:rPr/>
        <w:t>;θ), зависящей от параметра θ, значение которого неизвестно.</w:t>
      </w:r>
    </w:p>
    <w:p>
      <w:pPr>
        <w:pStyle w:val="Style14"/>
        <w:ind w:left="0" w:right="0" w:firstLine="567"/>
        <w:rPr/>
      </w:pPr>
      <w:r>
        <w:rPr/>
        <w:t xml:space="preserve"> </w:t>
      </w:r>
      <w:r>
        <w:rPr/>
        <w:t>Предположим, что для параметра θ в построенном интервале (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), где 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являются функциями случайной выборки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en-US"/>
        </w:rPr>
        <w:t>n</w:t>
      </w:r>
      <w:r>
        <w:rPr/>
        <w:t xml:space="preserve"> такими, что выполняется равенство:</w:t>
      </w:r>
    </w:p>
    <w:p>
      <w:pPr>
        <w:pStyle w:val="Style14"/>
        <w:ind w:left="0" w:right="0" w:firstLine="567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{"/>
            <m:endChr m:val="}"/>
          </m:dPr>
          <m:e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bar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&lt;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bar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</m:oMath>
    </w:p>
    <w:p>
      <w:pPr>
        <w:pStyle w:val="Style14"/>
        <w:ind w:left="0" w:right="0" w:firstLine="567"/>
        <w:rPr/>
      </w:pPr>
      <w:r>
        <w:rPr/>
        <w:t>В этом случае интервал (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) называют интервальной оценкой для параметра θ с коэффициентом доверия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 (сокращенно,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-доверительной интервальной оценкой), а 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соответственно нижней и верхней границами интервальной оценки. Интервальная оценка (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) представляет собой интервал со случайными границами, который с заданной вероятностью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 накрывает неизвестное истинное значение параметра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>.</w:t>
      </w:r>
    </w:p>
    <w:p>
      <w:pPr>
        <w:pStyle w:val="Style14"/>
        <w:ind w:left="0" w:right="0" w:firstLine="567"/>
        <w:rPr/>
      </w:pPr>
      <w:r>
        <w:rPr/>
        <w:t>Интервал (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) называют доверительным интервалом для параметра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 с коэффициентом доверия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-доверительным интервалом, где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/>
        <w:t xml:space="preserve"> – любая реализация случайной выборки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</m:oMath>
      <w:r>
        <w:rPr/>
        <w:t>.</w:t>
      </w:r>
    </w:p>
    <w:p>
      <w:pPr>
        <w:pStyle w:val="2"/>
        <w:numPr>
          <w:ilvl w:val="1"/>
          <w:numId w:val="2"/>
        </w:numPr>
        <w:rPr/>
      </w:pPr>
      <w:r>
        <w:rPr/>
        <w:t>Формулы для вычисления границ γ-доверительного интервала для математического ожидания и дисперсии нормальной случайной величины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Пусть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  <w:lang w:val="en-US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– случайная выборка объёма 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из генеральной совокупности 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X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распределенной по нормальному закону с параметрами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Оценка для математического ожидания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при известном </w:t>
      </w:r>
      <w:r>
        <w:rPr>
          <w:rFonts w:eastAsia="" w:cs="Times New Roman" w:ascii="Ubuntu" w:hAnsi="Ubuntu" w:eastAsiaTheme="minorEastAsia"/>
          <w:b/>
          <w:bCs/>
          <w:sz w:val="24"/>
          <w:szCs w:val="24"/>
        </w:rPr>
        <w:t>σ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: 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σ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,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σ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,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при неизвестном </w:t>
      </w:r>
      <w:r>
        <w:rPr>
          <w:rFonts w:eastAsia="" w:cs="Times New Roman" w:ascii="Ubuntu" w:hAnsi="Ubuntu" w:eastAsiaTheme="minorEastAsia"/>
          <w:b/>
          <w:bCs/>
          <w:sz w:val="24"/>
          <w:szCs w:val="24"/>
        </w:rPr>
        <w:t>σ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,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,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где: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оценка мат. ожидания,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n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число опытов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,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sSub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точечная оценка дисперсии случайной выборки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,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-  квантиль уровня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для нормального распределения N(0,1),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квантиль уровня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для распределения Стьюдента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степенями свободы,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γ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.</w:t>
      </w:r>
    </w:p>
    <w:p>
      <w:pPr>
        <w:pStyle w:val="ListParagraph"/>
        <w:jc w:val="left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Оценка для дисперсии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ind w:hanging="0"/>
        <w:jc w:val="center"/>
        <w:rPr/>
      </w:pPr>
      <w:r>
        <w:rPr/>
      </w:r>
      <m:oMath xmlns:m="http://schemas.openxmlformats.org/officeDocument/2006/math">
        <m:bar>
          <m:barPr>
            <m:pos m:val="top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где: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n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выборка,</w:t>
      </w:r>
    </w:p>
    <w:p>
      <w:pPr>
        <w:pStyle w:val="ListParagraph"/>
        <w:numPr>
          <w:ilvl w:val="0"/>
          <w:numId w:val="5"/>
        </w:numPr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–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квантиль уровня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для распределения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степенями свободы,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γ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 xml:space="preserve">Технологическая часть </w:t>
      </w:r>
    </w:p>
    <w:p>
      <w:pPr>
        <w:pStyle w:val="2"/>
        <w:numPr>
          <w:ilvl w:val="1"/>
          <w:numId w:val="2"/>
        </w:numPr>
        <w:rPr/>
      </w:pPr>
      <w:r>
        <w:rPr/>
        <w:t>Текст программы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Листинг 1. Текст программы lab2.m</w:t>
            </w:r>
          </w:p>
          <w:p>
            <w:pPr>
              <w:pStyle w:val="Style18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lab2()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X = [14.90, 14.40, 13.56, 15.55, 13.97, 16.33, 14.37, 13.46, 15.51, 14.69,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>13.41, 14.24, 15.65, 14.54, 13.55, 13.15, 14.32, 15.04, 13.27, 14.60,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13.83, 13.93, 14.11, 14.15, 15.48, 15.96, 14.46, 13.87, 13.67, 15.30,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13.95, 16.08, 18.25, 14.93, 15.37, 14.38, 15.56, 13.92, 14.23, 12.80,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13.16, 13.89, 14.24, 13.90, 12.82, 13.20, 13.89, 13.50, 13.44, 16.13,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14.68, 15.27, 13.35, 13.62, 16.16, 16.46, 13.83, 14.13, 15.68, 15.22,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12.59, 12.94, 13.09, 16.54, 14.61, 14.63, 14.17, 13.34, 16.74, 16.30,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13.74, 15.02, 14.96, 15.87, 16.03, 12.87, 14.32, 14.48, 14.57, 14.43,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12.61, 14.52, 15.29, 12.07, 14.58, 11.74, 14.97, 14.31, 12.94, 12.82,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14.13, 14.48, 12.25, 14.39, 15.08, 12.87, 14.25, 15.12, 15.35, 12.27,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14.43, 13.85, 13.16, 16.77, 14.47, 14.89, 14.95, 14.55, 12.80, 15.26, </w:t>
            </w:r>
            <w:r>
              <w:rPr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 xml:space="preserve">13.32, 14.92, 13.44, 13.48, 12.81, 15.01, 13.19, 14.68, 14.44, 14.89];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N = 1:length(X);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gamma = 0.9;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alpha = (1 - gamma)/2;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mu = expectation(X);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sSqr = variance(X);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'mu = %.2f\n'</w:t>
            </w:r>
            <w:r>
              <w:rPr>
                <w:color w:val="000000"/>
                <w:sz w:val="20"/>
                <w:szCs w:val="20"/>
              </w:rPr>
              <w:t xml:space="preserve">, mu);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'S^2 = %.2f\n\n'</w:t>
            </w:r>
            <w:r>
              <w:rPr>
                <w:color w:val="000000"/>
                <w:sz w:val="20"/>
                <w:szCs w:val="20"/>
              </w:rPr>
              <w:t>, sSqr);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muArray = expectationArray(X, N);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varArray = varianceArray(X, N);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figure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plot([N(1), N(end)], [mu, mu], </w:t>
            </w:r>
            <w:r>
              <w:rPr>
                <w:color w:val="A020F0"/>
                <w:sz w:val="20"/>
                <w:szCs w:val="20"/>
              </w:rPr>
              <w:t>'m'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hold </w:t>
            </w:r>
            <w:r>
              <w:rPr>
                <w:color w:val="A020F0"/>
                <w:sz w:val="20"/>
                <w:szCs w:val="20"/>
              </w:rPr>
              <w:t>on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muArray, </w:t>
            </w:r>
            <w:r>
              <w:rPr>
                <w:color w:val="A020F0"/>
                <w:sz w:val="20"/>
                <w:szCs w:val="20"/>
              </w:rPr>
              <w:t>'g'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Ml = muArray - sqrt(varArray./N).*tinv(1 - alpha, N - 1);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Ml, </w:t>
            </w:r>
            <w:r>
              <w:rPr>
                <w:color w:val="A020F0"/>
                <w:sz w:val="20"/>
                <w:szCs w:val="20"/>
              </w:rPr>
              <w:t>'b'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'mu_low = %.2f\n'</w:t>
            </w:r>
            <w:r>
              <w:rPr>
                <w:color w:val="000000"/>
                <w:sz w:val="20"/>
                <w:szCs w:val="20"/>
              </w:rPr>
              <w:t>, Ml(end));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Mh = muArray + sqrt(varArray./N).*tinv(1 - alpha, N - 1);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Mh, </w:t>
            </w:r>
            <w:r>
              <w:rPr>
                <w:color w:val="A020F0"/>
                <w:sz w:val="20"/>
                <w:szCs w:val="20"/>
              </w:rPr>
              <w:t>'r'</w:t>
            </w:r>
            <w:r>
              <w:rPr>
                <w:color w:val="000000"/>
                <w:sz w:val="20"/>
                <w:szCs w:val="20"/>
              </w:rPr>
              <w:t>), legend(</w:t>
            </w:r>
            <w:r>
              <w:rPr>
                <w:color w:val="A020F0"/>
                <w:sz w:val="20"/>
                <w:szCs w:val="20"/>
              </w:rPr>
              <w:t>'y=mu'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'y=mu_n'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'y=mu-low_n'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'y=mu-high_n'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grid </w:t>
            </w:r>
            <w:r>
              <w:rPr>
                <w:color w:val="A020F0"/>
                <w:sz w:val="20"/>
                <w:szCs w:val="20"/>
              </w:rPr>
              <w:t>on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hold </w:t>
            </w:r>
            <w:r>
              <w:rPr>
                <w:color w:val="A020F0"/>
                <w:sz w:val="20"/>
                <w:szCs w:val="20"/>
              </w:rPr>
              <w:t>off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'mu_high = %.2f\n'</w:t>
            </w:r>
            <w:r>
              <w:rPr>
                <w:color w:val="000000"/>
                <w:sz w:val="20"/>
                <w:szCs w:val="20"/>
              </w:rPr>
              <w:t>, Mh(end));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figure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plot([N(1), N(end)], [sSqr, sSqr], </w:t>
            </w:r>
            <w:r>
              <w:rPr>
                <w:color w:val="A020F0"/>
                <w:sz w:val="20"/>
                <w:szCs w:val="20"/>
              </w:rPr>
              <w:t>'m'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hold </w:t>
            </w:r>
            <w:r>
              <w:rPr>
                <w:color w:val="A020F0"/>
                <w:sz w:val="20"/>
                <w:szCs w:val="20"/>
              </w:rPr>
              <w:t>on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varArray, </w:t>
            </w:r>
            <w:r>
              <w:rPr>
                <w:color w:val="A020F0"/>
                <w:sz w:val="20"/>
                <w:szCs w:val="20"/>
              </w:rPr>
              <w:t>'g'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Sl = varArray.*(N - 1)./chi2inv(1 - alpha, N - 1);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Sl, </w:t>
            </w:r>
            <w:r>
              <w:rPr>
                <w:color w:val="A020F0"/>
                <w:sz w:val="20"/>
                <w:szCs w:val="20"/>
              </w:rPr>
              <w:t>'b'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Sh = varArray.*(N - 1)./chi2inv(alpha, N - 1);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plot(N, Sh, </w:t>
            </w:r>
            <w:r>
              <w:rPr>
                <w:color w:val="A020F0"/>
                <w:sz w:val="20"/>
                <w:szCs w:val="20"/>
              </w:rPr>
              <w:t>'r'</w:t>
            </w:r>
            <w:r>
              <w:rPr>
                <w:color w:val="000000"/>
                <w:sz w:val="20"/>
                <w:szCs w:val="20"/>
              </w:rPr>
              <w:t>), legend(</w:t>
            </w:r>
            <w:r>
              <w:rPr>
                <w:color w:val="A020F0"/>
                <w:sz w:val="20"/>
                <w:szCs w:val="20"/>
              </w:rPr>
              <w:t>'z=S^2'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'z=S^2_n'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'z=S^2-low_n'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A020F0"/>
                <w:sz w:val="20"/>
                <w:szCs w:val="20"/>
              </w:rPr>
              <w:t>'z=S^2-high_n'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grid </w:t>
            </w:r>
            <w:r>
              <w:rPr>
                <w:color w:val="A020F0"/>
                <w:sz w:val="20"/>
                <w:szCs w:val="20"/>
              </w:rPr>
              <w:t>on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hold </w:t>
            </w:r>
            <w:r>
              <w:rPr>
                <w:color w:val="A020F0"/>
                <w:sz w:val="20"/>
                <w:szCs w:val="20"/>
              </w:rPr>
              <w:t>off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'sigma^2_low = %.2f\n'</w:t>
            </w:r>
            <w:r>
              <w:rPr>
                <w:color w:val="000000"/>
                <w:sz w:val="20"/>
                <w:szCs w:val="20"/>
              </w:rPr>
              <w:t>, Sl(end));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fprintf(</w:t>
            </w:r>
            <w:r>
              <w:rPr>
                <w:color w:val="A020F0"/>
                <w:sz w:val="20"/>
                <w:szCs w:val="20"/>
              </w:rPr>
              <w:t>'sigma^2_high = %.2f\n'</w:t>
            </w:r>
            <w:r>
              <w:rPr>
                <w:color w:val="000000"/>
                <w:sz w:val="20"/>
                <w:szCs w:val="20"/>
              </w:rPr>
              <w:t>, Sh(end));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mu = expectation(X)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mu = mean(X);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sSqr = variance(X)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sSqr = var(X);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muArray = expectationArray(X, N)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muArray = zeros(1, length(N));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FF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i = 1:length(N)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muArray(i) = expectation(X(1:N(i)));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varArray = varianceArray(X, N)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varArray = zeros(1, length(N));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FF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i = 1:length(N)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varArray(i) = variance(X(1:N(i)));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FF"/>
                <w:sz w:val="20"/>
                <w:szCs w:val="20"/>
              </w:rPr>
              <w:t>end</w:t>
            </w:r>
          </w:p>
          <w:p>
            <w:pPr>
              <w:pStyle w:val="Normal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end</w:t>
            </w:r>
          </w:p>
        </w:tc>
      </w:tr>
    </w:tbl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 xml:space="preserve">Экспериментальная часть </w:t>
      </w:r>
    </w:p>
    <w:p>
      <w:pPr>
        <w:pStyle w:val="2"/>
        <w:numPr>
          <w:ilvl w:val="1"/>
          <w:numId w:val="2"/>
        </w:numPr>
        <w:rPr/>
      </w:pPr>
      <w:r>
        <w:rPr/>
        <w:t>Результаты расчетов и графики для выборки из индивидуального варианта</w:t>
      </w:r>
    </w:p>
    <w:p>
      <w:pPr>
        <w:pStyle w:val="Normal"/>
        <w:jc w:val="center"/>
        <w:rPr/>
      </w:pPr>
      <w:r>
        <w:rPr/>
      </w:r>
    </w:p>
    <w:tbl>
      <w:tblPr>
        <w:tblStyle w:val="a3"/>
        <w:tblW w:w="49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24"/>
        <w:gridCol w:w="2606"/>
      </w:tblGrid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</m:acc>
            </m:oMath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14.35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1.28</w:t>
            </w:r>
          </w:p>
        </w:tc>
      </w:tr>
      <w:tr>
        <w:trPr>
          <w:trHeight w:val="451" w:hRule="atLeast"/>
        </w:trPr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(</w:t>
            </w: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µ</m:t>
                  </m:r>
                </m:e>
              </m:bar>
            </m:oMath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µ</m:t>
                  </m:r>
                </m:e>
              </m:bar>
            </m:oMath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(14.18, 14.52)</w:t>
            </w:r>
          </w:p>
        </w:tc>
      </w:tr>
      <w:tr>
        <w:trPr>
          <w:trHeight w:val="414" w:hRule="atLeast"/>
        </w:trPr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(</w:t>
            </w: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bar>
            </m:oMath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bar>
            </m:oMath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(1.05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</w:rPr>
              <w:t>, 1.60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pStyle w:val="Style14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76375" cy="114427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Результат работы программы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Построение на координатной плоскости Oyn прямой y=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, также графиков функций y=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y=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y=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µ</m:t>
            </m:r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как функций объема n выборки, где n изменяется от 1 до N.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11395" cy="4230370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395" cy="42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Г</w:t>
            </w:r>
            <w:r>
              <w:rPr/>
              <w:t>рафик 1.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Построение на другой координатной плоскости Ozn прямой z=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также график</w:t>
      </w:r>
      <w:r>
        <w:rPr/>
        <w:t>ов</w:t>
      </w:r>
      <w:r>
        <w:rPr/>
        <w:t xml:space="preserve"> функций z=</w:t>
      </w: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>, z=</w:t>
      </w:r>
      <w:r>
        <w:rPr/>
      </w:r>
      <m:oMath xmlns:m="http://schemas.openxmlformats.org/officeDocument/2006/math">
        <m:bar>
          <m:barPr>
            <m:pos m:val="bot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и z=</w:t>
      </w:r>
      <w:r>
        <w:rPr/>
      </w:r>
      <m:oMath xmlns:m="http://schemas.openxmlformats.org/officeDocument/2006/math">
        <m:bar>
          <m:barPr>
            <m:pos m:val="top"/>
          </m:barPr>
          <m:e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ba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</m:e>
        </m:d>
      </m:oMath>
      <w:r>
        <w:rPr/>
        <w:t xml:space="preserve"> как функций объема n выборки, где n изменяется от 1 до N.</w:t>
      </w:r>
    </w:p>
    <w:p>
      <w:pPr>
        <w:pStyle w:val="Style14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49165" cy="4454525"/>
                  <wp:effectExtent l="0" t="0" r="0" b="0"/>
                  <wp:wrapTopAndBottom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165" cy="445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Г</w:t>
            </w:r>
            <w:r>
              <w:rPr/>
              <w:t xml:space="preserve">рафик 2. </w:t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/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8</Pages>
  <Words>863</Words>
  <Characters>5240</Characters>
  <CharactersWithSpaces>6317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2020-05-27T19:28:25Z</dcterms:created>
  <dc:creator/>
  <dc:description/>
  <dc:language>ru-RU</dc:language>
  <cp:lastModifiedBy/>
  <dcterms:modified xsi:type="dcterms:W3CDTF">2020-05-27T20:24:37Z</dcterms:modified>
  <cp:revision>3</cp:revision>
  <dc:subject/>
  <dc:title/>
</cp:coreProperties>
</file>