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4"/>
      </w:tblGrid>
      <w:tr>
        <w:trPr/>
        <w:tc>
          <w:tcPr>
            <w:tcW w:w="1386" w:type="dxa"/>
            <w:tcBorders/>
            <w:shd w:fill="auto" w:val="clear"/>
          </w:tcPr>
          <w:p>
            <w:pPr>
              <w:pStyle w:val="Normal"/>
              <w:bidi w:val="0"/>
              <w:snapToGrid w:val="fals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0250" cy="825500"/>
                  <wp:effectExtent l="0" t="0" r="0" b="0"/>
                  <wp:wrapTight wrapText="bothSides">
                    <wp:wrapPolygon edited="0">
                      <wp:start x="-635" y="0"/>
                      <wp:lineTo x="-635" y="20678"/>
                      <wp:lineTo x="21212" y="20678"/>
                      <wp:lineTo x="21212" y="0"/>
                      <wp:lineTo x="-635" y="0"/>
                    </wp:wrapPolygon>
                  </wp:wrapTigh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442" t="-391" r="-442" b="-391"/>
                          <a:stretch>
                            <a:fillRect/>
                          </a:stretch>
                        </pic:blipFill>
                        <pic:spPr bwMode="auto">
                          <a:xfrm>
                            <a:off x="0" y="0"/>
                            <a:ext cx="730250" cy="825500"/>
                          </a:xfrm>
                          <a:prstGeom prst="rect">
                            <a:avLst/>
                          </a:prstGeom>
                        </pic:spPr>
                      </pic:pic>
                    </a:graphicData>
                  </a:graphic>
                </wp:anchor>
              </w:drawing>
            </w:r>
          </w:p>
        </w:tc>
        <w:tc>
          <w:tcPr>
            <w:tcW w:w="7684" w:type="dxa"/>
            <w:tcBorders/>
            <w:shd w:fill="auto" w:val="clear"/>
          </w:tcPr>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bidi w:val="0"/>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bidi w:val="0"/>
        <w:spacing w:lineRule="auto" w:line="240" w:before="0" w:after="0"/>
        <w:jc w:val="left"/>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bidi w:val="0"/>
        <w:spacing w:lineRule="auto" w:line="240" w:before="0" w:after="0"/>
        <w:jc w:val="left"/>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left"/>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bidi w:val="0"/>
        <w:spacing w:lineRule="auto" w:line="240" w:before="0" w:after="0"/>
        <w:jc w:val="center"/>
        <w:rPr/>
      </w:pPr>
      <w:r>
        <w:rPr>
          <w:rFonts w:eastAsia="Calibri" w:cs="Times New Roman" w:ascii="Times New Roman" w:hAnsi="Times New Roman"/>
          <w:b/>
          <w:sz w:val="24"/>
          <w:szCs w:val="24"/>
        </w:rPr>
        <w:t>Рубежный контроль №2</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0" w:type="dxa"/>
        <w:jc w:val="left"/>
        <w:tblInd w:w="108" w:type="dxa"/>
        <w:tblBorders/>
        <w:tblCellMar>
          <w:top w:w="0" w:type="dxa"/>
          <w:left w:w="108" w:type="dxa"/>
          <w:bottom w:w="0" w:type="dxa"/>
          <w:right w:w="108" w:type="dxa"/>
        </w:tblCellMar>
      </w:tblPr>
      <w:tblGrid>
        <w:gridCol w:w="9178"/>
        <w:gridCol w:w="391"/>
      </w:tblGrid>
      <w:tr>
        <w:trPr>
          <w:trHeight w:val="4474" w:hRule="atLeast"/>
        </w:trPr>
        <w:tc>
          <w:tcPr>
            <w:tcW w:w="9178" w:type="dxa"/>
            <w:tcBorders/>
            <w:shd w:fill="auto" w:val="clear"/>
          </w:tcPr>
          <w:p>
            <w:pPr>
              <w:pStyle w:val="Normal"/>
              <w:bidi w:val="0"/>
              <w:snapToGrid w:val="false"/>
              <w:spacing w:lineRule="auto" w:line="240" w:before="0" w:after="0"/>
              <w:jc w:val="left"/>
              <w:rPr/>
            </w:pPr>
            <w:r>
              <w:rPr>
                <w:rFonts w:eastAsia="Calibri" w:cs="Times New Roman" w:ascii="Times New Roman" w:hAnsi="Times New Roman"/>
                <w:b/>
                <w:sz w:val="24"/>
                <w:szCs w:val="24"/>
              </w:rPr>
              <w:t xml:space="preserve">Дисциплина </w:t>
            </w:r>
            <w:r>
              <w:rPr>
                <w:rFonts w:eastAsia="Calibri" w:cs="Times New Roman" w:ascii="Times New Roman" w:hAnsi="Times New Roman"/>
                <w:b w:val="false"/>
                <w:bCs w:val="false"/>
                <w:sz w:val="24"/>
                <w:szCs w:val="24"/>
                <w:u w:val="single"/>
              </w:rPr>
              <w:t>Экономика Часть 1</w:t>
            </w:r>
          </w:p>
          <w:p>
            <w:pPr>
              <w:pStyle w:val="Normal"/>
              <w:bidi w:val="0"/>
              <w:snapToGrid w:val="false"/>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Style19"/>
              <w:rPr/>
            </w:pPr>
            <w:r>
              <w:rPr>
                <w:rFonts w:eastAsia="Calibri" w:cs="Times New Roman" w:ascii="Times New Roman" w:hAnsi="Times New Roman"/>
                <w:b/>
                <w:sz w:val="24"/>
                <w:szCs w:val="24"/>
              </w:rPr>
              <w:t xml:space="preserve">Тема  2.27 </w:t>
            </w:r>
            <w:r>
              <w:rPr>
                <w:sz w:val="24"/>
                <w:szCs w:val="24"/>
                <w:lang w:val="en-US"/>
              </w:rPr>
              <w:t>Виды и организационные формы территориальных образований для реализации проектов. Особые экономические зоны, наукограды, технопарки, бизнес-инкубаторы, центры трансфера технологий, коллективного пользования научным оборудованием</w:t>
            </w:r>
            <w:r>
              <w:rPr>
                <w:lang w:val="en-US"/>
              </w:rPr>
              <w:t>.</w:t>
            </w:r>
          </w:p>
          <w:p>
            <w:pPr>
              <w:pStyle w:val="Normal"/>
              <w:bidi w:val="0"/>
              <w:spacing w:lineRule="auto" w:line="240" w:before="0" w:after="0"/>
              <w:jc w:val="left"/>
              <w:rPr>
                <w:rFonts w:ascii="Times New Roman" w:hAnsi="Times New Roman" w:eastAsia="Calibri" w:cs="Times New Roman"/>
                <w:b w:val="false"/>
                <w:b w:val="false"/>
                <w:bCs w:val="false"/>
                <w:sz w:val="24"/>
                <w:szCs w:val="24"/>
                <w:u w:val="single"/>
                <w:lang w:val="en-US"/>
              </w:rPr>
            </w:pPr>
            <w:r>
              <w:rPr>
                <w:rFonts w:eastAsia="Calibri" w:cs="Times New Roman" w:ascii="Times New Roman" w:hAnsi="Times New Roman"/>
                <w:b w:val="false"/>
                <w:bCs w:val="false"/>
                <w:sz w:val="24"/>
                <w:szCs w:val="24"/>
                <w:u w:val="single"/>
                <w:lang w:val="en-US"/>
              </w:rPr>
            </w:r>
          </w:p>
          <w:p>
            <w:pPr>
              <w:pStyle w:val="Normal"/>
              <w:bidi w:val="0"/>
              <w:spacing w:lineRule="auto" w:line="240" w:before="0" w:after="0"/>
              <w:jc w:val="left"/>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ИУ7-71б</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bidi w:val="0"/>
              <w:spacing w:lineRule="auto" w:line="240" w:before="0" w:after="0"/>
              <w:jc w:val="left"/>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_____________</w:t>
            </w:r>
          </w:p>
        </w:tc>
        <w:tc>
          <w:tcPr>
            <w:tcW w:w="391" w:type="dxa"/>
            <w:tcBorders/>
            <w:shd w:fill="auto" w:val="clear"/>
          </w:tcPr>
          <w:p>
            <w:pPr>
              <w:pStyle w:val="Normal"/>
              <w:bidi w:val="0"/>
              <w:snapToGrid w:val="false"/>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w:t>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left"/>
        <w:rPr>
          <w:rFonts w:ascii="Times New Roman" w:hAnsi="Times New Roman" w:eastAsia="Calibri" w:cs="Times New Roman"/>
          <w:b/>
          <w:b/>
          <w:i/>
          <w:i/>
          <w:sz w:val="24"/>
          <w:szCs w:val="24"/>
        </w:rPr>
      </w:pPr>
      <w:r>
        <w:rPr>
          <w:rFonts w:eastAsia="Calibri" w:cs="Times New Roman" w:ascii="Times New Roman" w:hAnsi="Times New Roman"/>
          <w:b/>
          <w:i/>
          <w:sz w:val="24"/>
          <w:szCs w:val="24"/>
        </w:rPr>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2020</w:t>
      </w:r>
    </w:p>
    <w:p>
      <w:pPr>
        <w:pStyle w:val="TOAHeading"/>
        <w:rPr/>
      </w:pPr>
      <w:r>
        <w:rPr/>
        <w:t>Оглавление</w:t>
      </w:r>
    </w:p>
    <w:p>
      <w:pPr>
        <w:pStyle w:val="11"/>
        <w:tabs>
          <w:tab w:val="right" w:pos="9638" w:leader="dot"/>
        </w:tabs>
        <w:rPr/>
      </w:pPr>
      <w:r>
        <w:fldChar w:fldCharType="begin"/>
      </w:r>
      <w:r>
        <w:rPr>
          <w:rStyle w:val="Style14"/>
        </w:rPr>
        <w:instrText> TOC \f \o "1-9" \h</w:instrText>
      </w:r>
      <w:r>
        <w:rPr>
          <w:rStyle w:val="Style14"/>
        </w:rPr>
        <w:fldChar w:fldCharType="separate"/>
      </w:r>
      <w:hyperlink w:anchor="__RefHeading___Toc522_1659129561">
        <w:r>
          <w:rPr>
            <w:rStyle w:val="Style14"/>
          </w:rPr>
          <w:t>Введение</w:t>
          <w:tab/>
          <w:t>3</w:t>
        </w:r>
      </w:hyperlink>
    </w:p>
    <w:p>
      <w:pPr>
        <w:pStyle w:val="11"/>
        <w:tabs>
          <w:tab w:val="right" w:pos="9638" w:leader="dot"/>
        </w:tabs>
        <w:rPr/>
      </w:pPr>
      <w:hyperlink w:anchor="__RefHeading___Toc524_1659129561">
        <w:r>
          <w:rPr>
            <w:rStyle w:val="Style14"/>
          </w:rPr>
          <w:t>Виды и организационные формы территориальных образований для реализации проектов.</w:t>
          <w:tab/>
          <w:t>4</w:t>
        </w:r>
      </w:hyperlink>
    </w:p>
    <w:p>
      <w:pPr>
        <w:pStyle w:val="11"/>
        <w:tabs>
          <w:tab w:val="right" w:pos="9638" w:leader="dot"/>
        </w:tabs>
        <w:rPr/>
      </w:pPr>
      <w:hyperlink w:anchor="__RefHeading___Toc526_1659129561">
        <w:r>
          <w:rPr>
            <w:rStyle w:val="Style14"/>
          </w:rPr>
          <w:t>Особые экономические зоны</w:t>
          <w:tab/>
          <w:t>5</w:t>
        </w:r>
      </w:hyperlink>
    </w:p>
    <w:p>
      <w:pPr>
        <w:pStyle w:val="11"/>
        <w:tabs>
          <w:tab w:val="right" w:pos="9638" w:leader="dot"/>
        </w:tabs>
        <w:rPr/>
      </w:pPr>
      <w:hyperlink w:anchor="__RefHeading___Toc528_1659129561">
        <w:r>
          <w:rPr>
            <w:rStyle w:val="Style14"/>
          </w:rPr>
          <w:t>Наукограды</w:t>
          <w:tab/>
          <w:t>7</w:t>
        </w:r>
      </w:hyperlink>
    </w:p>
    <w:p>
      <w:pPr>
        <w:pStyle w:val="11"/>
        <w:tabs>
          <w:tab w:val="right" w:pos="9638" w:leader="dot"/>
        </w:tabs>
        <w:rPr/>
      </w:pPr>
      <w:hyperlink w:anchor="__RefHeading___Toc530_1659129561">
        <w:r>
          <w:rPr>
            <w:rStyle w:val="Style14"/>
          </w:rPr>
          <w:t>Технопарки</w:t>
          <w:tab/>
          <w:t>8</w:t>
        </w:r>
      </w:hyperlink>
    </w:p>
    <w:p>
      <w:pPr>
        <w:pStyle w:val="11"/>
        <w:tabs>
          <w:tab w:val="right" w:pos="9638" w:leader="dot"/>
        </w:tabs>
        <w:rPr/>
      </w:pPr>
      <w:hyperlink w:anchor="__RefHeading___Toc532_1659129561">
        <w:r>
          <w:rPr>
            <w:rStyle w:val="Style14"/>
          </w:rPr>
          <w:t>Бизнес-инкубаторы</w:t>
          <w:tab/>
          <w:t>10</w:t>
        </w:r>
      </w:hyperlink>
    </w:p>
    <w:p>
      <w:pPr>
        <w:pStyle w:val="11"/>
        <w:tabs>
          <w:tab w:val="right" w:pos="9638" w:leader="dot"/>
        </w:tabs>
        <w:rPr/>
      </w:pPr>
      <w:hyperlink w:anchor="__RefHeading___Toc534_1659129561">
        <w:r>
          <w:rPr>
            <w:rStyle w:val="Style14"/>
          </w:rPr>
          <w:t>Центры трансфера технологий</w:t>
          <w:tab/>
          <w:t>11</w:t>
        </w:r>
      </w:hyperlink>
    </w:p>
    <w:p>
      <w:pPr>
        <w:pStyle w:val="11"/>
        <w:tabs>
          <w:tab w:val="right" w:pos="9638" w:leader="dot"/>
        </w:tabs>
        <w:rPr/>
      </w:pPr>
      <w:hyperlink w:anchor="__RefHeading___Toc536_1659129561">
        <w:r>
          <w:rPr>
            <w:rStyle w:val="Style14"/>
          </w:rPr>
          <w:t>Центры коллективного пользования научным оборудованием</w:t>
          <w:tab/>
          <w:t>13</w:t>
        </w:r>
      </w:hyperlink>
    </w:p>
    <w:p>
      <w:pPr>
        <w:pStyle w:val="11"/>
        <w:tabs>
          <w:tab w:val="right" w:pos="9638" w:leader="dot"/>
        </w:tabs>
        <w:rPr/>
      </w:pPr>
      <w:hyperlink w:anchor="__RefHeading___Toc538_1659129561">
        <w:r>
          <w:rPr>
            <w:rStyle w:val="Style14"/>
          </w:rPr>
          <w:t>Выводы</w:t>
          <w:tab/>
          <w:t>15</w:t>
        </w:r>
      </w:hyperlink>
    </w:p>
    <w:p>
      <w:pPr>
        <w:pStyle w:val="11"/>
        <w:tabs>
          <w:tab w:val="right" w:pos="9638" w:leader="dot"/>
        </w:tabs>
        <w:rPr/>
      </w:pPr>
      <w:hyperlink w:anchor="__RefHeading___Toc540_1659129561">
        <w:r>
          <w:rPr>
            <w:rStyle w:val="Style14"/>
          </w:rPr>
          <w:t>Список литературы</w:t>
          <w:tab/>
          <w:t>16</w:t>
        </w:r>
      </w:hyperlink>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p>
    <w:p>
      <w:pPr>
        <w:pStyle w:val="Normal"/>
        <w:bidi w:val="0"/>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r>
      <w:r>
        <w:br w:type="page"/>
      </w:r>
    </w:p>
    <w:p>
      <w:pPr>
        <w:pStyle w:val="1"/>
        <w:numPr>
          <w:ilvl w:val="0"/>
          <w:numId w:val="2"/>
        </w:numPr>
        <w:rPr/>
      </w:pPr>
      <w:bookmarkStart w:id="0" w:name="__RefHeading___Toc522_1659129561"/>
      <w:bookmarkEnd w:id="0"/>
      <w:r>
        <w:rPr/>
        <w:t>Введение</w:t>
      </w:r>
    </w:p>
    <w:p>
      <w:pPr>
        <w:pStyle w:val="Style19"/>
        <w:rPr/>
      </w:pPr>
      <w:r>
        <w:rPr/>
        <w:t xml:space="preserve">Стратегия государственной инновационной политики формируется на основе долгосрочных концепций социально-экономического и общественно-политического развития страны. Выбор стратегии инновационно политики предполагает определение основных направлений государственного регулирования инновационной деятельности и принятие методов развития и использования научного потенциала, установление главных целей инновационного развития в соответствии с социально-экономическим целями. </w:t>
      </w:r>
    </w:p>
    <w:p>
      <w:pPr>
        <w:pStyle w:val="Style19"/>
        <w:rPr/>
      </w:pPr>
      <w:r>
        <w:rPr/>
        <w:t>Тактика предполагает определение текущих целей и конкретных мероприятий, обеспечивающих достижение этих целей с наибольшей эффективностью. Тактические средства — это финансирование исследований и проектно-конструкторских разработок, материально-техническое и информационное обеспечение, подбор кадров, создание правовых и организационных условий для реализации мероприятий инновационного развития. [3]</w:t>
      </w:r>
    </w:p>
    <w:p>
      <w:pPr>
        <w:pStyle w:val="Style19"/>
        <w:rPr/>
      </w:pPr>
      <w:r>
        <w:rPr/>
        <w:t>Независимо от текущих экономических трудностей, санкций, финансового дефицита необходимо думать о будущем регионального развития. Можно выделить несколько основных функционально-территориальны форм инновационных образований: инновационные центры, научно-технологические парки, технополисы и др.</w:t>
      </w:r>
    </w:p>
    <w:p>
      <w:pPr>
        <w:pStyle w:val="Style19"/>
        <w:rPr/>
      </w:pPr>
      <w:r>
        <w:rPr/>
      </w:r>
      <w:r>
        <w:br w:type="page"/>
      </w:r>
    </w:p>
    <w:p>
      <w:pPr>
        <w:pStyle w:val="1"/>
        <w:numPr>
          <w:ilvl w:val="0"/>
          <w:numId w:val="2"/>
        </w:numPr>
        <w:rPr/>
      </w:pPr>
      <w:bookmarkStart w:id="1" w:name="__RefHeading___Toc524_1659129561"/>
      <w:bookmarkEnd w:id="1"/>
      <w:r>
        <w:rPr/>
        <w:t xml:space="preserve">Виды и организационные формы территориальных образований для реализации проектов. </w:t>
      </w:r>
    </w:p>
    <w:p>
      <w:pPr>
        <w:pStyle w:val="Style19"/>
        <w:rPr>
          <w:b w:val="false"/>
          <w:b w:val="false"/>
          <w:bCs w:val="false"/>
        </w:rPr>
      </w:pPr>
      <w:r>
        <w:rPr>
          <w:b w:val="false"/>
          <w:bCs w:val="false"/>
        </w:rPr>
        <w:t>Инновационный процесс охватывает многих участников и многие заинтересованные организации. Он может осуществляться на государственном (федеральном) и межгосударственном уровнях, в региональных и отраслевых сферах, местных (муниципальных) формированиях. Все участники имеют свои цели и учреждают свои оргструктуры для их достижения.</w:t>
      </w:r>
    </w:p>
    <w:p>
      <w:pPr>
        <w:pStyle w:val="Style19"/>
        <w:rPr>
          <w:b w:val="false"/>
          <w:b w:val="false"/>
          <w:bCs w:val="false"/>
        </w:rPr>
      </w:pPr>
      <w:r>
        <w:rPr>
          <w:b w:val="false"/>
          <w:bCs w:val="false"/>
        </w:rPr>
        <w:t>В этой связи инновационная деятельность характеризуется многообразием организационных форм. Это связано с тем, что процесс нововведений охватывает разнообразные сферы деятельности: научно-техническую, финансовую, информационную, маркетинговую, и в его реализации участвуют различные взаимодействующие между собой организации: научно-исследовательские институты, финансовые и консалтинговые организации, венчурные фирмы, страховые компании. Наиболее распространены такие организационные формы инновационной деятельности, как бизнес-инкубатор, технопарк, технополис, стратегический альянс. Формой поддержки становления и развития новой фирмы являются бизнес-инкубаторы. [1]</w:t>
      </w:r>
    </w:p>
    <w:p>
      <w:pPr>
        <w:pStyle w:val="Style19"/>
        <w:rPr/>
      </w:pPr>
      <w:r>
        <w:rPr>
          <w:b w:val="false"/>
          <w:bCs w:val="false"/>
        </w:rPr>
        <w:t xml:space="preserve">Тесное переплетение кооперации и конкуренции в последние десятилетия проявилось в организации межфирменного сотрудничества в рамках стратегических альянсов и коалиций. Крупные технологические прорывы в общественном производстве целесообразно осуществлять на основе межфирменной научно-технической кооперации, которая высокоэффективна. Межфирменная кооперация характерна для </w:t>
      </w:r>
      <w:r>
        <w:rPr>
          <w:rStyle w:val="Style15"/>
          <w:b w:val="false"/>
          <w:bCs w:val="false"/>
        </w:rPr>
        <w:t>альянсов, консорциумов, совместных предприятий</w:t>
      </w:r>
      <w:r>
        <w:rPr>
          <w:b w:val="false"/>
          <w:bCs w:val="false"/>
        </w:rPr>
        <w:t>.</w:t>
      </w:r>
    </w:p>
    <w:p>
      <w:pPr>
        <w:pStyle w:val="Style19"/>
        <w:rPr/>
      </w:pPr>
      <w:r>
        <w:rPr>
          <w:b w:val="false"/>
          <w:bCs w:val="false"/>
        </w:rPr>
        <w:t xml:space="preserve">Предпринимательские </w:t>
      </w:r>
      <w:r>
        <w:rPr>
          <w:rStyle w:val="Style15"/>
          <w:b w:val="false"/>
          <w:bCs w:val="false"/>
        </w:rPr>
        <w:t xml:space="preserve">ассоциации, стратегические альянсы </w:t>
      </w:r>
      <w:r>
        <w:rPr>
          <w:b w:val="false"/>
          <w:bCs w:val="false"/>
        </w:rPr>
        <w:t xml:space="preserve">и </w:t>
      </w:r>
      <w:r>
        <w:rPr>
          <w:rStyle w:val="Style15"/>
          <w:b w:val="false"/>
          <w:bCs w:val="false"/>
        </w:rPr>
        <w:t xml:space="preserve">коалиции </w:t>
      </w:r>
      <w:r>
        <w:rPr>
          <w:b w:val="false"/>
          <w:bCs w:val="false"/>
        </w:rPr>
        <w:t xml:space="preserve">представляют собой наиболее привлекательные в экономике </w:t>
      </w:r>
      <w:r>
        <w:rPr>
          <w:rStyle w:val="Style15"/>
          <w:b w:val="false"/>
          <w:bCs w:val="false"/>
        </w:rPr>
        <w:t xml:space="preserve">"мягкие" ассоциирующиеся "метаструктуры". </w:t>
      </w:r>
      <w:r>
        <w:rPr>
          <w:b w:val="false"/>
          <w:bCs w:val="false"/>
        </w:rPr>
        <w:t>Они рассматриваются не только как наиболее дешевый и эффективный способ объединения совместных усилий. В организации "мягких метаструктур" наиболее важна их ориентация на совершенствование и развитие базисных принципов и фундаментальных идей в производстве. Конкурирующие участники "мягких групп" апробируют новшества как бы с разных сторон, партнерские же усилия способствуют концентрации ресурсов на важнейшем направлении. [1]</w:t>
      </w:r>
    </w:p>
    <w:p>
      <w:pPr>
        <w:pStyle w:val="1"/>
        <w:numPr>
          <w:ilvl w:val="0"/>
          <w:numId w:val="2"/>
        </w:numPr>
        <w:rPr/>
      </w:pPr>
      <w:bookmarkStart w:id="2" w:name="__RefHeading___Toc526_1659129561"/>
      <w:bookmarkEnd w:id="2"/>
      <w:r>
        <w:rPr/>
        <w:t>Особые экономические зоны</w:t>
      </w:r>
    </w:p>
    <w:p>
      <w:pPr>
        <w:pStyle w:val="Style19"/>
        <w:rPr/>
      </w:pPr>
      <w:r>
        <w:rPr/>
        <w:t xml:space="preserve">Особая (свободная) экономическая зона (ОЭЗ) - это специально выделенная часть территории государства, на которой установлен особый правовой режим ведения предпринимательской деятельности (в части государственной регистрации, проверок контрольными органами, налогообложения, обложения таможенными пошлинами и сборами и т.д.). </w:t>
      </w:r>
    </w:p>
    <w:p>
      <w:pPr>
        <w:pStyle w:val="Style19"/>
        <w:rPr/>
      </w:pPr>
      <w:r>
        <w:rPr/>
        <w:t xml:space="preserve">Особые экономические зоны позволяют тем предприятиям, которые организуют производство на этих территориях, заполучить и воспользоваться рядом преимуществ в международной конкурентной борьбе. В частности, оказывается возможным как локализация производства внутри страны, так и выход на близлежащие региональные рынки. </w:t>
      </w:r>
    </w:p>
    <w:p>
      <w:pPr>
        <w:pStyle w:val="Style19"/>
        <w:rPr/>
      </w:pPr>
      <w:r>
        <w:rPr/>
        <w:t>Конкретные меры поддержки предприятий и активизации производственной деятельности в основном заключаются в следующем:</w:t>
      </w:r>
    </w:p>
    <w:p>
      <w:pPr>
        <w:pStyle w:val="Style19"/>
        <w:numPr>
          <w:ilvl w:val="0"/>
          <w:numId w:val="3"/>
        </w:numPr>
        <w:rPr/>
      </w:pPr>
      <w:r>
        <w:rPr/>
        <w:t xml:space="preserve">снижение административных барьеров (требований контрольно-надзорных органов) до минимально возможного уровня; </w:t>
      </w:r>
    </w:p>
    <w:p>
      <w:pPr>
        <w:pStyle w:val="Style19"/>
        <w:numPr>
          <w:ilvl w:val="0"/>
          <w:numId w:val="3"/>
        </w:numPr>
        <w:rPr/>
      </w:pPr>
      <w:r>
        <w:rPr/>
        <w:t xml:space="preserve">льготное налогообложение производства и реализации продукции, предоставление таможенных преференций; </w:t>
      </w:r>
    </w:p>
    <w:p>
      <w:pPr>
        <w:pStyle w:val="Style19"/>
        <w:numPr>
          <w:ilvl w:val="0"/>
          <w:numId w:val="3"/>
        </w:numPr>
        <w:rPr/>
      </w:pPr>
      <w:r>
        <w:rPr/>
        <w:t xml:space="preserve">проведение политики демпинга в части сдачи в аренду и продажи предпринимателям земельных участков; </w:t>
      </w:r>
    </w:p>
    <w:p>
      <w:pPr>
        <w:pStyle w:val="Style19"/>
        <w:numPr>
          <w:ilvl w:val="0"/>
          <w:numId w:val="3"/>
        </w:numPr>
        <w:rPr/>
      </w:pPr>
      <w:r>
        <w:rPr/>
        <w:t xml:space="preserve">оказание инвесторам помощи в реализации на первой стадии развития проекта и его дальнейшее сопровождение со стороны управляющих компаний особой экономической зоны. </w:t>
      </w:r>
    </w:p>
    <w:p>
      <w:pPr>
        <w:pStyle w:val="Style19"/>
        <w:numPr>
          <w:ilvl w:val="0"/>
          <w:numId w:val="0"/>
        </w:numPr>
        <w:ind w:left="720" w:right="0" w:hanging="0"/>
        <w:rPr/>
      </w:pPr>
      <w:r>
        <w:rPr/>
        <w:t xml:space="preserve">   </w:t>
      </w:r>
      <w:r>
        <w:rPr/>
        <w:t xml:space="preserve">Благодаря этому инструменту стимулирования экономического развития выгоды получают обе стороны, принимающие участие в функционировании зоны – и организаторы (государство), и участники (резиденты, предприятия). Для государства ОЭЗ позволяют решить вопросы обеспечения занятости населения, производства товаров внутри страны вместо их импорта, внедрения в практику отечественных предприятий новейших технологий и т.д. Предприятия же получают возможность снизить свои издержки за счёт полного или частичного снижения налогов и таможенных пошлин, привлечения более дешёвой рабочей силы, использования уже готовой инфраструктуры и т.д. </w:t>
      </w:r>
    </w:p>
    <w:p>
      <w:pPr>
        <w:pStyle w:val="Style19"/>
        <w:rPr/>
      </w:pPr>
      <w:r>
        <w:rPr/>
        <w:t>Особые экономические зоны получили широкое распространение во многих странах мира. Лидерами по их количеству и доли в валовом продукте страны считаются США, Южная Корея, Китай. С относительно недавнего времени они стали создаваться и функционировать и на территории Российской Федерации.</w:t>
      </w:r>
    </w:p>
    <w:p>
      <w:pPr>
        <w:pStyle w:val="Style19"/>
        <w:rPr/>
      </w:pPr>
      <w:r>
        <w:rPr/>
        <w:t xml:space="preserve">На данный момент в России функционируют 33 особые экономические зоны, оформленные в один из следующих типов: </w:t>
      </w:r>
    </w:p>
    <w:p>
      <w:pPr>
        <w:pStyle w:val="Style19"/>
        <w:numPr>
          <w:ilvl w:val="0"/>
          <w:numId w:val="4"/>
        </w:numPr>
        <w:rPr/>
      </w:pPr>
      <w:r>
        <w:rPr/>
        <w:t>промышленно-производственные ОЭЗ – территории, используемые для производства, переработки и реализации товаров (на данный момент: 15 зон – "Алабуга", "Липецк", "Тольятти", "Титановая долина", "Моглино", " Калуга", "Ступино Квадрат", "Лотос", "Узловая", "Центр", "Орел", "Кашира", "Грозный", "Кулибин", "Алга");</w:t>
      </w:r>
    </w:p>
    <w:p>
      <w:pPr>
        <w:pStyle w:val="Style19"/>
        <w:numPr>
          <w:ilvl w:val="0"/>
          <w:numId w:val="4"/>
        </w:numPr>
        <w:rPr/>
      </w:pPr>
      <w:r>
        <w:rPr/>
        <w:t xml:space="preserve">технико-внедренческие ОЭЗ – территории, используемые для создания и реализации научно-технической продукции, программных продуктов, систем сбора, обработки и передачи данных, доведения ее до промышленного применения (7 зон – "Дубна", "Санкт-Петербург", "Томск", "Технополис "Москва", "Исток", "Иннополис", в Саратовской области); </w:t>
      </w:r>
    </w:p>
    <w:p>
      <w:pPr>
        <w:pStyle w:val="Style19"/>
        <w:numPr>
          <w:ilvl w:val="0"/>
          <w:numId w:val="4"/>
        </w:numPr>
        <w:rPr/>
      </w:pPr>
      <w:r>
        <w:rPr/>
        <w:t xml:space="preserve">туристско-рекреационные ОЭЗ – территории, используемые для развития и оказания услуг в сфере санаторно-курортного лечения, медицинской реабилитации и отдыха граждан (10 зон – "Байкальская гавань", "Бирюзовая Катунь", "Завидово", "Ворота Байкала", "Архыз", "Ведучи", "Эльбрус", "Матлас", "Армхи и Цори", "Мамисон"); </w:t>
      </w:r>
    </w:p>
    <w:p>
      <w:pPr>
        <w:pStyle w:val="Style19"/>
        <w:numPr>
          <w:ilvl w:val="0"/>
          <w:numId w:val="4"/>
        </w:numPr>
        <w:rPr/>
      </w:pPr>
      <w:r>
        <w:rPr/>
        <w:t xml:space="preserve">портовые ОЭЗ – территории, используемые для организации судостроительной и судоремонтной деятельности, предоставления логистических услуг (1 зона – "Ульяновск"). </w:t>
      </w:r>
    </w:p>
    <w:p>
      <w:pPr>
        <w:pStyle w:val="Style19"/>
        <w:numPr>
          <w:ilvl w:val="0"/>
          <w:numId w:val="0"/>
        </w:numPr>
        <w:ind w:left="720" w:right="0" w:hanging="0"/>
        <w:rPr/>
      </w:pPr>
      <w:r>
        <w:rPr/>
        <w:t xml:space="preserve">По состоянию на начало 2020 года в России было зарегистрировано 778 резидентов, которые представляют 41 иностранное государство. Благодаря их деятельности создано более 38 тысяч рабочих мест. </w:t>
      </w:r>
    </w:p>
    <w:p>
      <w:pPr>
        <w:pStyle w:val="1"/>
        <w:numPr>
          <w:ilvl w:val="0"/>
          <w:numId w:val="2"/>
        </w:numPr>
        <w:rPr/>
      </w:pPr>
      <w:bookmarkStart w:id="3" w:name="__RefHeading___Toc528_1659129561"/>
      <w:bookmarkEnd w:id="3"/>
      <w:r>
        <w:rPr/>
        <w:t>Наукограды</w:t>
      </w:r>
    </w:p>
    <w:p>
      <w:pPr>
        <w:pStyle w:val="Style19"/>
        <w:rPr/>
      </w:pPr>
      <w:r>
        <w:rPr/>
        <w:t>Наукоград - административно-территориальное образование, инфраструктура которого сформировалась вокруг научной организации, определяющей научно-производственную ориентацию его производственных структур. [1] Наукоград – это городской район или отдельный город, в котором сосредоточены научно-промышленные предприятия, лаборатории и институты. Работа на одной территории увеличивает их производственный потенциал, упрощает обмен опытом. Специалисты, живущие в среде с продвинутой инфраструктурой, лучше раскрывают свои профессиональные качества. Всё это приносит государству дивиденды в виде повышения технологической конкурентоспособности в мире.</w:t>
      </w:r>
    </w:p>
    <w:p>
      <w:pPr>
        <w:pStyle w:val="Style19"/>
        <w:rPr/>
      </w:pPr>
      <w:r>
        <w:rPr/>
        <w:t xml:space="preserve"> </w:t>
      </w:r>
      <w:r>
        <w:rPr/>
        <w:t>Цель создания наукоградов – сохранение и развитие имеющегося научного потенциала, повышение его эффективности и создание условий для устойчивого развития (решения задач обороны).</w:t>
      </w:r>
    </w:p>
    <w:p>
      <w:pPr>
        <w:pStyle w:val="Style19"/>
        <w:rPr/>
      </w:pPr>
      <w:r>
        <w:rPr/>
        <w:t xml:space="preserve">Выделяется семь основных специализаций наукоградов[3]: </w:t>
      </w:r>
    </w:p>
    <w:p>
      <w:pPr>
        <w:pStyle w:val="Style19"/>
        <w:numPr>
          <w:ilvl w:val="0"/>
          <w:numId w:val="5"/>
        </w:numPr>
        <w:tabs>
          <w:tab w:val="left" w:pos="0" w:leader="none"/>
        </w:tabs>
        <w:ind w:left="707" w:right="0" w:hanging="283"/>
        <w:rPr/>
      </w:pPr>
      <w:r>
        <w:rPr/>
        <w:t xml:space="preserve">авиа-, ракетостроение и космические исследования; </w:t>
      </w:r>
    </w:p>
    <w:p>
      <w:pPr>
        <w:pStyle w:val="Style19"/>
        <w:numPr>
          <w:ilvl w:val="0"/>
          <w:numId w:val="5"/>
        </w:numPr>
        <w:tabs>
          <w:tab w:val="left" w:pos="0" w:leader="none"/>
        </w:tabs>
        <w:ind w:left="707" w:right="0" w:hanging="283"/>
        <w:rPr/>
      </w:pPr>
      <w:r>
        <w:rPr/>
        <w:t xml:space="preserve">электроника и радиотехника; </w:t>
      </w:r>
    </w:p>
    <w:p>
      <w:pPr>
        <w:pStyle w:val="Style19"/>
        <w:numPr>
          <w:ilvl w:val="0"/>
          <w:numId w:val="5"/>
        </w:numPr>
        <w:tabs>
          <w:tab w:val="left" w:pos="0" w:leader="none"/>
        </w:tabs>
        <w:ind w:left="707" w:right="0" w:hanging="283"/>
        <w:rPr/>
      </w:pPr>
      <w:r>
        <w:rPr/>
        <w:t xml:space="preserve">автоматизация, машино- и приборостроение; </w:t>
      </w:r>
    </w:p>
    <w:p>
      <w:pPr>
        <w:pStyle w:val="Style19"/>
        <w:numPr>
          <w:ilvl w:val="0"/>
          <w:numId w:val="5"/>
        </w:numPr>
        <w:tabs>
          <w:tab w:val="left" w:pos="0" w:leader="none"/>
        </w:tabs>
        <w:ind w:left="707" w:right="0" w:hanging="283"/>
        <w:rPr/>
      </w:pPr>
      <w:r>
        <w:rPr/>
        <w:t xml:space="preserve">химия, химическая физика и создание новых материалов; </w:t>
      </w:r>
    </w:p>
    <w:p>
      <w:pPr>
        <w:pStyle w:val="Style19"/>
        <w:numPr>
          <w:ilvl w:val="0"/>
          <w:numId w:val="5"/>
        </w:numPr>
        <w:tabs>
          <w:tab w:val="left" w:pos="0" w:leader="none"/>
        </w:tabs>
        <w:ind w:left="707" w:right="0" w:hanging="283"/>
        <w:rPr/>
      </w:pPr>
      <w:r>
        <w:rPr/>
        <w:t xml:space="preserve">ядерный комплекс; </w:t>
      </w:r>
    </w:p>
    <w:p>
      <w:pPr>
        <w:pStyle w:val="Style19"/>
        <w:numPr>
          <w:ilvl w:val="0"/>
          <w:numId w:val="5"/>
        </w:numPr>
        <w:tabs>
          <w:tab w:val="left" w:pos="0" w:leader="none"/>
        </w:tabs>
        <w:ind w:left="707" w:right="0" w:hanging="283"/>
        <w:rPr/>
      </w:pPr>
      <w:r>
        <w:rPr/>
        <w:t xml:space="preserve">энергетика; </w:t>
      </w:r>
    </w:p>
    <w:p>
      <w:pPr>
        <w:pStyle w:val="Style19"/>
        <w:numPr>
          <w:ilvl w:val="0"/>
          <w:numId w:val="5"/>
        </w:numPr>
        <w:tabs>
          <w:tab w:val="left" w:pos="0" w:leader="none"/>
        </w:tabs>
        <w:ind w:left="707" w:right="0" w:hanging="283"/>
        <w:rPr/>
      </w:pPr>
      <w:r>
        <w:rPr/>
        <w:t>биология и биотехнология.</w:t>
      </w:r>
    </w:p>
    <w:p>
      <w:pPr>
        <w:pStyle w:val="Style19"/>
        <w:rPr/>
      </w:pPr>
      <w:r>
        <w:rPr/>
        <w:t>Наукоград в Российской Федерации — муниципальное образование со статусом городского округа, либо район более крупного города, имеющее высокий научно-технический потенциал, с градообразующим научно-производственным комплексом.</w:t>
      </w:r>
    </w:p>
    <w:p>
      <w:pPr>
        <w:pStyle w:val="Style19"/>
        <w:rPr/>
      </w:pPr>
      <w:r>
        <w:rPr/>
        <w:t xml:space="preserve">На 5 января 2015 года 13 городских округов имеют статус наукограда, присвоенный согласно федеральному закону. </w:t>
      </w:r>
    </w:p>
    <w:p>
      <w:pPr>
        <w:pStyle w:val="1"/>
        <w:numPr>
          <w:ilvl w:val="0"/>
          <w:numId w:val="2"/>
        </w:numPr>
        <w:rPr/>
      </w:pPr>
      <w:bookmarkStart w:id="4" w:name="__RefHeading___Toc530_1659129561"/>
      <w:bookmarkEnd w:id="4"/>
      <w:r>
        <w:rPr/>
        <w:t xml:space="preserve">Технопарки </w:t>
      </w:r>
    </w:p>
    <w:p>
      <w:pPr>
        <w:pStyle w:val="Style19"/>
        <w:rPr/>
      </w:pPr>
      <w:r>
        <w:rPr/>
        <w:t>Технопарк (технологический парк) - организационная форма интеграции науки, образования и производства на локально выделенной территории путем кооперации научно-исследовательских, опытно-конструкторских, проектных, консалтинговых и производственных организаций и учебных заведений.</w:t>
      </w:r>
    </w:p>
    <w:p>
      <w:pPr>
        <w:pStyle w:val="Style19"/>
        <w:jc w:val="both"/>
        <w:rPr/>
      </w:pPr>
      <w:r>
        <w:rPr/>
        <w:t>Технопарк как научно-производственный комплекс совмещает взаимосвязанные в единой организационной системе фундаментальные исследования, опытное производство, внедрение разработок и их коммерциализацию (включая подготовку менеджеров и специалистов по маркетингу).</w:t>
      </w:r>
    </w:p>
    <w:p>
      <w:pPr>
        <w:pStyle w:val="Style19"/>
        <w:jc w:val="both"/>
        <w:rPr/>
      </w:pPr>
      <w:r>
        <w:rPr/>
        <w:t>В сфере высоких технологий технопарк представляет собой форму территориальной интеграции коммерческих и некоммерческих организаций науки и образования, финансовых институтов, предприятий и предпринимателей, взаимодействующих между собой, с органами местного самоуправления.</w:t>
      </w:r>
    </w:p>
    <w:p>
      <w:pPr>
        <w:pStyle w:val="Style19"/>
        <w:jc w:val="both"/>
        <w:rPr/>
      </w:pPr>
      <w:r>
        <w:rPr/>
        <w:t>Согласно определению Международной ассоциации технологических парков: технопарк - это организация, управляемая специалистами, главной целью которых является увеличение благосостояния местного сообщества посредством продвижения инновационной культуры, а также состязательности инновационного бизнеса и научных организаций. Для достижения этих целей технопарк стимулирует и управляет потоками знаний и технологий между университетами, научно-исследовательскими институтами, компаниями и рынками. Он упрощает создание и рост инновационным компаниям с помощью инкубационных процессов и процессов выведения новых компаний из существующих (spin off processes). Технопарк помимо высококачественных площадей обеспечивает другие услуги.</w:t>
      </w:r>
    </w:p>
    <w:p>
      <w:pPr>
        <w:pStyle w:val="Style19"/>
        <w:jc w:val="both"/>
        <w:rPr/>
      </w:pPr>
      <w:r>
        <w:rPr/>
        <w:t>Первый технопарк в Российской Федерации был создан в 1990 г - «Томский научно-технологический парк». Затем их образование резко ускорилось: 1990 г. - 2 технопарка, 1991 г. - 8, 1992 г. - 24, 1993 г. - 43. На сегодняшний день создано около 80 технопарков, преимущественно при вузах.</w:t>
      </w:r>
    </w:p>
    <w:p>
      <w:pPr>
        <w:pStyle w:val="Style19"/>
        <w:jc w:val="both"/>
        <w:rPr/>
      </w:pPr>
      <w:r>
        <w:rPr/>
        <w:t>Однако реально действующих технопарков значительно меньше: так, в 2000 г. была проведена аккредитация, которую сумели пройти около 30 технопарков. И только около десяти из них были признаны отвечающими международным стандартам.</w:t>
      </w:r>
    </w:p>
    <w:p>
      <w:pPr>
        <w:pStyle w:val="Style19"/>
        <w:rPr/>
      </w:pPr>
      <w:r>
        <w:rPr/>
      </w:r>
    </w:p>
    <w:p>
      <w:pPr>
        <w:pStyle w:val="1"/>
        <w:numPr>
          <w:ilvl w:val="0"/>
          <w:numId w:val="2"/>
        </w:numPr>
        <w:rPr/>
      </w:pPr>
      <w:bookmarkStart w:id="5" w:name="__RefHeading___Toc532_1659129561"/>
      <w:bookmarkEnd w:id="5"/>
      <w:r>
        <w:rPr/>
        <w:t xml:space="preserve">Бизнес-инкубаторы </w:t>
      </w:r>
    </w:p>
    <w:p>
      <w:pPr>
        <w:pStyle w:val="Style19"/>
        <w:rPr/>
      </w:pPr>
      <w:r>
        <w:rPr/>
        <w:t>Бизнес-инкубатор — это организация, решающая задачи, ограниченные проблемами поддержки малых, вновь созданных фирм и начинающих предпринимателей, которые хотят, но не имеют возможности начать свое дело. Бизнес-инкубатор может быть автономным, т.е. самостоятельной хозяйственной организацией с правами юридического лица, или действовать в составе технопарка (в этом случае он может называться «инкубатором технологий») [1]</w:t>
      </w:r>
    </w:p>
    <w:p>
      <w:pPr>
        <w:pStyle w:val="Style19"/>
        <w:rPr/>
      </w:pPr>
      <w:r>
        <w:rPr/>
        <w:t xml:space="preserve">Цель функционирования </w:t>
      </w:r>
      <w:r>
        <w:rPr>
          <w:rStyle w:val="Style15"/>
          <w:b w:val="false"/>
          <w:bCs w:val="false"/>
          <w:i w:val="false"/>
          <w:iCs w:val="false"/>
        </w:rPr>
        <w:t>бизнес-инкубаторов</w:t>
      </w:r>
      <w:r>
        <w:rPr/>
        <w:t xml:space="preserve"> – обеспечение эффективной инкубации (выращивания) предпринимателей, создание малых фирм. </w:t>
        <w:br/>
        <w:t>Существует две формы участия в бизнес-инкубаторе – действительная и ассоциативная. Вторая форма в отличие от первой предусматривает свободное пользование всеми предоставляемыми инкубатором услугами без размещения фирмы непосредственно на территории бизнес-инкубатора.</w:t>
        <w:br/>
        <w:t>Юридической основой взаимоотношений бизнес-инкубатора и его членов является договор, определяющий права и обязанности сторон, финансовые отношения, сроки пребывания клиента в бизнес-инкубаторе. За каждую услугу клиенту выписывается чек. После выхода из бизнес-инкубатора в течение 1,5 – 2 лет финансовая задолженность должна быть погашена. Кроме того, в договоре могут быть предусмотрены отчисления из прибыли в пользу бизнес-инкубатора (как правило, не более 5 %), который предприниматель выплачивает в течение 3 – 5 лет после выхода.</w:t>
      </w:r>
    </w:p>
    <w:p>
      <w:pPr>
        <w:pStyle w:val="Style19"/>
        <w:rPr/>
      </w:pPr>
      <w:r>
        <w:rPr/>
        <w:t xml:space="preserve">По российскому законодательству, бизнес-инкубатор — это «организация, решающая задачи, ограниченные проблемами поддержки малых, вновь созданных предприятий и начинающих предпринимателей, которые хотят, но не имеют возможности начать своё дело, связанные с оказанием им помощи в создании жизнеспособных коммерчески выгодных продуктов и эффективных производств на базе их идей». </w:t>
      </w:r>
    </w:p>
    <w:p>
      <w:pPr>
        <w:pStyle w:val="Style19"/>
        <w:rPr/>
      </w:pPr>
      <w:r>
        <w:rPr/>
        <w:t>В России сложились три основных модели бизнес-инкубаторов [1]:</w:t>
      </w:r>
    </w:p>
    <w:p>
      <w:pPr>
        <w:pStyle w:val="Style19"/>
        <w:rPr/>
      </w:pPr>
      <w:r>
        <w:rPr/>
        <w:t>1) Первый тип сформировался при технопарках, где они функционируют как основное ядро. Такие бизнес-инкубаторы действуют на базе наукоемкого производства, высоких технологий.</w:t>
      </w:r>
    </w:p>
    <w:p>
      <w:pPr>
        <w:pStyle w:val="Style19"/>
        <w:rPr/>
      </w:pPr>
      <w:r>
        <w:rPr/>
        <w:t>2) Второй тип бизнес-инкубаторов ориентирован на предпринимателей, связанных в основном с производством товаров народного потребления, с оказанием различных ремонтных и сервисных услуг.</w:t>
      </w:r>
    </w:p>
    <w:p>
      <w:pPr>
        <w:pStyle w:val="Style19"/>
        <w:rPr/>
      </w:pPr>
      <w:r>
        <w:rPr/>
        <w:t>3) Третий тип – региональные бизнес-инкубаторы, созданные для решения хозяйственных проблем с учетом региональных приоритетов. Большая роль в их деятельности отводится решению социальных проблем.</w:t>
      </w:r>
    </w:p>
    <w:p>
      <w:pPr>
        <w:pStyle w:val="1"/>
        <w:numPr>
          <w:ilvl w:val="0"/>
          <w:numId w:val="2"/>
        </w:numPr>
        <w:rPr/>
      </w:pPr>
      <w:bookmarkStart w:id="6" w:name="__RefHeading___Toc534_1659129561"/>
      <w:bookmarkEnd w:id="6"/>
      <w:r>
        <w:rPr/>
        <w:t>Центры трансфера технологий</w:t>
      </w:r>
    </w:p>
    <w:p>
      <w:pPr>
        <w:pStyle w:val="Style19"/>
        <w:rPr/>
      </w:pPr>
      <w:r>
        <w:rPr/>
        <w:t>Центр трансфера технологий - специальная организация, создаваемая при крупных исследовательских центрах для оказания помощи разработчикам в осуществлении процессов передачи технологий, создания связей между исследовательскими организациями и промышленностью. [2]</w:t>
      </w:r>
    </w:p>
    <w:p>
      <w:pPr>
        <w:pStyle w:val="Style19"/>
        <w:rPr/>
      </w:pPr>
      <w:r>
        <w:rPr/>
        <w:t xml:space="preserve">Центр трансфера технологий (ЦТТ) создается с целью коммерциализации результатов научных исследований и разработок, полученных институтами научных центров, отраслевыми НИИ и другими научными организациями региона (в РФ ЦТТ создаются также в федеральных округах). </w:t>
      </w:r>
    </w:p>
    <w:p>
      <w:pPr>
        <w:pStyle w:val="Style19"/>
        <w:rPr/>
      </w:pPr>
      <w:r>
        <w:rPr/>
        <w:t xml:space="preserve">Основными задачами ЦТТ являются: </w:t>
      </w:r>
    </w:p>
    <w:p>
      <w:pPr>
        <w:pStyle w:val="Style19"/>
        <w:numPr>
          <w:ilvl w:val="0"/>
          <w:numId w:val="6"/>
        </w:numPr>
        <w:rPr/>
      </w:pPr>
      <w:r>
        <w:rPr/>
        <w:t>мониторинг инновационных процессов в регионе (федеральном округе);</w:t>
      </w:r>
    </w:p>
    <w:p>
      <w:pPr>
        <w:pStyle w:val="Style19"/>
        <w:numPr>
          <w:ilvl w:val="0"/>
          <w:numId w:val="6"/>
        </w:numPr>
        <w:rPr/>
      </w:pPr>
      <w:r>
        <w:rPr/>
        <w:t>содействие развитию наукоемких производств и отраслей экономики в регионе;</w:t>
      </w:r>
    </w:p>
    <w:p>
      <w:pPr>
        <w:pStyle w:val="Style19"/>
        <w:numPr>
          <w:ilvl w:val="0"/>
          <w:numId w:val="6"/>
        </w:numPr>
        <w:rPr/>
      </w:pPr>
      <w:r>
        <w:rPr/>
        <w:t>формирование территориальной научно-производственной системы;</w:t>
      </w:r>
    </w:p>
    <w:p>
      <w:pPr>
        <w:pStyle w:val="Style19"/>
        <w:numPr>
          <w:ilvl w:val="0"/>
          <w:numId w:val="6"/>
        </w:numPr>
        <w:rPr/>
      </w:pPr>
      <w:r>
        <w:rPr/>
        <w:t>разработка форм и методов поддержки прикладных научно-исследовательских и опытно-конструкторских работ, востребованных рынком;</w:t>
      </w:r>
    </w:p>
    <w:p>
      <w:pPr>
        <w:pStyle w:val="Style19"/>
        <w:numPr>
          <w:ilvl w:val="0"/>
          <w:numId w:val="6"/>
        </w:numPr>
        <w:rPr/>
      </w:pPr>
      <w:r>
        <w:rPr/>
        <w:t>соблюдение баланса интересов государства, разработчиков, производителей, потребителей наукоемких технологий и потенциальных инвесторов при коммерциализации инновационного продукта;</w:t>
      </w:r>
    </w:p>
    <w:p>
      <w:pPr>
        <w:pStyle w:val="Style19"/>
        <w:numPr>
          <w:ilvl w:val="0"/>
          <w:numId w:val="6"/>
        </w:numPr>
        <w:rPr/>
      </w:pPr>
      <w:r>
        <w:rPr/>
        <w:t>усиление роли малого и среднего бизнеса в разработке и производстве инновационной продукции;</w:t>
      </w:r>
    </w:p>
    <w:p>
      <w:pPr>
        <w:pStyle w:val="Style19"/>
        <w:numPr>
          <w:ilvl w:val="0"/>
          <w:numId w:val="6"/>
        </w:numPr>
        <w:rPr/>
      </w:pPr>
      <w:r>
        <w:rPr/>
        <w:t>формирование информационного банка данных инновационных разработок;</w:t>
      </w:r>
    </w:p>
    <w:p>
      <w:pPr>
        <w:pStyle w:val="Style19"/>
        <w:numPr>
          <w:ilvl w:val="0"/>
          <w:numId w:val="6"/>
        </w:numPr>
        <w:rPr/>
      </w:pPr>
      <w:r>
        <w:rPr/>
        <w:t>координация научных исследований и разработок академических и иных научных организаций региона в области новых технологий; создание, внедрение, тиражирование и распространение инновационной продукции (новых приборов, материалов, технологий);</w:t>
      </w:r>
    </w:p>
    <w:p>
      <w:pPr>
        <w:pStyle w:val="Style19"/>
        <w:numPr>
          <w:ilvl w:val="0"/>
          <w:numId w:val="6"/>
        </w:numPr>
        <w:rPr/>
      </w:pPr>
      <w:r>
        <w:rPr/>
        <w:t>координация разработки и выпуск средств методического и программного обеспечения для коммерциализации новых технологий;</w:t>
      </w:r>
    </w:p>
    <w:p>
      <w:pPr>
        <w:pStyle w:val="Style19"/>
        <w:numPr>
          <w:ilvl w:val="0"/>
          <w:numId w:val="6"/>
        </w:numPr>
        <w:rPr/>
      </w:pPr>
      <w:r>
        <w:rPr/>
        <w:t>организация освоения и применения новых программных и технических средств информационных технологий в накоплении и систематизации тематических прикладных инновационных разработок;</w:t>
      </w:r>
    </w:p>
    <w:p>
      <w:pPr>
        <w:pStyle w:val="Style19"/>
        <w:numPr>
          <w:ilvl w:val="0"/>
          <w:numId w:val="6"/>
        </w:numPr>
        <w:rPr/>
      </w:pPr>
      <w:r>
        <w:rPr/>
        <w:t xml:space="preserve">проведение: </w:t>
      </w:r>
    </w:p>
    <w:p>
      <w:pPr>
        <w:pStyle w:val="Style19"/>
        <w:numPr>
          <w:ilvl w:val="1"/>
          <w:numId w:val="6"/>
        </w:numPr>
        <w:rPr/>
      </w:pPr>
      <w:r>
        <w:rPr/>
        <w:t xml:space="preserve">а) экспертизы разрабатываемых инновационных продуктов, </w:t>
      </w:r>
    </w:p>
    <w:p>
      <w:pPr>
        <w:pStyle w:val="Style19"/>
        <w:numPr>
          <w:ilvl w:val="1"/>
          <w:numId w:val="6"/>
        </w:numPr>
        <w:rPr/>
      </w:pPr>
      <w:r>
        <w:rPr/>
        <w:t xml:space="preserve">б) анализа эффективности научных исследований прикладного характера, </w:t>
      </w:r>
    </w:p>
    <w:p>
      <w:pPr>
        <w:pStyle w:val="Style19"/>
        <w:numPr>
          <w:ilvl w:val="1"/>
          <w:numId w:val="6"/>
        </w:numPr>
        <w:rPr/>
      </w:pPr>
      <w:r>
        <w:rPr/>
        <w:t xml:space="preserve">в) оценки эффективности применения новых технологий, </w:t>
      </w:r>
    </w:p>
    <w:p>
      <w:pPr>
        <w:pStyle w:val="Style19"/>
        <w:numPr>
          <w:ilvl w:val="1"/>
          <w:numId w:val="6"/>
        </w:numPr>
        <w:rPr/>
      </w:pPr>
      <w:r>
        <w:rPr/>
        <w:t xml:space="preserve">г) анализа мирового опыта инновационных разработок и использования новых технологий в производстве, </w:t>
      </w:r>
    </w:p>
    <w:p>
      <w:pPr>
        <w:pStyle w:val="Style19"/>
        <w:numPr>
          <w:ilvl w:val="1"/>
          <w:numId w:val="6"/>
        </w:numPr>
        <w:rPr/>
      </w:pPr>
      <w:r>
        <w:rPr/>
        <w:t xml:space="preserve">д) оценок необходимых финансовых и материальных затрат на реализацию соответствующих проектов, </w:t>
      </w:r>
    </w:p>
    <w:p>
      <w:pPr>
        <w:pStyle w:val="Style19"/>
        <w:numPr>
          <w:ilvl w:val="1"/>
          <w:numId w:val="6"/>
        </w:numPr>
        <w:rPr/>
      </w:pPr>
      <w:r>
        <w:rPr/>
        <w:t xml:space="preserve">е) составления бизнес-планов; </w:t>
      </w:r>
    </w:p>
    <w:p>
      <w:pPr>
        <w:pStyle w:val="Style19"/>
        <w:numPr>
          <w:ilvl w:val="0"/>
          <w:numId w:val="6"/>
        </w:numPr>
        <w:rPr/>
      </w:pPr>
      <w:r>
        <w:rPr/>
        <w:t xml:space="preserve">проведение конференций и семинаров по коммерциализации новых технологий; </w:t>
      </w:r>
    </w:p>
    <w:p>
      <w:pPr>
        <w:pStyle w:val="Style19"/>
        <w:numPr>
          <w:ilvl w:val="0"/>
          <w:numId w:val="6"/>
        </w:numPr>
        <w:rPr/>
      </w:pPr>
      <w:r>
        <w:rPr/>
        <w:t>разработка и осуществление совместных научно-исследовательских и научно-технических проектов с ведущими зарубежными научными центрами по новым технологиям.</w:t>
      </w:r>
    </w:p>
    <w:p>
      <w:pPr>
        <w:pStyle w:val="1"/>
        <w:numPr>
          <w:ilvl w:val="0"/>
          <w:numId w:val="2"/>
        </w:numPr>
        <w:rPr/>
      </w:pPr>
      <w:bookmarkStart w:id="7" w:name="__RefHeading___Toc536_1659129561"/>
      <w:bookmarkEnd w:id="7"/>
      <w:r>
        <w:rPr/>
        <w:t>Центры коллективного пользования научным оборудованием</w:t>
      </w:r>
    </w:p>
    <w:p>
      <w:pPr>
        <w:pStyle w:val="Style19"/>
        <w:rPr/>
      </w:pPr>
      <w:r>
        <w:rPr/>
        <w:t>Центр коллективного пользования (ЦКП) научным оборудованием - имущественный комплекс (как правило, на базе высших учебных или научно-исследовательских организаций), обеспечивающий режим коллективного пользования прецизионным дорогостоящим научным и технологическим оборудованием (уникальные стенды и установки) структурными подразделениями базовой организации, а также сторонними пользователями.</w:t>
      </w:r>
    </w:p>
    <w:p>
      <w:pPr>
        <w:pStyle w:val="Style19"/>
        <w:rPr/>
      </w:pPr>
      <w:r>
        <w:rPr/>
        <w:t>Уникальные стенды и установки - действующие установки и стенды, разработанные и изготовленные российскими учеными и специалистами, с рекордными (мировыми) параметрами. Это также установки, имеющие мировые аналоги, но занимающие в этой серии свое уникальное место по совокупности параметров, результаты исследований на которых соответствуют приоритетным направлениям науки и техники.</w:t>
      </w:r>
    </w:p>
    <w:p>
      <w:pPr>
        <w:pStyle w:val="Style19"/>
        <w:rPr/>
      </w:pPr>
      <w:r>
        <w:rPr/>
        <w:t xml:space="preserve">По своей организационной форме ЦКП научным оборудованием, как правило, являются внутренними подразделениями научных учреждений и вузов, создаваемыми для обеспечения доступа к приборной базе для проведения научных исследований, например, измерений и анализов. За время функционирования подобных центров выявилось, что достаточно весомая часть оказываемых ими услуг может быть предоставлена пользователям на платной основе. И в настоящее время часть центров, ранее выполнявших только функции внутренней инфраструктуры отдельных научных организаций, начинают играть роль инфраструктуры общего пользования. При этом необходимо отметить, что услуги центров по своему характеру могут быть востребованы не только в ходе научных исследований, но и вообще в инновационной деятельности. Некоторые центры предлагают, по сути, производственные услуги высокого технологического уровня. </w:t>
      </w:r>
    </w:p>
    <w:p>
      <w:pPr>
        <w:pStyle w:val="Style19"/>
        <w:rPr/>
      </w:pPr>
      <w:r>
        <w:rPr/>
        <w:t xml:space="preserve">Для некоторой систематизации существующего разнообразия можно выделить следующие типы подобных организаций: </w:t>
      </w:r>
    </w:p>
    <w:p>
      <w:pPr>
        <w:pStyle w:val="Style19"/>
        <w:numPr>
          <w:ilvl w:val="0"/>
          <w:numId w:val="7"/>
        </w:numPr>
        <w:rPr/>
      </w:pPr>
      <w:r>
        <w:rPr/>
        <w:t>ЦКП научно-исследовательского профиля (предоставляют комплекс оборудования для осуществления работ научно-исследовательских организаций);</w:t>
      </w:r>
    </w:p>
    <w:p>
      <w:pPr>
        <w:pStyle w:val="Style19"/>
        <w:numPr>
          <w:ilvl w:val="0"/>
          <w:numId w:val="7"/>
        </w:numPr>
        <w:rPr/>
      </w:pPr>
      <w:r>
        <w:rPr/>
        <w:t xml:space="preserve">ЦКП производственного профиля (перекликаются с инновационно-промыш-ленными комплексами и технопарками и практически не распространены в нашей стране); </w:t>
      </w:r>
    </w:p>
    <w:p>
      <w:pPr>
        <w:pStyle w:val="Style19"/>
        <w:numPr>
          <w:ilvl w:val="0"/>
          <w:numId w:val="7"/>
        </w:numPr>
        <w:rPr/>
      </w:pPr>
      <w:r>
        <w:rPr/>
        <w:t xml:space="preserve">ЦКП, осуществляющие подготовку кадров. </w:t>
      </w:r>
    </w:p>
    <w:p>
      <w:pPr>
        <w:pStyle w:val="Style19"/>
        <w:rPr/>
      </w:pPr>
      <w:r>
        <w:rPr/>
        <w:t xml:space="preserve">Также существуют производственно-технологические, экспертно-консультационные, обучающие, прикладные ЦКП. </w:t>
      </w:r>
    </w:p>
    <w:p>
      <w:pPr>
        <w:pStyle w:val="Style19"/>
        <w:rPr/>
      </w:pPr>
      <w:r>
        <w:rPr/>
      </w:r>
      <w:r>
        <w:br w:type="page"/>
      </w:r>
    </w:p>
    <w:p>
      <w:pPr>
        <w:pStyle w:val="1"/>
        <w:numPr>
          <w:ilvl w:val="0"/>
          <w:numId w:val="2"/>
        </w:numPr>
        <w:rPr/>
      </w:pPr>
      <w:bookmarkStart w:id="8" w:name="__RefHeading___Toc538_1659129561"/>
      <w:bookmarkEnd w:id="8"/>
      <w:r>
        <w:rPr/>
        <w:t>Выводы</w:t>
      </w:r>
    </w:p>
    <w:p>
      <w:pPr>
        <w:pStyle w:val="Style19"/>
        <w:rPr/>
      </w:pPr>
      <w:r>
        <w:rPr/>
        <w:t>Существует большое количество различных организационных форм  инновационной деятельности. Каждое государство, в независимотси от его экономического и политического состояния, должно задумываться о будущем своего развития и развития науки. Поэтому государство должно вкалываться в такие проекты, помогать им развиваться и всячески поощрять. Таким образом будет развиваться наука и расти ВПП.</w:t>
      </w:r>
    </w:p>
    <w:p>
      <w:pPr>
        <w:pStyle w:val="Style19"/>
        <w:rPr/>
      </w:pPr>
      <w:r>
        <w:rPr/>
      </w:r>
      <w:r>
        <w:br w:type="page"/>
      </w:r>
    </w:p>
    <w:p>
      <w:pPr>
        <w:pStyle w:val="Style19"/>
        <w:rPr/>
      </w:pPr>
      <w:r>
        <w:rPr/>
        <w:t xml:space="preserve"> </w:t>
      </w:r>
    </w:p>
    <w:p>
      <w:pPr>
        <w:pStyle w:val="1"/>
        <w:numPr>
          <w:ilvl w:val="0"/>
          <w:numId w:val="2"/>
        </w:numPr>
        <w:rPr/>
      </w:pPr>
      <w:bookmarkStart w:id="9" w:name="__RefHeading___Toc540_1659129561"/>
      <w:bookmarkEnd w:id="9"/>
      <w:r>
        <w:rPr/>
        <w:t>Список литературы</w:t>
      </w:r>
    </w:p>
    <w:p>
      <w:pPr>
        <w:pStyle w:val="Style19"/>
        <w:rPr/>
      </w:pPr>
      <w:r>
        <w:rPr/>
        <w:t xml:space="preserve">1. Организационные формы инновационной деятельности </w:t>
      </w:r>
      <w:r>
        <w:rPr>
          <w:lang w:val="en-US"/>
        </w:rPr>
        <w:t>[</w:t>
      </w:r>
      <w:r>
        <w:rPr>
          <w:lang w:val="ru-RU"/>
        </w:rPr>
        <w:t>Электронный ресурс</w:t>
      </w:r>
      <w:r>
        <w:rPr>
          <w:lang w:val="en-US"/>
        </w:rPr>
        <w:t xml:space="preserve">] Режим доступа: </w:t>
      </w:r>
      <w:r>
        <w:rPr/>
        <w:t xml:space="preserve">URL: </w:t>
      </w:r>
      <w:hyperlink r:id="rId3">
        <w:r>
          <w:rPr>
            <w:rStyle w:val="Style13"/>
          </w:rPr>
          <w:t>https://infopedia.su/20x9957.html</w:t>
        </w:r>
      </w:hyperlink>
      <w:r>
        <w:rPr/>
        <w:t xml:space="preserve"> (Дата обращения: 22.11.2020)</w:t>
      </w:r>
    </w:p>
    <w:p>
      <w:pPr>
        <w:pStyle w:val="Style19"/>
        <w:rPr/>
      </w:pPr>
      <w:r>
        <w:rPr/>
        <w:t xml:space="preserve">2. Центр трансфера технологий </w:t>
      </w:r>
      <w:r>
        <w:rPr>
          <w:lang w:val="en-US"/>
        </w:rPr>
        <w:t>[</w:t>
      </w:r>
      <w:r>
        <w:rPr>
          <w:lang w:val="ru-RU"/>
        </w:rPr>
        <w:t>Электронный ресурс</w:t>
      </w:r>
      <w:r>
        <w:rPr>
          <w:lang w:val="en-US"/>
        </w:rPr>
        <w:t xml:space="preserve">] Режим доступа: </w:t>
      </w:r>
      <w:r>
        <w:rPr/>
        <w:t xml:space="preserve">URL: </w:t>
      </w:r>
      <w:hyperlink r:id="rId4">
        <w:r>
          <w:rPr>
            <w:rStyle w:val="Style13"/>
          </w:rPr>
          <w:t>https://vocable.ru/termin/centr-transfera-tehnologii.html</w:t>
        </w:r>
      </w:hyperlink>
      <w:r>
        <w:rPr/>
        <w:t xml:space="preserve"> (Дата обращения: 22.11.2020)</w:t>
      </w:r>
    </w:p>
    <w:p>
      <w:pPr>
        <w:pStyle w:val="Style19"/>
        <w:spacing w:before="0" w:after="140"/>
        <w:rPr/>
      </w:pPr>
      <w:r>
        <w:rPr/>
        <w:t xml:space="preserve">3. РЕГИОНАЛЬНАЯ ЭКОНОМИКА И УПРАВЛЕНИЕ </w:t>
      </w:r>
      <w:r>
        <w:rPr>
          <w:lang w:val="en-US"/>
        </w:rPr>
        <w:t>[</w:t>
      </w:r>
      <w:r>
        <w:rPr>
          <w:lang w:val="ru-RU"/>
        </w:rPr>
        <w:t>Электронный ресурс</w:t>
      </w:r>
      <w:r>
        <w:rPr>
          <w:lang w:val="en-US"/>
        </w:rPr>
        <w:t xml:space="preserve">] Режим доступа: </w:t>
      </w:r>
      <w:r>
        <w:rPr/>
        <w:t xml:space="preserve">URL: </w:t>
      </w:r>
      <w:hyperlink r:id="rId5">
        <w:r>
          <w:rPr>
            <w:rStyle w:val="Style13"/>
          </w:rPr>
          <w:t>https://studme.org/147398/ekonomika/regionalnaya_ekonomika_i_upravlenie</w:t>
        </w:r>
      </w:hyperlink>
      <w:r>
        <w:rPr/>
        <w:t xml:space="preserve"> (Дата обращения: 22.11.2020)</w:t>
      </w:r>
    </w:p>
    <w:sectPr>
      <w:footerReference w:type="default" r:id="rId6"/>
      <w:footerReference w:type="first" r:id="rId7"/>
      <w:type w:val="nextPage"/>
      <w:pgSz w:w="11906" w:h="16838"/>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fldChar w:fldCharType="begin"/>
    </w:r>
    <w:r>
      <w:rPr/>
      <w:instrText>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bidi w:val="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8"/>
    <w:qFormat/>
    <w:pPr>
      <w:numPr>
        <w:ilvl w:val="0"/>
        <w:numId w:val="1"/>
      </w:numPr>
      <w:spacing w:before="240" w:after="120"/>
      <w:outlineLvl w:val="0"/>
    </w:pPr>
    <w:rPr>
      <w:b/>
      <w:bCs/>
      <w:sz w:val="36"/>
      <w:szCs w:val="36"/>
    </w:rPr>
  </w:style>
  <w:style w:type="character" w:styleId="Style13">
    <w:name w:val="Интернет-ссылка"/>
    <w:rPr>
      <w:color w:val="000080"/>
      <w:u w:val="single"/>
      <w:lang w:val="zxx" w:eastAsia="zxx" w:bidi="zxx"/>
    </w:rPr>
  </w:style>
  <w:style w:type="character" w:styleId="Style14">
    <w:name w:val="Ссылка указателя"/>
    <w:qFormat/>
    <w:rPr/>
  </w:style>
  <w:style w:type="character" w:styleId="Style15">
    <w:name w:val="Выделение жирным"/>
    <w:qFormat/>
    <w:rPr>
      <w:b/>
      <w:bCs/>
    </w:rPr>
  </w:style>
  <w:style w:type="character" w:styleId="Style16">
    <w:name w:val="Маркеры списка"/>
    <w:qFormat/>
    <w:rPr>
      <w:rFonts w:ascii="OpenSymbol" w:hAnsi="OpenSymbol" w:eastAsia="OpenSymbol" w:cs="OpenSymbol"/>
    </w:rPr>
  </w:style>
  <w:style w:type="character" w:styleId="Style17">
    <w:name w:val="Символ нумерации"/>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360" w:before="0" w:after="140"/>
      <w:ind w:left="0" w:right="0" w:firstLine="567"/>
      <w:jc w:val="both"/>
    </w:pPr>
    <w:rPr>
      <w:sz w:val="28"/>
      <w:szCs w:val="28"/>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Верхний и нижний колонтитулы"/>
    <w:basedOn w:val="Normal"/>
    <w:qFormat/>
    <w:pPr>
      <w:suppressLineNumbers/>
      <w:tabs>
        <w:tab w:val="center" w:pos="4819" w:leader="none"/>
        <w:tab w:val="right" w:pos="9638" w:leader="none"/>
      </w:tabs>
    </w:pPr>
    <w:rPr/>
  </w:style>
  <w:style w:type="paragraph" w:styleId="Style24">
    <w:name w:val="Footer"/>
    <w:basedOn w:val="Style23"/>
    <w:pPr>
      <w:suppressLineNumbers/>
    </w:pPr>
    <w:rPr/>
  </w:style>
  <w:style w:type="paragraph" w:styleId="Style25">
    <w:name w:val="Содержимое таблицы"/>
    <w:basedOn w:val="Normal"/>
    <w:qFormat/>
    <w:pPr>
      <w:suppressLineNumbers/>
    </w:pPr>
    <w:rPr/>
  </w:style>
  <w:style w:type="paragraph" w:styleId="TOAHeading">
    <w:name w:val="TOA Heading"/>
    <w:basedOn w:val="Style18"/>
    <w:qFormat/>
    <w:pPr>
      <w:suppressLineNumbers/>
      <w:ind w:left="0" w:right="0" w:hanging="0"/>
    </w:pPr>
    <w:rPr>
      <w:b/>
      <w:bCs/>
      <w:sz w:val="32"/>
      <w:szCs w:val="32"/>
    </w:rPr>
  </w:style>
  <w:style w:type="paragraph" w:styleId="11">
    <w:name w:val="TOC 1"/>
    <w:basedOn w:val="Style22"/>
    <w:pPr>
      <w:tabs>
        <w:tab w:val="right" w:pos="9638" w:leader="dot"/>
      </w:tabs>
      <w:ind w:left="0" w:right="0" w:hanging="0"/>
    </w:pPr>
    <w:rPr/>
  </w:style>
  <w:style w:type="paragraph" w:styleId="Style26">
    <w:name w:val="Заголовок списка"/>
    <w:basedOn w:val="Normal"/>
    <w:qFormat/>
    <w:pPr>
      <w:ind w:left="0" w:right="0" w:hanging="0"/>
    </w:pPr>
    <w:rPr/>
  </w:style>
  <w:style w:type="paragraph" w:styleId="Style27">
    <w:name w:val="Содержимое списка"/>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nfopedia.su/20x9957.html" TargetMode="External"/><Relationship Id="rId4" Type="http://schemas.openxmlformats.org/officeDocument/2006/relationships/hyperlink" Target="https://vocable.ru/termin/centr-transfera-tehnologii.html" TargetMode="External"/><Relationship Id="rId5" Type="http://schemas.openxmlformats.org/officeDocument/2006/relationships/hyperlink" Target="https://studme.org/147398/ekonomika/regionalnaya_ekonomika_i_upravlenie"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LibreOffice/6.0.7.3$Linux_X86_64 LibreOffice_project/00m0$Build-3</Application>
  <Pages>16</Pages>
  <Words>2190</Words>
  <Characters>17388</Characters>
  <CharactersWithSpaces>19492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2020-11-22T18:41:21Z</dcterms:created>
  <dc:creator/>
  <dc:description/>
  <dc:language>ru-RU</dc:language>
  <cp:lastModifiedBy/>
  <dcterms:modified xsi:type="dcterms:W3CDTF">2020-11-24T16:42:08Z</dcterms:modified>
  <cp:revision>8</cp:revision>
  <dc:subject/>
  <dc:title/>
</cp:coreProperties>
</file>