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12. Гносеология Т. Гоббса, его концепция знания и языка.</w:t>
      </w:r>
    </w:p>
    <w:p>
      <w:pPr>
        <w:pStyle w:val="Normal"/>
        <w:spacing w:lineRule="auto" w:line="360"/>
        <w:ind w:left="0" w:right="0" w:firstLine="567"/>
        <w:rPr/>
      </w:pPr>
      <w:r>
        <w:rPr>
          <w:rFonts w:cs="Times New Roman" w:ascii="Times New Roman" w:hAnsi="Times New Roman"/>
          <w:sz w:val="28"/>
          <w:szCs w:val="28"/>
        </w:rPr>
        <w:t xml:space="preserve">Эмпиристическое истолкование знания, имевшее в Англии наиболее длительные традиции и столь энергично защищавшееся Бэконом, было продолжено и Гоббсом. </w:t>
      </w:r>
      <w:r>
        <w:rPr>
          <w:rFonts w:cs="Times New Roman" w:ascii="Times New Roman" w:hAnsi="Times New Roman"/>
          <w:sz w:val="28"/>
          <w:szCs w:val="28"/>
        </w:rPr>
        <w:t>Он</w:t>
      </w:r>
      <w:r>
        <w:rPr>
          <w:rFonts w:cs="Times New Roman" w:ascii="Times New Roman" w:hAnsi="Times New Roman"/>
          <w:sz w:val="28"/>
          <w:szCs w:val="28"/>
        </w:rPr>
        <w:t xml:space="preserve"> полностью разделял основную формулу сенсуализма, согласно которой «нет ни одного понятия в человеческом уме, которое не было бы порождено первоначально, целиком или частично, в органах ощущения». Без ощущения нет ни представлений, ни памяти, ни других компонентов человеческого сознания.</w:t>
      </w:r>
    </w:p>
    <w:p>
      <w:pPr>
        <w:pStyle w:val="Normal"/>
        <w:spacing w:lineRule="auto" w:line="360"/>
        <w:ind w:left="0" w:right="0" w:firstLine="567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Для обыденной жизни такого знания фактов (cognitio) обычно бывает достаточно. Но его совершенно недостаточно для научного знания 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</w:rPr>
        <w:t>scientia), образующего различные теоретические утверждения. Здесь достоверность означает всеобщность, необходимость утверждаемого содержания, которую невозможно почерпнуть ни в каком опыте. В этом важнейшем положении своей методологии Гоббс отклонился от бэконовского эмпиризма и приблизился к линии рационализма. Правда, он не хотел признавать Декарта источником этого компонента своей методологии, ибо расходился с ним в его интерпретации. Гоббс считал основателем науки своего века Галилея и рационалистические компоненты своей гносеологии во многом действительно черпал у него.</w:t>
      </w:r>
    </w:p>
    <w:p>
      <w:pPr>
        <w:pStyle w:val="Normal"/>
        <w:spacing w:lineRule="auto" w:line="360"/>
        <w:ind w:left="0" w:right="0" w:firstLine="567"/>
        <w:rPr/>
      </w:pPr>
      <w:r>
        <w:rPr>
          <w:rFonts w:cs="Times New Roman" w:ascii="Times New Roman" w:hAnsi="Times New Roman"/>
          <w:sz w:val="28"/>
          <w:szCs w:val="28"/>
        </w:rPr>
        <w:t>В духе обоих названных мыслителей и в противоположность Бэкону Гоббс отождествлял науку преж</w:t>
      </w:r>
      <w:r>
        <w:rPr>
          <w:rFonts w:cs="Times New Roman" w:ascii="Times New Roman" w:hAnsi="Times New Roman"/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 xml:space="preserve">е всего с математикой. Правда, он знал только элементарную математику Евклида, «Начала» которого произвели на него очень сильное впечатление. Геометрию и арифметику он именовал чистой математикой, рассматривая, например, физику как прикладную математику . Само же мышление как определенную систему умозаключений Гоббс готов был отождествить с операциями вычисления [см. 143, т. 1, с. 54]. </w:t>
      </w:r>
    </w:p>
    <w:p>
      <w:pPr>
        <w:pStyle w:val="Normal"/>
        <w:spacing w:lineRule="auto" w:line="360"/>
        <w:ind w:left="0" w:right="0" w:firstLine="567"/>
        <w:rPr/>
      </w:pPr>
      <w:r>
        <w:rPr>
          <w:rFonts w:cs="Times New Roman" w:ascii="Times New Roman" w:hAnsi="Times New Roman"/>
          <w:sz w:val="28"/>
          <w:szCs w:val="28"/>
        </w:rPr>
        <w:t>Столь высокую оценку математики как главного проявления, образца достоверного теоретического знания Гоббс стремился сочетать со своей исходной эмпиристической и даже сенсуалистической позицией. Истины математического знания он стремился увязать не с непосредственным чувственным опытом, который не дает всеобщего знания, а со словами человеческого языка. Как номиналист, Гобб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 xml:space="preserve"> фактически отождествлял человеческое мышление с языком. Он составляет другую разновидность опыта, источником которого выступает сам неизменный человеческий ум. Тысячи мыслей, возникающих в нем по поводу воспринятого и представляемого, быстро исчезали бы, если бы они не закреплялись в определенных словах. Слова как бы переводят внутреннюю речь в речь внешнюю, делая возможным общение людей между собой. В этом контексте Гоббс и развивает знаковую концепцию языка. </w:t>
      </w:r>
    </w:p>
    <w:p>
      <w:pPr>
        <w:pStyle w:val="Normal"/>
        <w:spacing w:lineRule="auto" w:line="360"/>
        <w:ind w:left="0" w:right="0" w:firstLine="567"/>
        <w:rPr/>
      </w:pPr>
      <w:r>
        <w:rPr>
          <w:rFonts w:cs="Times New Roman" w:ascii="Times New Roman" w:hAnsi="Times New Roman"/>
          <w:sz w:val="28"/>
          <w:szCs w:val="28"/>
        </w:rPr>
        <w:t xml:space="preserve">Современная концепция языка как знаковой системы признает языки естественные и искусственные. Гоббс же фактически считал искусственным любой язык, рассматривая его как результат человеческого соглашения. Продолжая традицию номинализма, столь сильную именно в Англии, философ называет слова именами 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</w:rPr>
        <w:t xml:space="preserve">nomina), которые всегда условны по отношению к вещам.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Такая условность имени выражается прежде всего в его способности играть роль произвольной метки (nota) по отношению к любой вещи или событию. Метки сугубо индивидуальны и субъективны. Слова на уровне меток не способны наладить общение людей. Оно становится возможным лишь тогда, когда имена-метки становятся именамп-знаками (signa). Они появляются в результате соглашения более или менее значительной группы людей, придающего определенным меткам общезначимое содержание, в результате чего все люди, участвующие в соглашении, понимают данное слово-имя более или менее однозначно. Слова-знаки, делающие возможным духовное общение людей, их обмен мыслями, создают тем самым необходимую предпосылку науки, ибо слова эти складываются в предложения (суждения), а предложения — в умозаключения, составляющие материю доказательства, как учил еще Аристотель. Непрерывное образование новых слов и различие языков племен и народов свидетельствуют, по Гоббсу, об искусственности языков. </w:t>
      </w:r>
    </w:p>
    <w:p>
      <w:pPr>
        <w:pStyle w:val="Normal"/>
        <w:spacing w:lineRule="auto" w:line="360"/>
        <w:ind w:left="0" w:right="0" w:firstLine="567"/>
        <w:rPr/>
      </w:pPr>
      <w:r>
        <w:rPr>
          <w:rFonts w:cs="Times New Roman" w:ascii="Times New Roman" w:hAnsi="Times New Roman"/>
          <w:sz w:val="28"/>
          <w:szCs w:val="28"/>
        </w:rPr>
        <w:t xml:space="preserve">При всей ограниченности этой концепции с современной точки зрения следует зафиксировать, что она стала своеобразным продолжением воззрений, сближавших природу и искусство уже в предшествовавшую, ренессансную эпоху. Не бог, а человек становился здесь творцом своего языка, без которого невозможна никакая культура.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Конвенционалистская концепция языка радикально отрицала популярное уже в античности воззрение, согласно которому слова выражают природу обозначаемых ими вещей. Такое воззрение, весьма характерное и для обыденного мышления, было многократно усилено схоластикой, вернее говоря, схоластическим реализмом. Как не раз отмечалось выше, такой реализм на практике сплошь и рядом выступал как вербализм, подменивший предметное знание словесной игрой. К тому же схоластический реализм онтологизировал понятия-слова, не видя их многозначности (или игнорируя ее). Отсюда догматизм схоластического вербализма, вера в магическую силу слов.</w:t>
      </w:r>
    </w:p>
    <w:p>
      <w:pPr>
        <w:pStyle w:val="Normal"/>
        <w:spacing w:lineRule="auto" w:line="360"/>
        <w:ind w:left="0" w:right="0" w:firstLine="567"/>
        <w:rPr/>
      </w:pPr>
      <w:r>
        <w:rPr>
          <w:rFonts w:cs="Times New Roman" w:ascii="Times New Roman" w:hAnsi="Times New Roman"/>
          <w:sz w:val="28"/>
          <w:szCs w:val="28"/>
        </w:rPr>
        <w:t>Критика схоластического вербализма и догматизма Гоббсом, как и другими философами-новаторами, означала и их стремление к совершенствованию познания и его средств. У Гоббса оно привело к попыткам выработки более точного и гибкого философского языка. «Язык, что паутина,— писал автор «О теле»,— слабые умы цепляются за сл</w:t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>ва и запутываются в них, а более сильные легко сквозь них прорываются» [143, т. 1, с. 79]. «Слабый ум» не видит многозначности слов, он запутывается в них, «как птица в силке, и, чем больше усилий употребит, чтобы вырваться, тем больше увязнет» [143, т. 2, с. 70].</w:t>
      </w:r>
    </w:p>
    <w:p>
      <w:pPr>
        <w:pStyle w:val="Normal"/>
        <w:spacing w:lineRule="auto" w:line="360"/>
        <w:ind w:left="0" w:right="0" w:firstLine="567"/>
        <w:rPr/>
      </w:pPr>
      <w:r>
        <w:rPr>
          <w:rFonts w:cs="Times New Roman" w:ascii="Times New Roman" w:hAnsi="Times New Roman"/>
          <w:sz w:val="28"/>
          <w:szCs w:val="28"/>
        </w:rPr>
        <w:t>Следовательно, не может быть правильного, а тем более точного научного языка без ясного осознания неоднозначности (многозначности) слов. В этом контексте выявляется принципиальное различие в объяснении достоверно математического знания между рационалистом Декартом и сенсуалистом Гоббсом. Если для первого из них исходные основания знания — это интуиции как некие непосред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>твенн</w:t>
      </w:r>
      <w:r>
        <w:rPr>
          <w:rFonts w:cs="Times New Roman" w:ascii="Times New Roman" w:hAnsi="Times New Roman"/>
          <w:sz w:val="28"/>
          <w:szCs w:val="28"/>
        </w:rPr>
        <w:t>ые</w:t>
      </w:r>
      <w:r>
        <w:rPr>
          <w:rFonts w:cs="Times New Roman" w:ascii="Times New Roman" w:hAnsi="Times New Roman"/>
          <w:sz w:val="28"/>
          <w:szCs w:val="28"/>
        </w:rPr>
        <w:t xml:space="preserve"> усмотрения человеческого ума, то для второго не может быть интуици</w:t>
      </w:r>
      <w:r>
        <w:rPr>
          <w:rFonts w:cs="Times New Roman" w:ascii="Times New Roman" w:hAnsi="Times New Roman"/>
          <w:sz w:val="28"/>
          <w:szCs w:val="28"/>
        </w:rPr>
        <w:t>й</w:t>
      </w:r>
      <w:r>
        <w:rPr>
          <w:rFonts w:cs="Times New Roman" w:ascii="Times New Roman" w:hAnsi="Times New Roman"/>
          <w:sz w:val="28"/>
          <w:szCs w:val="28"/>
        </w:rPr>
        <w:t xml:space="preserve">, но могут и должны быть дефиниции, по возможности точные определения слов, фиксирующие должное их значение.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Заменяя, таким образом, проблему интуиции проблемой дефиниции, Гоббс придает в методологии первостепенное значение умению составлять точные определения.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 расхождения Гоббса с Декартом шло дальше противопоставления дефиниций интуициям. По убеждению автора «Левиафана», все существующие вещи только единичны. Поскольку же «в мире нет ничего общего, кроме имен» [143, т. 2, с. 67], последние суть знаки не вещей самих по себе, а только наших мыслей о них. Тем самым номинализм Гоббса — не крайний номинализм, отрицающий общее не только за пределами ума, но и в самом уме, а номинализм умеренный, не отрицающий общего в познающем уме, хотя и сводящий его к словам («именам»).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Тем не менее отрицание онтологического статуса общего приводило Гоббса и к отрицанию объективного, находящегося вне ума содержания достоверного знания. Поскольку «истина — свойство не вещей, а суждений о них», «между именами и вещами нет никакого сходства и недопустимо никакое сравнение» [143, т. 1, с. 78, 63]. Номинализм Гоббса закономерно привел его к отрыву слова от понятия и даже к противопоставлению их. Наиболее общие понятия с этой точки зрения — только абстрактные имена, имена имен. Отсюда углубление конвенционализма Гоббса, считавшего произвольным не только язык, но и положения науки, основывающиеся на нем. Согласно автору «О теле», условны — в противоположность Декарту — даже математические аксиомы [см. 143, т. 1, с. 79 — 80].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 позиций номинализма и сенсуализма Гоббс возражал и на «Метафизические размышления» Декарта. Идея для первого из них — представление, порожденное предметом восприятия в человеческом сознании, в то время как для второго — все то, что непосредственно воспринимается человеческим умом, для которого предметы являются уже чем-то вторичным. Позиция Гоббса здесь материалистична. </w:t>
      </w:r>
    </w:p>
    <w:p>
      <w:pPr>
        <w:pStyle w:val="Normal"/>
        <w:spacing w:lineRule="auto" w:line="360"/>
        <w:ind w:left="0" w:right="0" w:firstLine="567"/>
        <w:rPr/>
      </w:pPr>
      <w:r>
        <w:rPr>
          <w:rFonts w:cs="Times New Roman" w:ascii="Times New Roman" w:hAnsi="Times New Roman"/>
          <w:sz w:val="28"/>
          <w:szCs w:val="28"/>
        </w:rPr>
        <w:t xml:space="preserve">Он считал, что знаменитое рассуждение Декарта: «Я мыслю, следовательно, я существую» — должно привести нас только к убеждению, что мыслящий субъект представляет собой нечто телесное. Вывод же Декарта о том, что мыслящий человек есть мышление, равносилен выводу о том, что прогуливающийся человек есть прогулка. В этом картезианском выводе Гоббс усматривал своего рода пережиток схоластического реализма, ибо именно схоласты «обычно говорят так: разум познает, зрение видит, воля хочет» [143, т. 1, с. 418].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Материалистическая позиция Гоббса углублялась и в связи с его отрицанием врожденности идеи бога как актуально бесконечного существа. Для Декарта эта идея — наиболее ясная идея человеческого ума, лежащая в основе так называемого онтологического доказательства бытия бога. Для Гоббса же эта идея — только темная универсалия, образующаяся в результате нашей неспособности сосчитать бесконечное или положить предел увеличению или уменьшению чего-либо. Поскольку «понять мы можем только конечное» [143, т. 1, с. 392], бесконечность существует для Гоббса только как потенциальная, а не актуальная. </w:t>
      </w:r>
    </w:p>
    <w:p>
      <w:pPr>
        <w:pStyle w:val="Normal"/>
        <w:spacing w:lineRule="auto" w:line="360"/>
        <w:ind w:left="0" w:righ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Следует подчеркнуть, что и Декарту, и Гоббсу не хватало понимания диалектического единства непосредственного и опосредствованного моментов познания. В такой гносеологической ситуации можно констатировать преимущество Гоббса перед Декартом в понимании зависимости всего содержания человеческого сознания и познания от чувственной деятельности человека. Но и Декарт имел преимущество перед Гоббсом в понимании характера достоверноматематического знания, которое в ту эпоху более убедительно обосновывалось положением о внеопытности исходных, интуитивно постигаемых истин.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5</Pages>
  <Words>1244</Words>
  <Characters>8151</Characters>
  <CharactersWithSpaces>9403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2020-12-10T20:47:35Z</dcterms:created>
  <dc:creator/>
  <dc:description/>
  <dc:language>ru-RU</dc:language>
  <cp:lastModifiedBy/>
  <dcterms:modified xsi:type="dcterms:W3CDTF">2020-12-10T22:45:56Z</dcterms:modified>
  <cp:revision>3</cp:revision>
  <dc:subject/>
  <dc:title/>
</cp:coreProperties>
</file>