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1C31C">
      <w:pPr>
        <w:pStyle w:val="2"/>
        <w:rPr>
          <w:rFonts w:ascii="楷体" w:hAnsi="楷体" w:eastAsia="楷体"/>
        </w:rPr>
      </w:pPr>
      <w:bookmarkStart w:id="0" w:name="嵌入式开发外包需求说明书商务版-手办版含跨端协作边界"/>
      <w:r>
        <w:rPr>
          <w:rFonts w:hint="eastAsia" w:ascii="楷体" w:hAnsi="楷体" w:eastAsia="楷体"/>
        </w:rPr>
        <w:t>嵌入式开发外包需求说明书（手办版）（含跨端协作边界）</w:t>
      </w:r>
    </w:p>
    <w:p w14:paraId="3D43CA25">
      <w:pPr>
        <w:pStyle w:val="24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文档编号：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b/>
          <w:bCs/>
        </w:rPr>
        <w:t>版本号：</w:t>
      </w:r>
      <w:r>
        <w:rPr>
          <w:rFonts w:ascii="楷体" w:hAnsi="楷体" w:eastAsia="楷体"/>
        </w:rPr>
        <w:t xml:space="preserve"> V1.0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b/>
          <w:bCs/>
        </w:rPr>
        <w:t>编制日期：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2026年08月</w:t>
      </w:r>
      <w:r>
        <w:rPr>
          <w:rFonts w:ascii="楷体" w:hAnsi="楷体" w:eastAsia="楷体"/>
        </w:rPr>
        <w:br w:type="textWrapping"/>
      </w:r>
      <w:r>
        <w:rPr>
          <w:rFonts w:hint="eastAsia" w:ascii="楷体" w:hAnsi="楷体" w:eastAsia="楷体"/>
          <w:b/>
          <w:bCs/>
        </w:rPr>
        <w:t>编制部门：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产品部</w:t>
      </w:r>
    </w:p>
    <w:p w14:paraId="0039515D">
      <w:pPr>
        <w:pStyle w:val="4"/>
        <w:rPr>
          <w:rFonts w:ascii="楷体" w:hAnsi="楷体" w:eastAsia="楷体"/>
        </w:rPr>
      </w:pPr>
      <w:bookmarkStart w:id="1" w:name="责任归属说明"/>
      <w:r>
        <w:rPr>
          <w:rFonts w:hint="eastAsia" w:ascii="楷体" w:hAnsi="楷体" w:eastAsia="楷体"/>
        </w:rPr>
        <w:t>责任归属说明</w:t>
      </w:r>
    </w:p>
    <w:p w14:paraId="2A60916D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本文档中每个功能模块均标注了责任归属标签，以便外包团队清晰了解自身工作范围及与其他团队的协作边界。责任归属分为以下三类：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B28E6AF">
        <w:trPr>
          <w:tblHeader/>
        </w:trPr>
        <w:tc>
          <w:tcPr>
            <w:tcW w:w="2640" w:type="dxa"/>
            <w:tcBorders>
              <w:bottom w:val="nil"/>
            </w:tcBorders>
            <w:vAlign w:val="bottom"/>
          </w:tcPr>
          <w:p w14:paraId="360991E5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标签</w:t>
            </w:r>
          </w:p>
        </w:tc>
        <w:tc>
          <w:tcPr>
            <w:tcW w:w="2640" w:type="dxa"/>
            <w:tcBorders>
              <w:bottom w:val="nil"/>
            </w:tcBorders>
            <w:vAlign w:val="bottom"/>
          </w:tcPr>
          <w:p w14:paraId="0FB59055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含义</w:t>
            </w:r>
          </w:p>
        </w:tc>
        <w:tc>
          <w:tcPr>
            <w:tcW w:w="2640" w:type="dxa"/>
            <w:tcBorders>
              <w:bottom w:val="nil"/>
            </w:tcBorders>
            <w:vAlign w:val="bottom"/>
          </w:tcPr>
          <w:p w14:paraId="139EDC98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</w:tr>
      <w:tr w14:paraId="187EFD29">
        <w:tc>
          <w:tcPr>
            <w:tcW w:w="2640" w:type="dxa"/>
          </w:tcPr>
          <w:p w14:paraId="7A221084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【嵌入式独占】</w:t>
            </w:r>
          </w:p>
        </w:tc>
        <w:tc>
          <w:tcPr>
            <w:tcW w:w="2640" w:type="dxa"/>
          </w:tcPr>
          <w:p w14:paraId="1118A5A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纯嵌入式团队工作</w:t>
            </w:r>
          </w:p>
        </w:tc>
        <w:tc>
          <w:tcPr>
            <w:tcW w:w="2640" w:type="dxa"/>
          </w:tcPr>
          <w:p w14:paraId="434F4BBE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由外包嵌入式团队独立完成，不涉及其他团队</w:t>
            </w:r>
          </w:p>
        </w:tc>
      </w:tr>
      <w:tr w14:paraId="57335EAD">
        <w:tc>
          <w:tcPr>
            <w:tcW w:w="2640" w:type="dxa"/>
          </w:tcPr>
          <w:p w14:paraId="3B434623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【嵌入式+联调】</w:t>
            </w:r>
          </w:p>
        </w:tc>
        <w:tc>
          <w:tcPr>
            <w:tcW w:w="2640" w:type="dxa"/>
          </w:tcPr>
          <w:p w14:paraId="7ACCB30B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嵌入式与其他端协作</w:t>
            </w:r>
          </w:p>
        </w:tc>
        <w:tc>
          <w:tcPr>
            <w:tcW w:w="2640" w:type="dxa"/>
          </w:tcPr>
          <w:p w14:paraId="126EF551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嵌入式团队需与其他团队对接接口、联调测试，但具体实现由对方负责</w:t>
            </w:r>
          </w:p>
        </w:tc>
      </w:tr>
      <w:tr w14:paraId="29F82C27">
        <w:tc>
          <w:tcPr>
            <w:tcW w:w="2640" w:type="dxa"/>
          </w:tcPr>
          <w:p w14:paraId="2F050DB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【非嵌入式】</w:t>
            </w:r>
          </w:p>
        </w:tc>
        <w:tc>
          <w:tcPr>
            <w:tcW w:w="2640" w:type="dxa"/>
          </w:tcPr>
          <w:p w14:paraId="26F0F0D5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非嵌入式团队工作</w:t>
            </w:r>
          </w:p>
        </w:tc>
        <w:tc>
          <w:tcPr>
            <w:tcW w:w="2640" w:type="dxa"/>
          </w:tcPr>
          <w:p w14:paraId="70A6BA76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由AI算法团队、后端团队或小程序前端团队负责，嵌入式团队仅需提供数据接口或配合</w:t>
            </w:r>
          </w:p>
        </w:tc>
      </w:tr>
    </w:tbl>
    <w:p w14:paraId="26471422">
      <w:pPr>
        <w:pStyle w:val="3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以下按章节逐模块标注责任归属。</w:t>
      </w:r>
    </w:p>
    <w:bookmarkEnd w:id="1"/>
    <w:p w14:paraId="238FC42F">
      <w:pPr>
        <w:pStyle w:val="4"/>
        <w:rPr>
          <w:rFonts w:ascii="楷体" w:hAnsi="楷体" w:eastAsia="楷体"/>
        </w:rPr>
      </w:pPr>
      <w:bookmarkStart w:id="2" w:name="第一章-项目背景"/>
      <w:r>
        <w:rPr>
          <w:rFonts w:hint="eastAsia" w:ascii="楷体" w:hAnsi="楷体" w:eastAsia="楷体"/>
        </w:rPr>
        <w:t>第一章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项目背景</w:t>
      </w:r>
    </w:p>
    <w:p w14:paraId="37748CB1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随着公司业务的快速扩展，嵌入式产品线的开发需求持续增长。为优化资源配置、降低研发成本，经公司管理层决策，拟将嵌入式底层驱动开发与硬件适配部分外包给专业团队完成。本文档旨在明确外包范围、功能需求、技术指标及验收标准，确保外包团队能够准确理解并高效交付。</w:t>
      </w:r>
    </w:p>
    <w:p w14:paraId="34F57D11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项目涉及产品——手办式AI助手，与家庭版共享部分硬件平台与基础驱动，但在功能定位、核心卖点和差异化功能上各有侧重。以下需求按”公共模块”与”版本差异化模块”进行划分，便于外包团队分模块并行开发。</w:t>
      </w:r>
    </w:p>
    <w:p w14:paraId="6258E57F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手办式AI助手采用”手办外观+基座硬件”的独特形态，手办本身仅为外观展示模型，不包含任何电子元件；基座内集成所有硬件（主板、音频、电池、按键、WiFi、SD卡等），负责全部语音对话能力。产品交互完全通过纯语音完成（麦克风采集+扬声器TTS播放），无屏幕、无UI、无触摸。</w:t>
      </w:r>
    </w:p>
    <w:p w14:paraId="636899EA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【重要说明】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本文档已对各模块的责任归属进行明确标注（见”责任归属说明”章节），外包团队仅需关注标注为【嵌入式独占】和【嵌入式+联调】的模块，标注为【非嵌入式】的模块由其他团队负责，但嵌入式团队需了解相关接口要求以配合联调。</w:t>
      </w:r>
    </w:p>
    <w:bookmarkEnd w:id="2"/>
    <w:p w14:paraId="0EE21F1F">
      <w:pPr>
        <w:pStyle w:val="4"/>
        <w:rPr>
          <w:rFonts w:ascii="楷体" w:hAnsi="楷体" w:eastAsia="楷体"/>
        </w:rPr>
      </w:pPr>
      <w:bookmarkStart w:id="3" w:name="第二章-产品概述"/>
      <w:r>
        <w:rPr>
          <w:rFonts w:hint="eastAsia" w:ascii="楷体" w:hAnsi="楷体" w:eastAsia="楷体"/>
        </w:rPr>
        <w:t>第二章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产品概述</w:t>
      </w:r>
    </w:p>
    <w:p w14:paraId="526E98D3">
      <w:pPr>
        <w:pStyle w:val="5"/>
        <w:rPr>
          <w:rFonts w:ascii="楷体" w:hAnsi="楷体" w:eastAsia="楷体"/>
        </w:rPr>
      </w:pPr>
      <w:bookmarkStart w:id="4" w:name="商务版产品概述"/>
      <w:r>
        <w:rPr>
          <w:rFonts w:ascii="楷体" w:hAnsi="楷体" w:eastAsia="楷体"/>
        </w:rPr>
        <w:t xml:space="preserve">2.2 </w:t>
      </w:r>
      <w:r>
        <w:rPr>
          <w:rFonts w:hint="eastAsia" w:ascii="楷体" w:hAnsi="楷体" w:eastAsia="楷体"/>
        </w:rPr>
        <w:t>产品概述</w:t>
      </w:r>
    </w:p>
    <w:p w14:paraId="7FC15291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产品定位为”私人数字隐私安全舱”，采用手办外观+基座硬件的独特形态，所有交互通过纯语音对话完成。核心卖点聚焦于高净值人群与年轻职场人群的隐私安全需求。产品强调本地数据完全归个人所有，支持一键导出与一键永久销毁。此外，与家用版共享”一人多机、数据互通、人格同步”全端共有能力，同一AI人格、同一记忆库、同一思维可跨设备同步成长，打造用户终身专属的AI分身矩阵。（详见”2.3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全端共有能力”章节。）</w:t>
      </w:r>
    </w:p>
    <w:bookmarkEnd w:id="4"/>
    <w:p w14:paraId="7EFD8138">
      <w:pPr>
        <w:pStyle w:val="5"/>
        <w:rPr>
          <w:rFonts w:ascii="楷体" w:hAnsi="楷体" w:eastAsia="楷体"/>
        </w:rPr>
      </w:pPr>
      <w:bookmarkStart w:id="5" w:name="全端共有能力一人多机数据互通人格同步"/>
      <w:r>
        <w:rPr>
          <w:rFonts w:ascii="楷体" w:hAnsi="楷体" w:eastAsia="楷体"/>
        </w:rPr>
        <w:t xml:space="preserve">2.3 </w:t>
      </w:r>
      <w:r>
        <w:rPr>
          <w:rFonts w:hint="eastAsia" w:ascii="楷体" w:hAnsi="楷体" w:eastAsia="楷体"/>
        </w:rPr>
        <w:t>全端共有能力：一人多机、数据互通、人格同步</w:t>
      </w:r>
    </w:p>
    <w:p w14:paraId="75394F04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【后端+小程序端</w:t>
      </w:r>
      <w:r>
        <w:rPr>
          <w:rFonts w:ascii="楷体" w:hAnsi="楷体" w:eastAsia="楷体"/>
        </w:rPr>
        <w:t xml:space="preserve"> + </w:t>
      </w:r>
      <w:r>
        <w:rPr>
          <w:rFonts w:hint="eastAsia" w:ascii="楷体" w:hAnsi="楷体" w:eastAsia="楷体"/>
        </w:rPr>
        <w:t>嵌入式联调】</w:t>
      </w:r>
    </w:p>
    <w:p w14:paraId="0A0C3343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以下能力为全版本有。主要由后端团队负责，嵌入式团队需配合提供设备端数据接口：</w:t>
      </w:r>
    </w:p>
    <w:p w14:paraId="2D20668F">
      <w:pPr>
        <w:pStyle w:val="25"/>
        <w:numPr>
          <w:ilvl w:val="0"/>
          <w:numId w:val="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同一AI人格：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多设备共享同一AI人格设定。——后端团队负责人格数据管理，嵌入式团队负责读取本地人格配置。</w:t>
      </w:r>
    </w:p>
    <w:p w14:paraId="6F9760DB">
      <w:pPr>
        <w:pStyle w:val="25"/>
        <w:numPr>
          <w:ilvl w:val="0"/>
          <w:numId w:val="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同一记忆库：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多设备共享同一记忆数据，跨设备记忆不丢失。——后端团队负责记忆库同步服务，嵌入式团队负责本地记忆缓存。</w:t>
      </w:r>
    </w:p>
    <w:p w14:paraId="756F26D4">
      <w:pPr>
        <w:pStyle w:val="25"/>
        <w:numPr>
          <w:ilvl w:val="0"/>
          <w:numId w:val="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同一思维：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多设备共享同一思维模型，同步成长。——后端团队负责模型更新分发，嵌入式团队负责模型加载。</w:t>
      </w:r>
    </w:p>
    <w:p w14:paraId="5A883DDC">
      <w:pPr>
        <w:pStyle w:val="25"/>
        <w:numPr>
          <w:ilvl w:val="0"/>
          <w:numId w:val="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打造用户终身专属的AI分身矩阵：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实现跨设备无缝切换。该能力为全端共有功能，家用版与商务版均支持，不局限于商务版。</w:t>
      </w:r>
    </w:p>
    <w:bookmarkEnd w:id="3"/>
    <w:bookmarkEnd w:id="5"/>
    <w:p w14:paraId="11AE1DB4">
      <w:pPr>
        <w:pStyle w:val="4"/>
        <w:rPr>
          <w:rFonts w:ascii="楷体" w:hAnsi="楷体" w:eastAsia="楷体"/>
        </w:rPr>
      </w:pPr>
      <w:bookmarkStart w:id="6" w:name="第三章-硬件平台要求"/>
      <w:r>
        <w:rPr>
          <w:rFonts w:hint="eastAsia" w:ascii="楷体" w:hAnsi="楷体" w:eastAsia="楷体"/>
        </w:rPr>
        <w:t>第三章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硬件平台要求</w:t>
      </w:r>
    </w:p>
    <w:p w14:paraId="58654F4D">
      <w:pPr>
        <w:pStyle w:val="5"/>
        <w:rPr>
          <w:rFonts w:ascii="楷体" w:hAnsi="楷体" w:eastAsia="楷体"/>
        </w:rPr>
      </w:pPr>
      <w:bookmarkStart w:id="7" w:name="核心硬件清单"/>
      <w:r>
        <w:rPr>
          <w:rFonts w:ascii="楷体" w:hAnsi="楷体" w:eastAsia="楷体"/>
        </w:rPr>
        <w:t xml:space="preserve">3.1 </w:t>
      </w:r>
      <w:r>
        <w:rPr>
          <w:rFonts w:hint="eastAsia" w:ascii="楷体" w:hAnsi="楷体" w:eastAsia="楷体"/>
        </w:rPr>
        <w:t>核心硬件清单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268"/>
        <w:gridCol w:w="5244"/>
      </w:tblGrid>
      <w:tr w14:paraId="5DAEDD84">
        <w:trPr>
          <w:tblHeader/>
        </w:trPr>
        <w:tc>
          <w:tcPr>
            <w:tcW w:w="1101" w:type="dxa"/>
            <w:tcBorders>
              <w:bottom w:val="nil"/>
            </w:tcBorders>
            <w:vAlign w:val="bottom"/>
          </w:tcPr>
          <w:p w14:paraId="2019261E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序号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67E9CC02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硬件模块</w:t>
            </w:r>
          </w:p>
        </w:tc>
        <w:tc>
          <w:tcPr>
            <w:tcW w:w="5244" w:type="dxa"/>
            <w:tcBorders>
              <w:bottom w:val="nil"/>
            </w:tcBorders>
            <w:vAlign w:val="bottom"/>
          </w:tcPr>
          <w:p w14:paraId="261A1E6E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</w:tr>
      <w:tr w14:paraId="36E26B79">
        <w:tc>
          <w:tcPr>
            <w:tcW w:w="1101" w:type="dxa"/>
          </w:tcPr>
          <w:p w14:paraId="403AC50F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</w:p>
        </w:tc>
        <w:tc>
          <w:tcPr>
            <w:tcW w:w="2268" w:type="dxa"/>
          </w:tcPr>
          <w:p w14:paraId="6DA830AA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主板</w:t>
            </w:r>
          </w:p>
        </w:tc>
        <w:tc>
          <w:tcPr>
            <w:tcW w:w="5244" w:type="dxa"/>
          </w:tcPr>
          <w:p w14:paraId="11A6B402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主控芯片，需支持WiFi、音频等外设接口</w:t>
            </w:r>
          </w:p>
        </w:tc>
      </w:tr>
      <w:tr w14:paraId="02B2C315">
        <w:tc>
          <w:tcPr>
            <w:tcW w:w="1101" w:type="dxa"/>
          </w:tcPr>
          <w:p w14:paraId="6C9D124F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</w:p>
        </w:tc>
        <w:tc>
          <w:tcPr>
            <w:tcW w:w="2268" w:type="dxa"/>
          </w:tcPr>
          <w:p w14:paraId="66A2FE7C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麦克风</w:t>
            </w:r>
          </w:p>
        </w:tc>
        <w:tc>
          <w:tcPr>
            <w:tcW w:w="5244" w:type="dxa"/>
          </w:tcPr>
          <w:p w14:paraId="1AB9F921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用于语音采集、实时录音</w:t>
            </w:r>
          </w:p>
        </w:tc>
      </w:tr>
      <w:tr w14:paraId="58B822ED">
        <w:tc>
          <w:tcPr>
            <w:tcW w:w="1101" w:type="dxa"/>
          </w:tcPr>
          <w:p w14:paraId="537FA4DF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3</w:t>
            </w:r>
          </w:p>
        </w:tc>
        <w:tc>
          <w:tcPr>
            <w:tcW w:w="2268" w:type="dxa"/>
          </w:tcPr>
          <w:p w14:paraId="128C101B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扬声器（喇叭）</w:t>
            </w:r>
          </w:p>
        </w:tc>
        <w:tc>
          <w:tcPr>
            <w:tcW w:w="5244" w:type="dxa"/>
          </w:tcPr>
          <w:p w14:paraId="21153B40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用于TTS语音播放</w:t>
            </w:r>
          </w:p>
        </w:tc>
      </w:tr>
      <w:tr w14:paraId="06BD95C5">
        <w:tc>
          <w:tcPr>
            <w:tcW w:w="1101" w:type="dxa"/>
          </w:tcPr>
          <w:p w14:paraId="2F548BDF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4</w:t>
            </w:r>
          </w:p>
        </w:tc>
        <w:tc>
          <w:tcPr>
            <w:tcW w:w="2268" w:type="dxa"/>
          </w:tcPr>
          <w:p w14:paraId="7B805F05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锂电池</w:t>
            </w:r>
          </w:p>
        </w:tc>
        <w:tc>
          <w:tcPr>
            <w:tcW w:w="5244" w:type="dxa"/>
          </w:tcPr>
          <w:p w14:paraId="03138373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供能电源，需支持充放电管理</w:t>
            </w:r>
          </w:p>
        </w:tc>
      </w:tr>
      <w:tr w14:paraId="625ECF0E">
        <w:tc>
          <w:tcPr>
            <w:tcW w:w="1101" w:type="dxa"/>
          </w:tcPr>
          <w:p w14:paraId="61DB5D3F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5</w:t>
            </w:r>
          </w:p>
        </w:tc>
        <w:tc>
          <w:tcPr>
            <w:tcW w:w="2268" w:type="dxa"/>
          </w:tcPr>
          <w:p w14:paraId="4AF3BD82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实体按键</w:t>
            </w:r>
          </w:p>
        </w:tc>
        <w:tc>
          <w:tcPr>
            <w:tcW w:w="5244" w:type="dxa"/>
          </w:tcPr>
          <w:p w14:paraId="497E4FF2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机身物理按键，支持短按、长按多档位逻辑识别</w:t>
            </w:r>
          </w:p>
        </w:tc>
      </w:tr>
      <w:tr w14:paraId="290BE53E">
        <w:tc>
          <w:tcPr>
            <w:tcW w:w="1101" w:type="dxa"/>
          </w:tcPr>
          <w:p w14:paraId="1DE7A3ED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6</w:t>
            </w:r>
          </w:p>
        </w:tc>
        <w:tc>
          <w:tcPr>
            <w:tcW w:w="2268" w:type="dxa"/>
          </w:tcPr>
          <w:p w14:paraId="4FB1A28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Micro-SD卡槽</w:t>
            </w:r>
          </w:p>
        </w:tc>
        <w:tc>
          <w:tcPr>
            <w:tcW w:w="5244" w:type="dxa"/>
          </w:tcPr>
          <w:p w14:paraId="6FDA1308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用于本地存储扩展</w:t>
            </w:r>
          </w:p>
        </w:tc>
      </w:tr>
      <w:bookmarkEnd w:id="7"/>
    </w:tbl>
    <w:p w14:paraId="3E4A3EE0">
      <w:pPr>
        <w:pStyle w:val="5"/>
        <w:rPr>
          <w:rFonts w:ascii="楷体" w:hAnsi="楷体" w:eastAsia="楷体"/>
        </w:rPr>
      </w:pPr>
      <w:bookmarkStart w:id="8" w:name="外观结构设计要求"/>
      <w:r>
        <w:rPr>
          <w:rFonts w:ascii="楷体" w:hAnsi="楷体" w:eastAsia="楷体"/>
        </w:rPr>
        <w:t xml:space="preserve">3.2 </w:t>
      </w:r>
      <w:r>
        <w:rPr>
          <w:rFonts w:hint="eastAsia" w:ascii="楷体" w:hAnsi="楷体" w:eastAsia="楷体"/>
        </w:rPr>
        <w:t>外观结构设计要求</w:t>
      </w:r>
    </w:p>
    <w:p w14:paraId="4CB59C91">
      <w:pPr>
        <w:pStyle w:val="25"/>
        <w:numPr>
          <w:ilvl w:val="0"/>
          <w:numId w:val="2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预留手办外观模型卡扣/磁吸接口，适配不同造型手办模型。</w:t>
      </w:r>
    </w:p>
    <w:p w14:paraId="17A202F9">
      <w:pPr>
        <w:pStyle w:val="25"/>
        <w:numPr>
          <w:ilvl w:val="0"/>
          <w:numId w:val="2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基座内部设计：Micro-SD插槽开孔、散热孔、出音孔等结构预留。</w:t>
      </w:r>
    </w:p>
    <w:p w14:paraId="1A3D88E6">
      <w:pPr>
        <w:pStyle w:val="25"/>
        <w:numPr>
          <w:ilvl w:val="0"/>
          <w:numId w:val="2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根据硬件配件（主板、麦克风、喇叭、锂电池、实体按键）实物测绘尺寸，从零设计基座内部腔体、走线槽、电池仓、充电口。</w:t>
      </w:r>
    </w:p>
    <w:p w14:paraId="729056BB">
      <w:pPr>
        <w:pStyle w:val="25"/>
        <w:numPr>
          <w:ilvl w:val="0"/>
          <w:numId w:val="2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基座底部设计防滑垫，确保放置稳定。</w:t>
      </w:r>
    </w:p>
    <w:p w14:paraId="56F7EBD9">
      <w:pPr>
        <w:pStyle w:val="25"/>
        <w:numPr>
          <w:ilvl w:val="0"/>
          <w:numId w:val="2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手办模型可拆卸设计，便于维修和更换外观。</w:t>
      </w:r>
    </w:p>
    <w:bookmarkEnd w:id="6"/>
    <w:bookmarkEnd w:id="8"/>
    <w:p w14:paraId="4BC968F0">
      <w:pPr>
        <w:pStyle w:val="4"/>
        <w:rPr>
          <w:rFonts w:ascii="楷体" w:hAnsi="楷体" w:eastAsia="楷体"/>
        </w:rPr>
      </w:pPr>
      <w:bookmarkStart w:id="9" w:name="第四章-功能模块需求"/>
      <w:r>
        <w:rPr>
          <w:rFonts w:hint="eastAsia" w:ascii="楷体" w:hAnsi="楷体" w:eastAsia="楷体"/>
        </w:rPr>
        <w:t>第四章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功能模块需求</w:t>
      </w:r>
    </w:p>
    <w:p w14:paraId="6CD066EA">
      <w:pPr>
        <w:pStyle w:val="5"/>
        <w:rPr>
          <w:rFonts w:ascii="楷体" w:hAnsi="楷体" w:eastAsia="楷体"/>
        </w:rPr>
      </w:pPr>
      <w:bookmarkStart w:id="10" w:name="音频外设驱动"/>
      <w:r>
        <w:rPr>
          <w:rFonts w:ascii="楷体" w:hAnsi="楷体" w:eastAsia="楷体"/>
        </w:rPr>
        <w:t xml:space="preserve">4.1 </w:t>
      </w:r>
      <w:r>
        <w:rPr>
          <w:rFonts w:hint="eastAsia" w:ascii="楷体" w:hAnsi="楷体" w:eastAsia="楷体"/>
        </w:rPr>
        <w:t>手办基座外观与结构设计</w:t>
      </w:r>
    </w:p>
    <w:p w14:paraId="158743A6">
      <w:pPr>
        <w:pStyle w:val="3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drawing>
          <wp:inline distT="0" distB="0" distL="0" distR="0">
            <wp:extent cx="5486400" cy="3878580"/>
            <wp:effectExtent l="0" t="0" r="0" b="0"/>
            <wp:docPr id="4" name="图片 4" descr="C:\Users\Administrator\Downloads\桌面版 ＋ 车载版多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ownloads\桌面版 ＋ 车载版多视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FEDF">
      <w:pPr>
        <w:pStyle w:val="3"/>
        <w:ind w:firstLine="480" w:firstLineChars="200"/>
        <w:rPr>
          <w:rFonts w:ascii="楷体" w:hAnsi="楷体" w:eastAsia="楷体"/>
        </w:rPr>
      </w:pPr>
    </w:p>
    <w:p w14:paraId="578F0A21">
      <w:pPr>
        <w:pStyle w:val="3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drawing>
          <wp:inline distT="0" distB="0" distL="0" distR="0">
            <wp:extent cx="5080000" cy="3810000"/>
            <wp:effectExtent l="0" t="0" r="0" b="0"/>
            <wp:docPr id="1" name="图片 1" descr="D:\WeiXinMessage\xwechat_files\wxid_eamldybt731j22_04f2\temp\RWTemp\2026-08\90cea7e4d8cc1250114451de67f8c3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WeiXinMessage\xwechat_files\wxid_eamldybt731j22_04f2\temp\RWTemp\2026-08\90cea7e4d8cc1250114451de67f8c3c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5CE4">
      <w:pPr>
        <w:pStyle w:val="3"/>
        <w:ind w:firstLine="480" w:firstLineChars="200"/>
        <w:rPr>
          <w:rFonts w:hint="eastAsia" w:ascii="楷体" w:hAnsi="楷体" w:eastAsia="楷体"/>
          <w:lang w:eastAsia="zh-CN"/>
        </w:rPr>
      </w:pPr>
      <w:r>
        <w:rPr>
          <w:rFonts w:hint="eastAsia" w:ascii="楷体" w:hAnsi="楷体" w:eastAsia="楷体"/>
          <w:lang w:eastAsia="zh-CN"/>
        </w:rPr>
        <w:drawing>
          <wp:inline distT="0" distB="0" distL="114300" distR="114300">
            <wp:extent cx="5081905" cy="3811905"/>
            <wp:effectExtent l="0" t="0" r="23495" b="23495"/>
            <wp:docPr id="5" name="图片 5" descr="剖面结构与厚度分配建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剖面结构与厚度分配建议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44AC">
      <w:pPr>
        <w:pStyle w:val="3"/>
        <w:ind w:firstLine="480" w:firstLineChars="200"/>
        <w:rPr>
          <w:rFonts w:ascii="楷体" w:hAnsi="楷体" w:eastAsia="楷体"/>
        </w:rPr>
      </w:pPr>
    </w:p>
    <w:p w14:paraId="5DEBD297">
      <w:pPr>
        <w:pStyle w:val="3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drawing>
          <wp:inline distT="0" distB="0" distL="0" distR="0">
            <wp:extent cx="4984750" cy="3738880"/>
            <wp:effectExtent l="0" t="0" r="19050" b="20320"/>
            <wp:docPr id="2" name="图片 2" descr="C:\Users\Administrator\Downloads\飞书20260825-164407\智能手办底座• 爆炸结构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wnloads\飞书20260825-164407\智能手办底座• 爆炸结构图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B424">
      <w:pPr>
        <w:pStyle w:val="3"/>
        <w:ind w:firstLine="480" w:firstLineChars="200"/>
        <w:rPr>
          <w:rFonts w:hint="eastAsia" w:ascii="楷体" w:hAnsi="楷体" w:eastAsia="楷体"/>
          <w:lang w:eastAsia="zh-CN"/>
        </w:rPr>
      </w:pPr>
      <w:r>
        <w:rPr>
          <w:rFonts w:hint="eastAsia" w:ascii="楷体" w:hAnsi="楷体" w:eastAsia="楷体"/>
          <w:lang w:eastAsia="zh-CN"/>
        </w:rPr>
        <w:drawing>
          <wp:inline distT="0" distB="0" distL="114300" distR="114300">
            <wp:extent cx="5001260" cy="3751580"/>
            <wp:effectExtent l="0" t="0" r="2540" b="7620"/>
            <wp:docPr id="6" name="图片 6" descr="爆炸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爆炸结构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674">
      <w:pPr>
        <w:pStyle w:val="3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drawing>
          <wp:inline distT="0" distB="0" distL="0" distR="0">
            <wp:extent cx="4848860" cy="3634740"/>
            <wp:effectExtent l="0" t="0" r="2540" b="22860"/>
            <wp:docPr id="3" name="图片 3" descr="C:\Users\Administrator\Downloads\飞书20260825-164407\智能手办底座•核心模块尺寸建议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wnloads\飞书20260825-164407\智能手办底座•核心模块尺寸建议图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6289">
      <w:pPr>
        <w:pStyle w:val="3"/>
        <w:ind w:firstLine="480" w:firstLineChars="200"/>
        <w:rPr>
          <w:rFonts w:hint="eastAsia" w:ascii="楷体" w:hAnsi="楷体" w:eastAsia="楷体"/>
          <w:lang w:eastAsia="zh-CN"/>
        </w:rPr>
      </w:pPr>
      <w:r>
        <w:rPr>
          <w:rFonts w:hint="eastAsia" w:ascii="楷体" w:hAnsi="楷体" w:eastAsia="楷体"/>
          <w:lang w:eastAsia="zh-CN"/>
        </w:rPr>
        <w:drawing>
          <wp:inline distT="0" distB="0" distL="114300" distR="114300">
            <wp:extent cx="4867275" cy="3650615"/>
            <wp:effectExtent l="0" t="0" r="9525" b="6985"/>
            <wp:docPr id="7" name="图片 7" descr="•核心模块尺寸建议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•核心模块尺寸建议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897A">
      <w:pPr>
        <w:pStyle w:val="3"/>
        <w:ind w:firstLine="480" w:firstLineChars="200"/>
        <w:rPr>
          <w:rFonts w:ascii="楷体" w:hAnsi="楷体" w:eastAsia="楷体"/>
        </w:rPr>
      </w:pPr>
    </w:p>
    <w:p w14:paraId="5D0E334E">
      <w:pPr>
        <w:pStyle w:val="3"/>
        <w:rPr>
          <w:rFonts w:ascii="楷体" w:hAnsi="楷体" w:eastAsia="楷体"/>
        </w:rPr>
      </w:pPr>
      <w:bookmarkStart w:id="40" w:name="_GoBack"/>
      <w:bookmarkEnd w:id="40"/>
    </w:p>
    <w:p w14:paraId="13E2E4CA">
      <w:pPr>
        <w:pStyle w:val="5"/>
        <w:rPr>
          <w:rFonts w:ascii="楷体" w:hAnsi="楷体" w:eastAsia="楷体"/>
        </w:rPr>
      </w:pPr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2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音频外设驱动</w:t>
      </w:r>
    </w:p>
    <w:p w14:paraId="41D50729">
      <w:pPr>
        <w:pStyle w:val="6"/>
        <w:rPr>
          <w:rFonts w:ascii="楷体" w:hAnsi="楷体" w:eastAsia="楷体"/>
          <w:i w:val="0"/>
        </w:rPr>
      </w:pPr>
      <w:bookmarkStart w:id="11" w:name="基础音频驱动"/>
      <w:r>
        <w:rPr>
          <w:rFonts w:ascii="楷体" w:hAnsi="楷体" w:eastAsia="楷体"/>
          <w:i w:val="0"/>
        </w:rPr>
        <w:t>4.</w:t>
      </w:r>
      <w:r>
        <w:rPr>
          <w:rFonts w:hint="eastAsia" w:ascii="楷体" w:hAnsi="楷体" w:eastAsia="楷体"/>
          <w:i w:val="0"/>
        </w:rPr>
        <w:t>2</w:t>
      </w:r>
      <w:r>
        <w:rPr>
          <w:rFonts w:ascii="楷体" w:hAnsi="楷体" w:eastAsia="楷体"/>
          <w:i w:val="0"/>
        </w:rPr>
        <w:t xml:space="preserve">.1 </w:t>
      </w:r>
      <w:r>
        <w:rPr>
          <w:rFonts w:hint="eastAsia" w:ascii="楷体" w:hAnsi="楷体" w:eastAsia="楷体"/>
          <w:i w:val="0"/>
        </w:rPr>
        <w:t>基础音频驱动</w:t>
      </w:r>
    </w:p>
    <w:p w14:paraId="4A946C18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3189210A">
      <w:pPr>
        <w:pStyle w:val="3"/>
        <w:ind w:firstLine="48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开发麦克风与扬声器的底层驱动。</w:t>
      </w:r>
    </w:p>
    <w:p w14:paraId="2B417CA8">
      <w:pPr>
        <w:pStyle w:val="25"/>
        <w:numPr>
          <w:ilvl w:val="0"/>
          <w:numId w:val="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麦克风语音采集：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实时采集环境语音数据；</w:t>
      </w:r>
    </w:p>
    <w:p w14:paraId="0D673ECD">
      <w:pPr>
        <w:pStyle w:val="25"/>
        <w:numPr>
          <w:ilvl w:val="0"/>
          <w:numId w:val="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扬声器TTS语音播放：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播放文字转语音（TTS）输出；</w:t>
      </w:r>
    </w:p>
    <w:p w14:paraId="0EF54F2A">
      <w:pPr>
        <w:pStyle w:val="25"/>
        <w:numPr>
          <w:ilvl w:val="0"/>
          <w:numId w:val="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基础降噪处理：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对采集的语音进行基础降噪处理，提升语音识别准确率。</w:t>
      </w:r>
    </w:p>
    <w:bookmarkEnd w:id="11"/>
    <w:p w14:paraId="5D309F4B">
      <w:pPr>
        <w:pStyle w:val="6"/>
        <w:rPr>
          <w:rFonts w:ascii="楷体" w:hAnsi="楷体" w:eastAsia="楷体"/>
          <w:i w:val="0"/>
        </w:rPr>
      </w:pPr>
      <w:bookmarkStart w:id="12" w:name="商务版扩展能力"/>
      <w:r>
        <w:rPr>
          <w:rFonts w:ascii="楷体" w:hAnsi="楷体" w:eastAsia="楷体"/>
          <w:i w:val="0"/>
        </w:rPr>
        <w:t>4.</w:t>
      </w:r>
      <w:r>
        <w:rPr>
          <w:rFonts w:hint="eastAsia" w:ascii="楷体" w:hAnsi="楷体" w:eastAsia="楷体"/>
          <w:i w:val="0"/>
        </w:rPr>
        <w:t>2</w:t>
      </w:r>
      <w:r>
        <w:rPr>
          <w:rFonts w:ascii="楷体" w:hAnsi="楷体" w:eastAsia="楷体"/>
          <w:i w:val="0"/>
        </w:rPr>
        <w:t xml:space="preserve">.2 </w:t>
      </w:r>
      <w:r>
        <w:rPr>
          <w:rFonts w:hint="eastAsia" w:ascii="楷体" w:hAnsi="楷体" w:eastAsia="楷体"/>
          <w:i w:val="0"/>
        </w:rPr>
        <w:t>扩展能力</w:t>
      </w:r>
    </w:p>
    <w:p w14:paraId="3B5F3EE3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70227FC8">
      <w:pPr>
        <w:pStyle w:val="25"/>
        <w:numPr>
          <w:ilvl w:val="0"/>
          <w:numId w:val="4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实时录音功能：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支持持续录音并本地存储；</w:t>
      </w:r>
    </w:p>
    <w:p w14:paraId="6BA610BC">
      <w:pPr>
        <w:pStyle w:val="25"/>
        <w:numPr>
          <w:ilvl w:val="0"/>
          <w:numId w:val="4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音频数据可被上层AI服务调用进行语音识别。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——嵌入式团队负责音频数据接口封装，AI团队负责语音识别模型调用。</w:t>
      </w:r>
    </w:p>
    <w:bookmarkEnd w:id="12"/>
    <w:p w14:paraId="7232F199">
      <w:pPr>
        <w:pStyle w:val="6"/>
        <w:rPr>
          <w:rFonts w:ascii="楷体" w:hAnsi="楷体" w:eastAsia="楷体"/>
          <w:i w:val="0"/>
        </w:rPr>
      </w:pPr>
      <w:bookmarkStart w:id="13" w:name="音频播放功能"/>
      <w:r>
        <w:rPr>
          <w:rFonts w:ascii="楷体" w:hAnsi="楷体" w:eastAsia="楷体"/>
          <w:i w:val="0"/>
        </w:rPr>
        <w:t>4.</w:t>
      </w:r>
      <w:r>
        <w:rPr>
          <w:rFonts w:hint="eastAsia" w:ascii="楷体" w:hAnsi="楷体" w:eastAsia="楷体"/>
          <w:i w:val="0"/>
        </w:rPr>
        <w:t>2</w:t>
      </w:r>
      <w:r>
        <w:rPr>
          <w:rFonts w:ascii="楷体" w:hAnsi="楷体" w:eastAsia="楷体"/>
          <w:i w:val="0"/>
        </w:rPr>
        <w:t xml:space="preserve">.3 </w:t>
      </w:r>
      <w:r>
        <w:rPr>
          <w:rFonts w:hint="eastAsia" w:ascii="楷体" w:hAnsi="楷体" w:eastAsia="楷体"/>
          <w:i w:val="0"/>
        </w:rPr>
        <w:t>音频播放功能</w:t>
      </w:r>
    </w:p>
    <w:p w14:paraId="16A0EF61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19E78A80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在基础音频驱动之上，扩展音频播放能力，支持本地短音频播放与远程URL拉取音乐播放两种模式。嵌入式团队负责音频播放引擎的开发、短音频资源管理、URL拉取播放逻辑及播放状态管理。</w:t>
      </w:r>
    </w:p>
    <w:p w14:paraId="178385CF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本功能分为两个子模块：本地短音频播放与远程音乐播放。</w:t>
      </w:r>
    </w:p>
    <w:p w14:paraId="45A647A0">
      <w:pPr>
        <w:pStyle w:val="7"/>
        <w:rPr>
          <w:rFonts w:ascii="楷体" w:hAnsi="楷体" w:eastAsia="楷体"/>
        </w:rPr>
      </w:pPr>
      <w:bookmarkStart w:id="14" w:name="本地短音频播放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2</w:t>
      </w:r>
      <w:r>
        <w:rPr>
          <w:rFonts w:ascii="楷体" w:hAnsi="楷体" w:eastAsia="楷体"/>
        </w:rPr>
        <w:t xml:space="preserve">.3.1 </w:t>
      </w:r>
      <w:r>
        <w:rPr>
          <w:rFonts w:hint="eastAsia" w:ascii="楷体" w:hAnsi="楷体" w:eastAsia="楷体"/>
        </w:rPr>
        <w:t>本地短音频播放</w:t>
      </w:r>
    </w:p>
    <w:p w14:paraId="556928B0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58EB30CB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将开机提示音、按键反馈音、报警音等短音频直接烧录至固件中，存储在芯片Flash内，编译时打包进固件，烧录后固化，离线可用、响应快、零延迟。</w:t>
      </w:r>
    </w:p>
    <w:p w14:paraId="3CD9ED7F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功能清单：</w:t>
      </w:r>
    </w:p>
    <w:p w14:paraId="11BB344E">
      <w:pPr>
        <w:pStyle w:val="25"/>
        <w:numPr>
          <w:ilvl w:val="0"/>
          <w:numId w:val="5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短音频资源管理模块：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管理烧录在固件中的所有短音频资源（WAV/MP3格式），按事件类型分类管理（开机、按键、报警、提示等）；</w:t>
      </w:r>
    </w:p>
    <w:p w14:paraId="105B598D">
      <w:pPr>
        <w:pStyle w:val="25"/>
        <w:numPr>
          <w:ilvl w:val="0"/>
          <w:numId w:val="5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事件触发播放：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支持按事件类型触发对应短音频播放，优先级高于音乐播放；</w:t>
      </w:r>
    </w:p>
    <w:p w14:paraId="5FDF15FE">
      <w:pPr>
        <w:pStyle w:val="25"/>
        <w:numPr>
          <w:ilvl w:val="0"/>
          <w:numId w:val="5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播放中断机制：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当报警音等紧急音频需要播放时，可中断当前正在播放的音乐或提示音，优先播放报警音；</w:t>
      </w:r>
    </w:p>
    <w:p w14:paraId="5B01D0B6">
      <w:pPr>
        <w:pStyle w:val="25"/>
        <w:numPr>
          <w:ilvl w:val="0"/>
          <w:numId w:val="5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短音频格式支持：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至少支持WAV和MP3两种格式，采样率不低于44.1kHz；</w:t>
      </w:r>
    </w:p>
    <w:p w14:paraId="0EDC855E">
      <w:pPr>
        <w:pStyle w:val="25"/>
        <w:numPr>
          <w:ilvl w:val="0"/>
          <w:numId w:val="5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预置音频内容：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出厂预置开机提示音、按键反馈音、报警音各至少1套，支持后续通过固件升级替换。</w:t>
      </w:r>
    </w:p>
    <w:p w14:paraId="756C2AE4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验收标准：</w:t>
      </w:r>
    </w:p>
    <w:p w14:paraId="5383CAB5">
      <w:pPr>
        <w:pStyle w:val="25"/>
        <w:numPr>
          <w:ilvl w:val="0"/>
          <w:numId w:val="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短音频触发播放延迟不超过50ms；</w:t>
      </w:r>
    </w:p>
    <w:p w14:paraId="5E5F6389">
      <w:pPr>
        <w:pStyle w:val="25"/>
        <w:numPr>
          <w:ilvl w:val="0"/>
          <w:numId w:val="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报警音可正确中断当前播放的音乐/提示音；</w:t>
      </w:r>
    </w:p>
    <w:p w14:paraId="39F0E509">
      <w:pPr>
        <w:pStyle w:val="25"/>
        <w:numPr>
          <w:ilvl w:val="0"/>
          <w:numId w:val="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固件烧录后短音频资源完整可用，无损坏或丢失。</w:t>
      </w:r>
    </w:p>
    <w:bookmarkEnd w:id="14"/>
    <w:p w14:paraId="4224ACA3">
      <w:pPr>
        <w:pStyle w:val="7"/>
        <w:rPr>
          <w:rFonts w:ascii="楷体" w:hAnsi="楷体" w:eastAsia="楷体"/>
        </w:rPr>
      </w:pPr>
      <w:bookmarkStart w:id="15" w:name="远程音乐播放url拉取模式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2</w:t>
      </w:r>
      <w:r>
        <w:rPr>
          <w:rFonts w:ascii="楷体" w:hAnsi="楷体" w:eastAsia="楷体"/>
        </w:rPr>
        <w:t xml:space="preserve">.3.2 </w:t>
      </w:r>
      <w:r>
        <w:rPr>
          <w:rFonts w:hint="eastAsia" w:ascii="楷体" w:hAnsi="楷体" w:eastAsia="楷体"/>
        </w:rPr>
        <w:t>远程音乐播放（URL拉取模式）</w:t>
      </w:r>
    </w:p>
    <w:p w14:paraId="1EF3933F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7384AFFB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设备端不预存音乐文件，不烧录音乐内容。云端/小程序下发播放指令（携带音乐文件URL地址），设备收到指令后通过网络从URL拉取音频流并播放。</w:t>
      </w:r>
    </w:p>
    <w:p w14:paraId="52D2B20C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功能清单：</w:t>
      </w:r>
    </w:p>
    <w:p w14:paraId="12EC4B48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播放指令接收：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接收云端下发的含音乐URL的播放指令，指令格式为JSON，包含cmd、url、volume、loop等字段；</w:t>
      </w:r>
    </w:p>
    <w:p w14:paraId="25D0ADDE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URL拉取播放：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收到播放指令后，发起HTTP/HTTPS请求从URL拉取音频流，支持边下载边播放（流式播放）；</w:t>
      </w:r>
    </w:p>
    <w:p w14:paraId="5B4A7ED6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播放控制指令：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支持播放、暂停、停止、音量调节等基础控制指令，设备端需正确响应并执行；</w:t>
      </w:r>
    </w:p>
    <w:p w14:paraId="782ADBB7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播放状态上报：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播放中/暂停/结束/出错等状态需实时上报云端，供小程序展示播放状态；</w:t>
      </w:r>
    </w:p>
    <w:p w14:paraId="08CA3228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网络异常处理：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URL拉取失败时，播放本地预存的兜底提示音，并上报错误状态至云端；</w:t>
      </w:r>
    </w:p>
    <w:p w14:paraId="3D022730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缓存策略（可选）：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支持将已播放的音乐缓存至Micro-SD卡，避免重复下载同一URL的音频文件；</w:t>
      </w:r>
    </w:p>
    <w:p w14:paraId="38D4431E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并发冲突处理：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正在播放音乐时收到报警音，自动暂停音乐并优先播放报警音，报警音播放完毕后自动恢复音乐播放；</w:t>
      </w:r>
    </w:p>
    <w:p w14:paraId="350CDB84">
      <w:pPr>
        <w:pStyle w:val="25"/>
        <w:numPr>
          <w:ilvl w:val="0"/>
          <w:numId w:val="7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音频格式支持：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至少支持MP3、WAV、AAC三种常见音频格式的解码输出。</w:t>
      </w:r>
    </w:p>
    <w:p w14:paraId="4753B96B">
      <w:pPr>
        <w:pStyle w:val="24"/>
        <w:ind w:firstLine="44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下发指令数据格式示例：</w:t>
      </w:r>
    </w:p>
    <w:p w14:paraId="59B15EFC">
      <w:pPr>
        <w:pStyle w:val="50"/>
        <w:wordWrap/>
        <w:ind w:left="440"/>
        <w:rPr>
          <w:rFonts w:ascii="楷体" w:hAnsi="楷体" w:eastAsia="楷体"/>
        </w:rPr>
      </w:pPr>
      <w:r>
        <w:rPr>
          <w:rStyle w:val="70"/>
          <w:rFonts w:ascii="楷体" w:hAnsi="楷体" w:eastAsia="楷体"/>
        </w:rPr>
        <w:t>{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"cmd"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61"/>
          <w:rFonts w:ascii="楷体" w:hAnsi="楷体" w:eastAsia="楷体"/>
        </w:rPr>
        <w:t>"play_music"</w:t>
      </w:r>
      <w:r>
        <w:rPr>
          <w:rStyle w:val="70"/>
          <w:rFonts w:ascii="楷体" w:hAnsi="楷体" w:eastAsia="楷体"/>
        </w:rPr>
        <w:t>,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"source"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61"/>
          <w:rFonts w:ascii="楷体" w:hAnsi="楷体" w:eastAsia="楷体"/>
        </w:rPr>
        <w:t>"network"</w:t>
      </w:r>
      <w:r>
        <w:rPr>
          <w:rStyle w:val="70"/>
          <w:rFonts w:ascii="楷体" w:hAnsi="楷体" w:eastAsia="楷体"/>
        </w:rPr>
        <w:t>,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"title"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61"/>
          <w:rFonts w:ascii="楷体" w:hAnsi="楷体" w:eastAsia="楷体"/>
        </w:rPr>
        <w:t>"青花瓷"</w:t>
      </w:r>
      <w:r>
        <w:rPr>
          <w:rStyle w:val="70"/>
          <w:rFonts w:ascii="楷体" w:hAnsi="楷体" w:eastAsia="楷体"/>
        </w:rPr>
        <w:t>,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"artist"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61"/>
          <w:rFonts w:ascii="楷体" w:hAnsi="楷体" w:eastAsia="楷体"/>
        </w:rPr>
        <w:t>"周杰伦"</w:t>
      </w:r>
      <w:r>
        <w:rPr>
          <w:rStyle w:val="70"/>
          <w:rFonts w:ascii="楷体" w:hAnsi="楷体" w:eastAsia="楷体"/>
        </w:rPr>
        <w:t>,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"url"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61"/>
          <w:rFonts w:ascii="楷体" w:hAnsi="楷体" w:eastAsia="楷体"/>
        </w:rPr>
        <w:t>"https://xxx.com/music/song.mp3"</w:t>
      </w:r>
      <w:r>
        <w:rPr>
          <w:rStyle w:val="70"/>
          <w:rFonts w:ascii="楷体" w:hAnsi="楷体" w:eastAsia="楷体"/>
        </w:rPr>
        <w:t>,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"volume"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55"/>
          <w:rFonts w:ascii="楷体" w:hAnsi="楷体" w:eastAsia="楷体"/>
        </w:rPr>
        <w:t>80</w:t>
      </w:r>
      <w:r>
        <w:rPr>
          <w:rStyle w:val="70"/>
          <w:rFonts w:ascii="楷体" w:hAnsi="楷体" w:eastAsia="楷体"/>
        </w:rPr>
        <w:t>,</w:t>
      </w:r>
      <w:r>
        <w:rPr>
          <w:rFonts w:ascii="楷体" w:hAnsi="楷体" w:eastAsia="楷体"/>
        </w:rPr>
        <w:br w:type="textWrapping"/>
      </w:r>
      <w:r>
        <w:rPr>
          <w:rStyle w:val="83"/>
          <w:rFonts w:ascii="楷体" w:hAnsi="楷体" w:eastAsia="楷体"/>
        </w:rPr>
        <w:t xml:space="preserve">  </w:t>
      </w:r>
      <w:r>
        <w:rPr>
          <w:rStyle w:val="54"/>
          <w:rFonts w:ascii="楷体" w:hAnsi="楷体" w:eastAsia="楷体"/>
        </w:rPr>
        <w:t>"loop"</w:t>
      </w:r>
      <w:r>
        <w:rPr>
          <w:rStyle w:val="70"/>
          <w:rFonts w:ascii="楷体" w:hAnsi="楷体" w:eastAsia="楷体"/>
        </w:rPr>
        <w:t>:</w:t>
      </w:r>
      <w:r>
        <w:rPr>
          <w:rStyle w:val="83"/>
          <w:rFonts w:ascii="楷体" w:hAnsi="楷体" w:eastAsia="楷体"/>
        </w:rPr>
        <w:t xml:space="preserve"> </w:t>
      </w:r>
      <w:r>
        <w:rPr>
          <w:rStyle w:val="53"/>
          <w:rFonts w:ascii="楷体" w:hAnsi="楷体" w:eastAsia="楷体"/>
        </w:rPr>
        <w:t>false</w:t>
      </w:r>
      <w:r>
        <w:rPr>
          <w:rFonts w:ascii="楷体" w:hAnsi="楷体" w:eastAsia="楷体"/>
        </w:rPr>
        <w:br w:type="textWrapping"/>
      </w:r>
      <w:r>
        <w:rPr>
          <w:rStyle w:val="70"/>
          <w:rFonts w:ascii="楷体" w:hAnsi="楷体" w:eastAsia="楷体"/>
        </w:rPr>
        <w:t>}</w:t>
      </w:r>
    </w:p>
    <w:p w14:paraId="6D218099">
      <w:pPr>
        <w:pStyle w:val="24"/>
        <w:ind w:firstLine="44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验收标准：</w:t>
      </w:r>
    </w:p>
    <w:p w14:paraId="73517924">
      <w:pPr>
        <w:pStyle w:val="25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收到播放指令后，首帧音频播放延迟不超过2秒（首缓冲时间）；</w:t>
      </w:r>
    </w:p>
    <w:p w14:paraId="720BA901">
      <w:pPr>
        <w:pStyle w:val="25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播放过程中网络中断超过3秒后自动暂停，网络恢复后支持继续播放或上报错误；</w:t>
      </w:r>
    </w:p>
    <w:p w14:paraId="2A3A4904">
      <w:pPr>
        <w:pStyle w:val="25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播放控制指令（播放/暂停/停止/音量）响应延迟不超过200ms；</w:t>
      </w:r>
    </w:p>
    <w:p w14:paraId="369B469E">
      <w:pPr>
        <w:pStyle w:val="25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播放状态上报准确，无遗漏或错误状态；</w:t>
      </w:r>
    </w:p>
    <w:p w14:paraId="67AA24DF">
      <w:pPr>
        <w:pStyle w:val="25"/>
        <w:numPr>
          <w:ilvl w:val="0"/>
          <w:numId w:val="8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网络异常时兜底提示音可正常播放。</w:t>
      </w:r>
    </w:p>
    <w:bookmarkEnd w:id="15"/>
    <w:p w14:paraId="027DEE67">
      <w:pPr>
        <w:pStyle w:val="7"/>
        <w:rPr>
          <w:rFonts w:ascii="楷体" w:hAnsi="楷体" w:eastAsia="楷体"/>
        </w:rPr>
      </w:pPr>
      <w:bookmarkStart w:id="16" w:name="音频播放模块责任分工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2</w:t>
      </w:r>
      <w:r>
        <w:rPr>
          <w:rFonts w:ascii="楷体" w:hAnsi="楷体" w:eastAsia="楷体"/>
        </w:rPr>
        <w:t xml:space="preserve">.3.3 </w:t>
      </w:r>
      <w:r>
        <w:rPr>
          <w:rFonts w:hint="eastAsia" w:ascii="楷体" w:hAnsi="楷体" w:eastAsia="楷体"/>
        </w:rPr>
        <w:t>音频播放模块责任分工</w:t>
      </w:r>
    </w:p>
    <w:p w14:paraId="0C5D2BA8">
      <w:pPr>
        <w:pStyle w:val="25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嵌入式团队负责：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音频播放引擎开发（MP3/WAV/AAC解码）、短音频资源烧录与管理、URL拉取播放逻辑、播放控制指令解析与执行、播放状态上报、播放中断与优先级管理、网络异常处理。</w:t>
      </w:r>
    </w:p>
    <w:p w14:paraId="323C5E54">
      <w:pPr>
        <w:pStyle w:val="25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后端团队负责：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音乐文件存储与CDN分发、播放指令下发服务、用户音乐库管理。</w:t>
      </w:r>
    </w:p>
    <w:p w14:paraId="126C0872">
      <w:pPr>
        <w:pStyle w:val="25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小程序端负责：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音乐播放UI展示、用户操作采集与指令下发。</w:t>
      </w:r>
    </w:p>
    <w:p w14:paraId="0D30072E">
      <w:pPr>
        <w:pStyle w:val="25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双方联调要求：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嵌入式团队与后端团队需对接播放指令协议格式、状态上报协议格式，联调验证播放/暂停/停止/音量控制/状态上报等全流程功能。</w:t>
      </w:r>
    </w:p>
    <w:bookmarkEnd w:id="10"/>
    <w:bookmarkEnd w:id="13"/>
    <w:bookmarkEnd w:id="16"/>
    <w:p w14:paraId="781E9D62">
      <w:pPr>
        <w:pStyle w:val="5"/>
        <w:rPr>
          <w:rFonts w:ascii="楷体" w:hAnsi="楷体" w:eastAsia="楷体"/>
        </w:rPr>
      </w:pPr>
      <w:bookmarkStart w:id="17" w:name="机身实体按键驱动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3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机身实体按键驱动</w:t>
      </w:r>
    </w:p>
    <w:p w14:paraId="224CCD90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3C894809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开发机身实体按键驱动，实现多档位按键逻辑识别。</w:t>
      </w:r>
    </w:p>
    <w:p w14:paraId="77ADC3BE">
      <w:pPr>
        <w:pStyle w:val="25"/>
        <w:numPr>
          <w:ilvl w:val="0"/>
          <w:numId w:val="9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短按识别：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区分短按事件，触发预设功能；</w:t>
      </w:r>
    </w:p>
    <w:p w14:paraId="00A9DD2C">
      <w:pPr>
        <w:pStyle w:val="25"/>
        <w:numPr>
          <w:ilvl w:val="0"/>
          <w:numId w:val="9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长按识别：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区分长按事件，触发预设功能；</w:t>
      </w:r>
    </w:p>
    <w:p w14:paraId="4EAEB732">
      <w:pPr>
        <w:pStyle w:val="25"/>
        <w:numPr>
          <w:ilvl w:val="0"/>
          <w:numId w:val="9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多档位逻辑：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支持短按/长按组合的多档位逻辑识别，不同按键组合触发不同功能。</w:t>
      </w:r>
    </w:p>
    <w:bookmarkEnd w:id="17"/>
    <w:p w14:paraId="14449D14">
      <w:pPr>
        <w:pStyle w:val="5"/>
        <w:rPr>
          <w:rFonts w:ascii="楷体" w:hAnsi="楷体" w:eastAsia="楷体"/>
        </w:rPr>
      </w:pPr>
      <w:bookmarkStart w:id="18" w:name="wifi驱动开发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4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WiFi驱动开发</w:t>
      </w:r>
    </w:p>
    <w:p w14:paraId="15072659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【嵌入式+联调】</w:t>
      </w:r>
    </w:p>
    <w:p w14:paraId="4B8051CB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开发WiFi驱动，实现设备与云端服务的网络连接与通信。</w:t>
      </w:r>
    </w:p>
    <w:p w14:paraId="29D11887">
      <w:pPr>
        <w:pStyle w:val="25"/>
        <w:numPr>
          <w:ilvl w:val="0"/>
          <w:numId w:val="10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WiFi模块驱动：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完成WiFi硬件的初始化、连接、断开等基础驱动开发；</w:t>
      </w:r>
    </w:p>
    <w:p w14:paraId="7477A6D2">
      <w:pPr>
        <w:pStyle w:val="25"/>
        <w:numPr>
          <w:ilvl w:val="0"/>
          <w:numId w:val="10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设备与Python云端服务建立长连接。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——嵌入式团队负责客户端连接实现，后端团队负责服务端部署。</w:t>
      </w:r>
    </w:p>
    <w:p w14:paraId="6A7444C5">
      <w:pPr>
        <w:pStyle w:val="25"/>
        <w:numPr>
          <w:ilvl w:val="0"/>
          <w:numId w:val="10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断网状态下保留本地核心功能（基础语音对话、本地数据存储）；</w:t>
      </w:r>
    </w:p>
    <w:p w14:paraId="034480F1">
      <w:pPr>
        <w:pStyle w:val="25"/>
        <w:numPr>
          <w:ilvl w:val="0"/>
          <w:numId w:val="10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联网后自动同步云端完整AI记忆与高阶交互能力。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——嵌入式团队负责本地数据缓存与同步触发，后端团队负责云端数据存储与同步服务。</w:t>
      </w:r>
    </w:p>
    <w:bookmarkEnd w:id="18"/>
    <w:p w14:paraId="0C675681">
      <w:pPr>
        <w:pStyle w:val="5"/>
        <w:rPr>
          <w:rFonts w:ascii="楷体" w:hAnsi="楷体" w:eastAsia="楷体"/>
        </w:rPr>
      </w:pPr>
      <w:bookmarkStart w:id="19" w:name="电源管理驱动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5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电源管理驱动</w:t>
      </w:r>
    </w:p>
    <w:p w14:paraId="0AF9A0A1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387C14E5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开发电源管理系统，确保设备稳定供电与续航优化。</w:t>
      </w:r>
    </w:p>
    <w:p w14:paraId="2A4D88F6">
      <w:pPr>
        <w:pStyle w:val="25"/>
        <w:numPr>
          <w:ilvl w:val="0"/>
          <w:numId w:val="1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锂电池充放电管理：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实现锂电池的充放电控制，支持快充/慢充切换；</w:t>
      </w:r>
    </w:p>
    <w:p w14:paraId="2B3EBB0E">
      <w:pPr>
        <w:pStyle w:val="25"/>
        <w:numPr>
          <w:ilvl w:val="0"/>
          <w:numId w:val="1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低功耗休眠：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设备空闲时自动进入低功耗休眠模式；</w:t>
      </w:r>
    </w:p>
    <w:p w14:paraId="3BA6BD63">
      <w:pPr>
        <w:pStyle w:val="25"/>
        <w:numPr>
          <w:ilvl w:val="0"/>
          <w:numId w:val="1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剩余电量检测：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实时检测电池电量，低电量时主动提醒用户充电；</w:t>
      </w:r>
    </w:p>
    <w:p w14:paraId="5E943561">
      <w:pPr>
        <w:pStyle w:val="25"/>
        <w:numPr>
          <w:ilvl w:val="0"/>
          <w:numId w:val="11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断电保护：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异常断电时自动保存关键数据，防止数据丢失。</w:t>
      </w:r>
    </w:p>
    <w:bookmarkEnd w:id="19"/>
    <w:p w14:paraId="6267F17F">
      <w:pPr>
        <w:pStyle w:val="5"/>
        <w:rPr>
          <w:rFonts w:ascii="楷体" w:hAnsi="楷体" w:eastAsia="楷体"/>
        </w:rPr>
      </w:pPr>
      <w:bookmarkStart w:id="20" w:name="整机功耗优化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6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整机功耗优化</w:t>
      </w:r>
    </w:p>
    <w:p w14:paraId="511E4D83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5F5F6880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对整机功耗进行系统性优化，延长续航时长。</w:t>
      </w:r>
    </w:p>
    <w:p w14:paraId="319EB587">
      <w:pPr>
        <w:pStyle w:val="25"/>
        <w:numPr>
          <w:ilvl w:val="0"/>
          <w:numId w:val="12"/>
        </w:numPr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  <w:b/>
          <w:bCs/>
        </w:rPr>
        <w:t>待机功耗优化：</w:t>
      </w:r>
      <w:r>
        <w:rPr>
          <w:rFonts w:ascii="楷体" w:hAnsi="楷体" w:eastAsia="楷体"/>
          <w:b/>
          <w:bCs/>
        </w:rPr>
        <w:t xml:space="preserve"> </w:t>
      </w:r>
      <w:r>
        <w:rPr>
          <w:rFonts w:hint="eastAsia" w:ascii="楷体" w:hAnsi="楷体" w:eastAsia="楷体"/>
          <w:bCs/>
        </w:rPr>
        <w:t>降低待机状态下的电流消耗；</w:t>
      </w:r>
    </w:p>
    <w:p w14:paraId="2E118F6A">
      <w:pPr>
        <w:pStyle w:val="25"/>
        <w:numPr>
          <w:ilvl w:val="0"/>
          <w:numId w:val="12"/>
        </w:num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/>
          <w:bCs/>
        </w:rPr>
        <w:t>运行功耗优化：</w:t>
      </w:r>
      <w:r>
        <w:rPr>
          <w:rFonts w:ascii="楷体" w:hAnsi="楷体" w:eastAsia="楷体"/>
          <w:b/>
          <w:bCs/>
        </w:rPr>
        <w:t xml:space="preserve"> </w:t>
      </w:r>
      <w:r>
        <w:rPr>
          <w:rFonts w:hint="eastAsia" w:ascii="楷体" w:hAnsi="楷体" w:eastAsia="楷体"/>
          <w:bCs/>
        </w:rPr>
        <w:t>在运动、通信、计算等高负载场景下优化功耗；提供功耗监控接口，</w:t>
      </w:r>
      <w:r>
        <w:rPr>
          <w:rFonts w:ascii="楷体" w:hAnsi="楷体" w:eastAsia="楷体"/>
          <w:bCs/>
        </w:rPr>
        <w:t xml:space="preserve"> </w:t>
      </w:r>
      <w:r>
        <w:rPr>
          <w:rFonts w:hint="eastAsia" w:ascii="楷体" w:hAnsi="楷体" w:eastAsia="楷体"/>
          <w:bCs/>
        </w:rPr>
        <w:t>供上层应用查看实时功耗数据。</w:t>
      </w:r>
    </w:p>
    <w:bookmarkEnd w:id="20"/>
    <w:p w14:paraId="044FA0C2">
      <w:pPr>
        <w:pStyle w:val="5"/>
        <w:rPr>
          <w:rFonts w:ascii="楷体" w:hAnsi="楷体" w:eastAsia="楷体"/>
        </w:rPr>
      </w:pPr>
      <w:bookmarkStart w:id="21" w:name="基座状态指示功能"/>
      <w:r>
        <w:rPr>
          <w:rFonts w:ascii="楷体" w:hAnsi="楷体" w:eastAsia="楷体"/>
        </w:rPr>
        <w:t>4.</w:t>
      </w:r>
      <w:r>
        <w:rPr>
          <w:rFonts w:hint="eastAsia" w:ascii="楷体" w:hAnsi="楷体" w:eastAsia="楷体"/>
        </w:rPr>
        <w:t>7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基座状态指示功能</w:t>
      </w:r>
    </w:p>
    <w:p w14:paraId="4B4BF096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595796E2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在基座上设计LED指示灯，通过不同颜色和闪烁模式表示设备状态。</w:t>
      </w:r>
    </w:p>
    <w:p w14:paraId="69BDB1FA">
      <w:pPr>
        <w:pStyle w:val="25"/>
        <w:numPr>
          <w:ilvl w:val="0"/>
          <w:numId w:val="1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开机状态：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绿灯常亮；</w:t>
      </w:r>
    </w:p>
    <w:p w14:paraId="3409AC66">
      <w:pPr>
        <w:pStyle w:val="25"/>
        <w:numPr>
          <w:ilvl w:val="0"/>
          <w:numId w:val="1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语音交互中：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蓝灯呼吸闪烁；</w:t>
      </w:r>
    </w:p>
    <w:p w14:paraId="40E7CECD">
      <w:pPr>
        <w:pStyle w:val="25"/>
        <w:numPr>
          <w:ilvl w:val="0"/>
          <w:numId w:val="1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联网状态：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绿灯慢闪；</w:t>
      </w:r>
    </w:p>
    <w:p w14:paraId="52AF5BCA">
      <w:pPr>
        <w:pStyle w:val="25"/>
        <w:numPr>
          <w:ilvl w:val="0"/>
          <w:numId w:val="1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低电量告警：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红灯常亮；</w:t>
      </w:r>
    </w:p>
    <w:p w14:paraId="6B7B25D6">
      <w:pPr>
        <w:pStyle w:val="25"/>
        <w:numPr>
          <w:ilvl w:val="0"/>
          <w:numId w:val="1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充电状态：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橙灯常亮；</w:t>
      </w:r>
    </w:p>
    <w:p w14:paraId="2D527FDB">
      <w:pPr>
        <w:pStyle w:val="25"/>
        <w:numPr>
          <w:ilvl w:val="0"/>
          <w:numId w:val="13"/>
        </w:numPr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异常状态：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红灯快闪。</w:t>
      </w:r>
    </w:p>
    <w:p w14:paraId="4776840D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验收标准：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各状态指示灯切换响应延迟不超过100ms，颜色区分明显可辨。</w:t>
      </w:r>
    </w:p>
    <w:bookmarkEnd w:id="9"/>
    <w:bookmarkEnd w:id="21"/>
    <w:p w14:paraId="653D3B14">
      <w:pPr>
        <w:pStyle w:val="4"/>
        <w:rPr>
          <w:rFonts w:ascii="楷体" w:hAnsi="楷体" w:eastAsia="楷体"/>
        </w:rPr>
      </w:pPr>
      <w:bookmarkStart w:id="22" w:name="第五章-通信协议要求"/>
      <w:r>
        <w:rPr>
          <w:rFonts w:hint="eastAsia" w:ascii="楷体" w:hAnsi="楷体" w:eastAsia="楷体"/>
        </w:rPr>
        <w:t>第五章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通信协议要求</w:t>
      </w:r>
    </w:p>
    <w:p w14:paraId="1E783E3A">
      <w:pPr>
        <w:pStyle w:val="5"/>
        <w:rPr>
          <w:rFonts w:ascii="楷体" w:hAnsi="楷体" w:eastAsia="楷体"/>
        </w:rPr>
      </w:pPr>
      <w:bookmarkStart w:id="23" w:name="通信协议总览"/>
      <w:r>
        <w:rPr>
          <w:rFonts w:ascii="楷体" w:hAnsi="楷体" w:eastAsia="楷体"/>
        </w:rPr>
        <w:t xml:space="preserve">5.1 </w:t>
      </w:r>
      <w:r>
        <w:rPr>
          <w:rFonts w:hint="eastAsia" w:ascii="楷体" w:hAnsi="楷体" w:eastAsia="楷体"/>
        </w:rPr>
        <w:t>通信协议总览</w:t>
      </w:r>
    </w:p>
    <w:p w14:paraId="520823D4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设备与云端之间的通信需同时支持以下协议，确保不同场景下的通信可靠性与实时性：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1898"/>
        <w:gridCol w:w="1898"/>
        <w:gridCol w:w="3163"/>
      </w:tblGrid>
      <w:tr w14:paraId="55661ED5">
        <w:trPr>
          <w:tblHeader/>
        </w:trPr>
        <w:tc>
          <w:tcPr>
            <w:tcW w:w="1697" w:type="dxa"/>
            <w:tcBorders>
              <w:bottom w:val="nil"/>
            </w:tcBorders>
            <w:vAlign w:val="bottom"/>
          </w:tcPr>
          <w:p w14:paraId="1DAC6CE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协议</w:t>
            </w:r>
          </w:p>
        </w:tc>
        <w:tc>
          <w:tcPr>
            <w:tcW w:w="1697" w:type="dxa"/>
            <w:tcBorders>
              <w:bottom w:val="nil"/>
            </w:tcBorders>
            <w:vAlign w:val="bottom"/>
          </w:tcPr>
          <w:p w14:paraId="02343D6C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用途</w:t>
            </w:r>
          </w:p>
        </w:tc>
        <w:tc>
          <w:tcPr>
            <w:tcW w:w="1697" w:type="dxa"/>
            <w:tcBorders>
              <w:bottom w:val="nil"/>
            </w:tcBorders>
            <w:vAlign w:val="bottom"/>
          </w:tcPr>
          <w:p w14:paraId="667723F6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  <w:tc>
          <w:tcPr>
            <w:tcW w:w="2828" w:type="dxa"/>
            <w:tcBorders>
              <w:bottom w:val="nil"/>
            </w:tcBorders>
            <w:vAlign w:val="bottom"/>
          </w:tcPr>
          <w:p w14:paraId="4E3B1BAE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责任归属</w:t>
            </w:r>
          </w:p>
        </w:tc>
      </w:tr>
      <w:tr w14:paraId="09689407">
        <w:tc>
          <w:tcPr>
            <w:tcW w:w="1697" w:type="dxa"/>
          </w:tcPr>
          <w:p w14:paraId="74F00886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HTTPS</w:t>
            </w:r>
          </w:p>
        </w:tc>
        <w:tc>
          <w:tcPr>
            <w:tcW w:w="1697" w:type="dxa"/>
          </w:tcPr>
          <w:p w14:paraId="27C7C6F6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常规数据通信</w:t>
            </w:r>
          </w:p>
        </w:tc>
        <w:tc>
          <w:tcPr>
            <w:tcW w:w="1697" w:type="dxa"/>
          </w:tcPr>
          <w:p w14:paraId="556D0CA4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设备与服务器之间的常规HTTP请求，用于上传数据、下发配置等</w:t>
            </w:r>
          </w:p>
        </w:tc>
        <w:tc>
          <w:tcPr>
            <w:tcW w:w="2828" w:type="dxa"/>
          </w:tcPr>
          <w:p w14:paraId="16056444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嵌入式（客户端）+</w:t>
            </w:r>
            <w:r>
              <w:rPr>
                <w:rFonts w:ascii="楷体" w:hAnsi="楷体" w:eastAsia="楷体"/>
              </w:rPr>
              <w:t xml:space="preserve"> </w:t>
            </w:r>
            <w:r>
              <w:rPr>
                <w:rFonts w:hint="eastAsia" w:ascii="楷体" w:hAnsi="楷体" w:eastAsia="楷体"/>
              </w:rPr>
              <w:t>后端（服务端）</w:t>
            </w:r>
          </w:p>
        </w:tc>
      </w:tr>
      <w:tr w14:paraId="0234C43D">
        <w:tc>
          <w:tcPr>
            <w:tcW w:w="1697" w:type="dxa"/>
          </w:tcPr>
          <w:p w14:paraId="13A8CB63">
            <w:pPr>
              <w:pStyle w:val="25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WebSocket</w:t>
            </w:r>
          </w:p>
        </w:tc>
        <w:tc>
          <w:tcPr>
            <w:tcW w:w="1697" w:type="dxa"/>
          </w:tcPr>
          <w:p w14:paraId="6723CC0C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实时双向通信</w:t>
            </w:r>
          </w:p>
        </w:tc>
        <w:tc>
          <w:tcPr>
            <w:tcW w:w="1697" w:type="dxa"/>
          </w:tcPr>
          <w:p w14:paraId="1C1CE0B1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建立长连接，实现设备与服务器之间的实时双向通信</w:t>
            </w:r>
          </w:p>
        </w:tc>
        <w:tc>
          <w:tcPr>
            <w:tcW w:w="2828" w:type="dxa"/>
          </w:tcPr>
          <w:p w14:paraId="7C0C54C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嵌入式（客户端）+</w:t>
            </w:r>
            <w:r>
              <w:rPr>
                <w:rFonts w:ascii="楷体" w:hAnsi="楷体" w:eastAsia="楷体"/>
              </w:rPr>
              <w:t xml:space="preserve"> </w:t>
            </w:r>
            <w:r>
              <w:rPr>
                <w:rFonts w:hint="eastAsia" w:ascii="楷体" w:hAnsi="楷体" w:eastAsia="楷体"/>
              </w:rPr>
              <w:t>后端（服务端）</w:t>
            </w:r>
          </w:p>
        </w:tc>
      </w:tr>
      <w:tr w14:paraId="49651975">
        <w:tc>
          <w:tcPr>
            <w:tcW w:w="1697" w:type="dxa"/>
          </w:tcPr>
          <w:p w14:paraId="7558F61B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MQTT/TCP</w:t>
            </w:r>
          </w:p>
        </w:tc>
        <w:tc>
          <w:tcPr>
            <w:tcW w:w="1697" w:type="dxa"/>
          </w:tcPr>
          <w:p w14:paraId="259E9133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设备云数据透传</w:t>
            </w:r>
          </w:p>
        </w:tc>
        <w:tc>
          <w:tcPr>
            <w:tcW w:w="1697" w:type="dxa"/>
          </w:tcPr>
          <w:p w14:paraId="1504F200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封装MQTT/TCP通信协议，实现设备与云端的双向数据透传</w:t>
            </w:r>
          </w:p>
        </w:tc>
        <w:tc>
          <w:tcPr>
            <w:tcW w:w="2828" w:type="dxa"/>
          </w:tcPr>
          <w:p w14:paraId="4D59FFFC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嵌入式（客户端）+</w:t>
            </w:r>
            <w:r>
              <w:rPr>
                <w:rFonts w:ascii="楷体" w:hAnsi="楷体" w:eastAsia="楷体"/>
              </w:rPr>
              <w:t xml:space="preserve"> </w:t>
            </w:r>
            <w:r>
              <w:rPr>
                <w:rFonts w:hint="eastAsia" w:ascii="楷体" w:hAnsi="楷体" w:eastAsia="楷体"/>
              </w:rPr>
              <w:t>后端（服务端）</w:t>
            </w:r>
          </w:p>
        </w:tc>
      </w:tr>
      <w:bookmarkEnd w:id="23"/>
    </w:tbl>
    <w:p w14:paraId="5560A38B">
      <w:pPr>
        <w:pStyle w:val="5"/>
        <w:rPr>
          <w:rFonts w:ascii="楷体" w:hAnsi="楷体" w:eastAsia="楷体"/>
        </w:rPr>
      </w:pPr>
      <w:bookmarkStart w:id="24" w:name="websocket长连接要求"/>
      <w:r>
        <w:rPr>
          <w:rFonts w:ascii="楷体" w:hAnsi="楷体" w:eastAsia="楷体"/>
        </w:rPr>
        <w:t xml:space="preserve">5.2 </w:t>
      </w:r>
      <w:r>
        <w:rPr>
          <w:rFonts w:hint="eastAsia" w:ascii="楷体" w:hAnsi="楷体" w:eastAsia="楷体"/>
        </w:rPr>
        <w:t>WebSocket长连接要求</w:t>
      </w:r>
    </w:p>
    <w:p w14:paraId="3B0C26E6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【嵌入式+联调】</w:t>
      </w:r>
    </w:p>
    <w:p w14:paraId="095CC9B6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嵌入式团队负责WebSocket客户端的实现，后端团队负责WebSocket服务器的部署与维护。双方需对接以下接口规范：</w:t>
      </w:r>
    </w:p>
    <w:p w14:paraId="011B2A75">
      <w:pPr>
        <w:pStyle w:val="25"/>
        <w:numPr>
          <w:ilvl w:val="0"/>
          <w:numId w:val="14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设备启动后自动建立WebSocket长连接到云端服务器；</w:t>
      </w:r>
    </w:p>
    <w:p w14:paraId="268BA90E">
      <w:pPr>
        <w:pStyle w:val="25"/>
        <w:numPr>
          <w:ilvl w:val="0"/>
          <w:numId w:val="14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支持断线自动重连，重连机制需具备指数退避策略；</w:t>
      </w:r>
    </w:p>
    <w:p w14:paraId="486BCDF9">
      <w:pPr>
        <w:pStyle w:val="25"/>
        <w:numPr>
          <w:ilvl w:val="0"/>
          <w:numId w:val="14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连接保持心跳检测，超时未响应自动判定断连；</w:t>
      </w:r>
    </w:p>
    <w:p w14:paraId="20785EF9">
      <w:pPr>
        <w:pStyle w:val="25"/>
        <w:numPr>
          <w:ilvl w:val="0"/>
          <w:numId w:val="14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支持双向数据透传：云端可下发控制指令，设备可上传传感器数据/语音数据等。</w:t>
      </w:r>
    </w:p>
    <w:bookmarkEnd w:id="24"/>
    <w:p w14:paraId="1A41BEC6">
      <w:pPr>
        <w:pStyle w:val="5"/>
        <w:rPr>
          <w:rFonts w:ascii="楷体" w:hAnsi="楷体" w:eastAsia="楷体"/>
        </w:rPr>
      </w:pPr>
      <w:bookmarkStart w:id="25" w:name="mqtttcp协议要求商务版"/>
      <w:r>
        <w:rPr>
          <w:rFonts w:ascii="楷体" w:hAnsi="楷体" w:eastAsia="楷体"/>
        </w:rPr>
        <w:t xml:space="preserve">5.3 </w:t>
      </w:r>
      <w:r>
        <w:rPr>
          <w:rFonts w:hint="eastAsia" w:ascii="楷体" w:hAnsi="楷体" w:eastAsia="楷体"/>
        </w:rPr>
        <w:t>MQTT/TCP协议要求</w:t>
      </w:r>
    </w:p>
    <w:p w14:paraId="2A115B73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【嵌入式+联调】</w:t>
      </w:r>
    </w:p>
    <w:p w14:paraId="2FA94DD1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嵌入式团队负责MQTT/TCP客户端的实现，后端团队负责MQTT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Broker的部署与维护。双方需对接以下接口规范：</w:t>
      </w:r>
    </w:p>
    <w:p w14:paraId="03BB9F3C">
      <w:pPr>
        <w:pStyle w:val="25"/>
        <w:numPr>
          <w:ilvl w:val="0"/>
          <w:numId w:val="15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封装MQTT/TCP通信协议，实现设备与云端的双向数据透传；</w:t>
      </w:r>
    </w:p>
    <w:p w14:paraId="01039C08">
      <w:pPr>
        <w:pStyle w:val="25"/>
        <w:numPr>
          <w:ilvl w:val="0"/>
          <w:numId w:val="15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支持QoS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0/1两级服务质量；</w:t>
      </w:r>
    </w:p>
    <w:p w14:paraId="7FAF9ACA">
      <w:pPr>
        <w:pStyle w:val="25"/>
        <w:numPr>
          <w:ilvl w:val="0"/>
          <w:numId w:val="15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支持主题订阅与发布，按功能模块划分Topic；</w:t>
      </w:r>
    </w:p>
    <w:p w14:paraId="2135C0F0">
      <w:pPr>
        <w:pStyle w:val="25"/>
        <w:numPr>
          <w:ilvl w:val="0"/>
          <w:numId w:val="15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消息格式采用JSON，包含消息类型、设备ID、数据载荷等字段。</w:t>
      </w:r>
    </w:p>
    <w:bookmarkEnd w:id="25"/>
    <w:p w14:paraId="19B01FD8">
      <w:pPr>
        <w:pStyle w:val="5"/>
        <w:rPr>
          <w:rFonts w:ascii="楷体" w:hAnsi="楷体" w:eastAsia="楷体"/>
        </w:rPr>
      </w:pPr>
      <w:bookmarkStart w:id="26" w:name="通信安全与校验要求"/>
      <w:r>
        <w:rPr>
          <w:rFonts w:ascii="楷体" w:hAnsi="楷体" w:eastAsia="楷体"/>
        </w:rPr>
        <w:t xml:space="preserve">5.4 </w:t>
      </w:r>
      <w:r>
        <w:rPr>
          <w:rFonts w:hint="eastAsia" w:ascii="楷体" w:hAnsi="楷体" w:eastAsia="楷体"/>
        </w:rPr>
        <w:t>通信安全与校验要求</w:t>
      </w:r>
    </w:p>
    <w:p w14:paraId="3F2CCE74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【嵌入式+联调】</w:t>
      </w:r>
    </w:p>
    <w:p w14:paraId="018B4ADF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为确保设备与云端之间的通信安全，防止数据被窃听、篡改和重放攻击，所有通信链路必须实现以下安全与校验机制。嵌入式团队负责设备端的实现，后端团队负责服务端的对应实现。双方需在联调阶段逐项验证通过。</w:t>
      </w:r>
    </w:p>
    <w:p w14:paraId="34E012C5">
      <w:pPr>
        <w:pStyle w:val="6"/>
        <w:rPr>
          <w:rFonts w:ascii="楷体" w:hAnsi="楷体" w:eastAsia="楷体"/>
          <w:i w:val="0"/>
        </w:rPr>
      </w:pPr>
      <w:bookmarkStart w:id="27" w:name="设备身份认证"/>
      <w:r>
        <w:rPr>
          <w:rFonts w:ascii="楷体" w:hAnsi="楷体" w:eastAsia="楷体"/>
          <w:i w:val="0"/>
        </w:rPr>
        <w:t xml:space="preserve">5.4.1 </w:t>
      </w:r>
      <w:r>
        <w:rPr>
          <w:rFonts w:hint="eastAsia" w:ascii="楷体" w:hAnsi="楷体" w:eastAsia="楷体"/>
          <w:i w:val="0"/>
        </w:rPr>
        <w:t>设备身份认证</w:t>
      </w:r>
    </w:p>
    <w:p w14:paraId="3852AF0D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每台设备出厂时预置唯一设备ID和密钥（如设备序列号+硬件指纹），密钥不可被逆向提取；</w:t>
      </w:r>
    </w:p>
    <w:p w14:paraId="1FAD2162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设备建立通信连接时需进行身份认证（如设备注册/认证接口），认证失败的设备应被拒绝接入；</w:t>
      </w:r>
    </w:p>
    <w:p w14:paraId="01F57D9E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认证令牌需设置有效期，过期后需重新认证或刷新令牌；</w:t>
      </w:r>
    </w:p>
    <w:p w14:paraId="6C7053A7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连续认证失败达到阈值（如5次）后，设备应锁定连接并上报告警，防止暴力破解。</w:t>
      </w:r>
    </w:p>
    <w:bookmarkEnd w:id="27"/>
    <w:p w14:paraId="39DA55AA">
      <w:pPr>
        <w:pStyle w:val="6"/>
        <w:rPr>
          <w:rFonts w:ascii="楷体" w:hAnsi="楷体" w:eastAsia="楷体"/>
          <w:i w:val="0"/>
        </w:rPr>
      </w:pPr>
      <w:bookmarkStart w:id="28" w:name="通信链路加密"/>
      <w:r>
        <w:rPr>
          <w:rFonts w:ascii="楷体" w:hAnsi="楷体" w:eastAsia="楷体"/>
          <w:i w:val="0"/>
        </w:rPr>
        <w:t xml:space="preserve">5.4.2 </w:t>
      </w:r>
      <w:r>
        <w:rPr>
          <w:rFonts w:hint="eastAsia" w:ascii="楷体" w:hAnsi="楷体" w:eastAsia="楷体"/>
          <w:i w:val="0"/>
        </w:rPr>
        <w:t>通信链路加密</w:t>
      </w:r>
    </w:p>
    <w:p w14:paraId="6326B350">
      <w:pPr>
        <w:pStyle w:val="25"/>
        <w:ind w:left="720" w:leftChars="3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所有通信必须启用</w:t>
      </w:r>
      <w:r>
        <w:rPr>
          <w:rFonts w:ascii="楷体" w:hAnsi="楷体" w:eastAsia="楷体"/>
        </w:rPr>
        <w:t xml:space="preserve"> TLS/SSL </w:t>
      </w:r>
      <w:r>
        <w:rPr>
          <w:rFonts w:hint="eastAsia" w:ascii="楷体" w:hAnsi="楷体" w:eastAsia="楷体"/>
        </w:rPr>
        <w:t>加密传输；</w:t>
      </w:r>
    </w:p>
    <w:p w14:paraId="6381BF24">
      <w:pPr>
        <w:pStyle w:val="25"/>
        <w:ind w:left="720" w:leftChars="30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WebSocket </w:t>
      </w:r>
      <w:r>
        <w:rPr>
          <w:rFonts w:hint="eastAsia" w:ascii="楷体" w:hAnsi="楷体" w:eastAsia="楷体"/>
        </w:rPr>
        <w:t>必须使用</w:t>
      </w:r>
      <w:r>
        <w:rPr>
          <w:rFonts w:ascii="楷体" w:hAnsi="楷体" w:eastAsia="楷体"/>
        </w:rPr>
        <w:t xml:space="preserve"> wss:// </w:t>
      </w:r>
      <w:r>
        <w:rPr>
          <w:rFonts w:hint="eastAsia" w:ascii="楷体" w:hAnsi="楷体" w:eastAsia="楷体"/>
        </w:rPr>
        <w:t>协议（而非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ws://）；</w:t>
      </w:r>
    </w:p>
    <w:p w14:paraId="466A6CA7">
      <w:pPr>
        <w:pStyle w:val="25"/>
        <w:ind w:left="720" w:leftChars="30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MQTT </w:t>
      </w:r>
      <w:r>
        <w:rPr>
          <w:rFonts w:hint="eastAsia" w:ascii="楷体" w:hAnsi="楷体" w:eastAsia="楷体"/>
        </w:rPr>
        <w:t>必须使用</w:t>
      </w:r>
      <w:r>
        <w:rPr>
          <w:rFonts w:ascii="楷体" w:hAnsi="楷体" w:eastAsia="楷体"/>
        </w:rPr>
        <w:t xml:space="preserve"> MQTT over </w:t>
      </w:r>
      <w:r>
        <w:rPr>
          <w:rFonts w:hint="eastAsia" w:ascii="楷体" w:hAnsi="楷体" w:eastAsia="楷体"/>
        </w:rPr>
        <w:t>TLS（mqtts://）；</w:t>
      </w:r>
    </w:p>
    <w:p w14:paraId="2ED75DEA">
      <w:pPr>
        <w:pStyle w:val="25"/>
        <w:ind w:left="720" w:leftChars="300"/>
        <w:rPr>
          <w:rFonts w:ascii="楷体" w:hAnsi="楷体" w:eastAsia="楷体"/>
        </w:rPr>
      </w:pPr>
      <w:r>
        <w:rPr>
          <w:rFonts w:ascii="楷体" w:hAnsi="楷体" w:eastAsia="楷体"/>
        </w:rPr>
        <w:t xml:space="preserve">HTTPS </w:t>
      </w:r>
      <w:r>
        <w:rPr>
          <w:rFonts w:hint="eastAsia" w:ascii="楷体" w:hAnsi="楷体" w:eastAsia="楷体"/>
        </w:rPr>
        <w:t>必须强制使用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HTTPS（而非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HTTP），TLS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版本不低于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1.2；</w:t>
      </w:r>
    </w:p>
    <w:p w14:paraId="1A9F7B01">
      <w:pPr>
        <w:pStyle w:val="25"/>
        <w:ind w:left="720" w:leftChars="3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设备端需预置受信任的</w:t>
      </w:r>
      <w:r>
        <w:rPr>
          <w:rFonts w:ascii="楷体" w:hAnsi="楷体" w:eastAsia="楷体"/>
        </w:rPr>
        <w:t xml:space="preserve"> CA </w:t>
      </w:r>
      <w:r>
        <w:rPr>
          <w:rFonts w:hint="eastAsia" w:ascii="楷体" w:hAnsi="楷体" w:eastAsia="楷体"/>
        </w:rPr>
        <w:t>证书，拒绝连接证书不可信的服务端。</w:t>
      </w:r>
    </w:p>
    <w:bookmarkEnd w:id="28"/>
    <w:p w14:paraId="4A7E82F4">
      <w:pPr>
        <w:pStyle w:val="6"/>
        <w:rPr>
          <w:rFonts w:ascii="楷体" w:hAnsi="楷体" w:eastAsia="楷体"/>
          <w:i w:val="0"/>
        </w:rPr>
      </w:pPr>
      <w:bookmarkStart w:id="29" w:name="消息完整性校验"/>
      <w:r>
        <w:rPr>
          <w:rFonts w:ascii="楷体" w:hAnsi="楷体" w:eastAsia="楷体"/>
          <w:i w:val="0"/>
        </w:rPr>
        <w:t xml:space="preserve">5.4.3 </w:t>
      </w:r>
      <w:r>
        <w:rPr>
          <w:rFonts w:hint="eastAsia" w:ascii="楷体" w:hAnsi="楷体" w:eastAsia="楷体"/>
          <w:i w:val="0"/>
        </w:rPr>
        <w:t>消息完整性校验</w:t>
      </w:r>
    </w:p>
    <w:p w14:paraId="22323C9F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通信安全校验：</w:t>
      </w:r>
      <w:r>
        <w:rPr>
          <w:rFonts w:ascii="楷体" w:hAnsi="楷体" w:eastAsia="楷体"/>
        </w:rPr>
        <w:t xml:space="preserve"> TLS/SSL </w:t>
      </w:r>
      <w:r>
        <w:rPr>
          <w:rFonts w:hint="eastAsia" w:ascii="楷体" w:hAnsi="楷体" w:eastAsia="楷体"/>
        </w:rPr>
        <w:t>连接验证通过，消息签名验证通过，重放攻击防护有效；</w:t>
      </w:r>
    </w:p>
    <w:p w14:paraId="00E509D5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设备身份认证：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未认证设备无法建立连接，连续认证失败触发锁定机制；</w:t>
      </w:r>
    </w:p>
    <w:p w14:paraId="63161B87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指令安全：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关键指令需二次确认，指令频率限制生效，指令来源校验通过；</w:t>
      </w:r>
    </w:p>
    <w:p w14:paraId="7DEF4649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数据上传校验：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数据完整性校验通过，断点续传功能正常，大文件分片上传无异常。</w:t>
      </w:r>
    </w:p>
    <w:bookmarkEnd w:id="29"/>
    <w:p w14:paraId="0B15E7AF">
      <w:pPr>
        <w:pStyle w:val="6"/>
        <w:rPr>
          <w:rFonts w:ascii="楷体" w:hAnsi="楷体" w:eastAsia="楷体"/>
          <w:i w:val="0"/>
        </w:rPr>
      </w:pPr>
      <w:bookmarkStart w:id="30" w:name="指令安全校验"/>
      <w:r>
        <w:rPr>
          <w:rFonts w:ascii="楷体" w:hAnsi="楷体" w:eastAsia="楷体"/>
          <w:i w:val="0"/>
        </w:rPr>
        <w:t xml:space="preserve">5.4.4 </w:t>
      </w:r>
      <w:r>
        <w:rPr>
          <w:rFonts w:hint="eastAsia" w:ascii="楷体" w:hAnsi="楷体" w:eastAsia="楷体"/>
          <w:i w:val="0"/>
        </w:rPr>
        <w:t>指令安全校验</w:t>
      </w:r>
    </w:p>
    <w:p w14:paraId="39AAD295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远程控制指令需校验指令来源合法性，仅接受来自已认证云端的指令；</w:t>
      </w:r>
    </w:p>
    <w:p w14:paraId="1CA444EB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关键指令（如销毁数据、格式化存储、关闭安全模块）需增加二次确认机制；</w:t>
      </w:r>
    </w:p>
    <w:p w14:paraId="0F7E4949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指令需设置执行频率限制，防止恶意高频调用（如同一指令间隔不低于1秒）；</w:t>
      </w:r>
    </w:p>
    <w:p w14:paraId="05AADAF8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设备端需记录所有接收到的指令日志，供审计追溯。</w:t>
      </w:r>
    </w:p>
    <w:bookmarkEnd w:id="30"/>
    <w:p w14:paraId="7749C6F2">
      <w:pPr>
        <w:pStyle w:val="6"/>
        <w:rPr>
          <w:rFonts w:ascii="楷体" w:hAnsi="楷体" w:eastAsia="楷体"/>
          <w:i w:val="0"/>
        </w:rPr>
      </w:pPr>
      <w:bookmarkStart w:id="31" w:name="数据上传校验"/>
      <w:r>
        <w:rPr>
          <w:rFonts w:ascii="楷体" w:hAnsi="楷体" w:eastAsia="楷体"/>
          <w:i w:val="0"/>
        </w:rPr>
        <w:t xml:space="preserve">5.4.5 </w:t>
      </w:r>
      <w:r>
        <w:rPr>
          <w:rFonts w:hint="eastAsia" w:ascii="楷体" w:hAnsi="楷体" w:eastAsia="楷体"/>
          <w:i w:val="0"/>
        </w:rPr>
        <w:t>数据上传校验</w:t>
      </w:r>
    </w:p>
    <w:p w14:paraId="0AF9D0F5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上传数据需携带设备ID和校验和（Checksum），云端验证数据完整性；</w:t>
      </w:r>
    </w:p>
    <w:p w14:paraId="6AADC03E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大文件上传（如视频片段）需分片传输并逐片校验；</w:t>
      </w:r>
    </w:p>
    <w:p w14:paraId="0A44F7BB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上传失败需支持断点续传，已上传成功的分片不应重复传输；</w:t>
      </w:r>
    </w:p>
    <w:p w14:paraId="4A48F82E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上传数据需加密存储，解密密钥不得硬编码在固件中。</w:t>
      </w:r>
    </w:p>
    <w:bookmarkEnd w:id="31"/>
    <w:p w14:paraId="511DCE1C">
      <w:pPr>
        <w:pStyle w:val="6"/>
        <w:rPr>
          <w:rFonts w:ascii="楷体" w:hAnsi="楷体" w:eastAsia="楷体"/>
          <w:i w:val="0"/>
        </w:rPr>
      </w:pPr>
      <w:bookmarkStart w:id="32" w:name="异常处理与安全策略"/>
      <w:r>
        <w:rPr>
          <w:rFonts w:ascii="楷体" w:hAnsi="楷体" w:eastAsia="楷体"/>
          <w:i w:val="0"/>
        </w:rPr>
        <w:t xml:space="preserve">5.4.6 </w:t>
      </w:r>
      <w:r>
        <w:rPr>
          <w:rFonts w:hint="eastAsia" w:ascii="楷体" w:hAnsi="楷体" w:eastAsia="楷体"/>
          <w:i w:val="0"/>
        </w:rPr>
        <w:t>异常处理与安全策略</w:t>
      </w:r>
    </w:p>
    <w:p w14:paraId="26DEADA9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检测到异常通信行为（如高频重连、异常数据量）需触发告警并上报云端；</w:t>
      </w:r>
    </w:p>
    <w:p w14:paraId="4A5F4019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支持远程吊销设备证书/密钥，被吊销的设备应立即停止所有通信；</w:t>
      </w:r>
    </w:p>
    <w:p w14:paraId="0D9C161B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设备端需具备安全启动（Secure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Boot）能力，防止固件被篡改；</w:t>
      </w:r>
    </w:p>
    <w:p w14:paraId="693A2BA8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通信链路需实现防中间人攻击（MITM）机制，如证书绑定（Certificate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Pinning）。</w:t>
      </w:r>
    </w:p>
    <w:bookmarkEnd w:id="32"/>
    <w:p w14:paraId="3B6933B0">
      <w:pPr>
        <w:pStyle w:val="6"/>
        <w:rPr>
          <w:rFonts w:ascii="楷体" w:hAnsi="楷体" w:eastAsia="楷体"/>
          <w:i w:val="0"/>
        </w:rPr>
      </w:pPr>
      <w:bookmarkStart w:id="33" w:name="责任分工说明"/>
      <w:r>
        <w:rPr>
          <w:rFonts w:ascii="楷体" w:hAnsi="楷体" w:eastAsia="楷体"/>
          <w:i w:val="0"/>
        </w:rPr>
        <w:t xml:space="preserve">5.4.7 </w:t>
      </w:r>
      <w:r>
        <w:rPr>
          <w:rFonts w:hint="eastAsia" w:ascii="楷体" w:hAnsi="楷体" w:eastAsia="楷体"/>
          <w:i w:val="0"/>
        </w:rPr>
        <w:t>责任分工说明</w:t>
      </w:r>
    </w:p>
    <w:p w14:paraId="53B6F0DC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嵌入式团队负责：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设备端身份认证实现、TLS/SSL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客户端配置、消息签名/验签、指令校验逻辑、数据加密上传、安全启动实现、异常行为检测与上报。</w:t>
      </w:r>
    </w:p>
    <w:p w14:paraId="12F15A43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后端团队负责：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服务端认证服务、密钥管理/轮换、证书颁发与吊销列表（CRL）、消息签名验证、指令频率限制、异常行为分析与告警。</w:t>
      </w:r>
    </w:p>
    <w:p w14:paraId="693579C3">
      <w:pPr>
        <w:pStyle w:val="25"/>
        <w:ind w:firstLine="64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双方联调要求：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在联调测试阶段，需逐项验证上述安全机制是否生效，包括但不限于：TLS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连接验证、消息签名验证、重放攻击防护、指令频率限制、设备吊销测试等。</w:t>
      </w:r>
    </w:p>
    <w:bookmarkEnd w:id="22"/>
    <w:bookmarkEnd w:id="26"/>
    <w:bookmarkEnd w:id="33"/>
    <w:p w14:paraId="0FDD9C90">
      <w:pPr>
        <w:pStyle w:val="4"/>
        <w:rPr>
          <w:rFonts w:ascii="楷体" w:hAnsi="楷体" w:eastAsia="楷体"/>
        </w:rPr>
      </w:pPr>
      <w:bookmarkStart w:id="34" w:name="第六章-商务版独有功能"/>
      <w:r>
        <w:rPr>
          <w:rFonts w:hint="eastAsia" w:ascii="楷体" w:hAnsi="楷体" w:eastAsia="楷体"/>
        </w:rPr>
        <w:t>第六章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基座功能</w:t>
      </w:r>
    </w:p>
    <w:p w14:paraId="1B2DB033">
      <w:pPr>
        <w:pStyle w:val="5"/>
        <w:rPr>
          <w:rFonts w:ascii="楷体" w:hAnsi="楷体" w:eastAsia="楷体"/>
        </w:rPr>
      </w:pPr>
      <w:bookmarkStart w:id="35" w:name="本地数据隐私安全"/>
      <w:r>
        <w:rPr>
          <w:rFonts w:ascii="楷体" w:hAnsi="楷体" w:eastAsia="楷体"/>
        </w:rPr>
        <w:t xml:space="preserve">6.1 </w:t>
      </w:r>
      <w:r>
        <w:rPr>
          <w:rFonts w:hint="eastAsia" w:ascii="楷体" w:hAnsi="楷体" w:eastAsia="楷体"/>
        </w:rPr>
        <w:t>本地数据隐私安全</w:t>
      </w:r>
    </w:p>
    <w:p w14:paraId="3CEB0488">
      <w:pPr>
        <w:pStyle w:val="24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【嵌入式独占】</w:t>
      </w:r>
    </w:p>
    <w:p w14:paraId="1CFE457E">
      <w:pPr>
        <w:pStyle w:val="3"/>
        <w:ind w:firstLine="480" w:firstLineChars="200"/>
        <w:rPr>
          <w:rFonts w:ascii="楷体" w:hAnsi="楷体" w:eastAsia="楷体"/>
        </w:rPr>
      </w:pPr>
      <w:r>
        <w:rPr>
          <w:rFonts w:hint="eastAsia" w:ascii="楷体" w:hAnsi="楷体" w:eastAsia="楷体"/>
          <w:b/>
          <w:bCs/>
        </w:rPr>
        <w:t>需求描述：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主打”私人数字隐私安全舱”概念，所有数据完全归个人所有。</w:t>
      </w:r>
    </w:p>
    <w:p w14:paraId="73E63ABC">
      <w:pPr>
        <w:pStyle w:val="25"/>
        <w:numPr>
          <w:ilvl w:val="0"/>
          <w:numId w:val="1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本地缓存所有语音对话记录；</w:t>
      </w:r>
    </w:p>
    <w:p w14:paraId="54166243">
      <w:pPr>
        <w:pStyle w:val="25"/>
        <w:numPr>
          <w:ilvl w:val="0"/>
          <w:numId w:val="1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本地缓存用户所有情绪记录；</w:t>
      </w:r>
    </w:p>
    <w:p w14:paraId="231CD09A">
      <w:pPr>
        <w:pStyle w:val="25"/>
        <w:numPr>
          <w:ilvl w:val="0"/>
          <w:numId w:val="1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本地缓存生活工作记忆数据；</w:t>
      </w:r>
    </w:p>
    <w:p w14:paraId="4087765D">
      <w:pPr>
        <w:pStyle w:val="25"/>
        <w:numPr>
          <w:ilvl w:val="0"/>
          <w:numId w:val="1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支持一键导出功能：用户可一键导出全部本地数据；</w:t>
      </w:r>
    </w:p>
    <w:p w14:paraId="760EDB29">
      <w:pPr>
        <w:pStyle w:val="25"/>
        <w:numPr>
          <w:ilvl w:val="0"/>
          <w:numId w:val="16"/>
        </w:num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支持一键永久销毁功能：用户可一键永久删除全部本地数据，确保不可恢复。</w:t>
      </w:r>
    </w:p>
    <w:bookmarkEnd w:id="34"/>
    <w:bookmarkEnd w:id="35"/>
    <w:p w14:paraId="0983E932">
      <w:pPr>
        <w:pStyle w:val="4"/>
        <w:rPr>
          <w:rFonts w:ascii="楷体" w:hAnsi="楷体" w:eastAsia="楷体"/>
        </w:rPr>
      </w:pPr>
      <w:bookmarkStart w:id="36" w:name="第八章-交付物与验收标准"/>
      <w:r>
        <w:rPr>
          <w:rFonts w:hint="eastAsia" w:ascii="楷体" w:hAnsi="楷体" w:eastAsia="楷体"/>
        </w:rPr>
        <w:t>第七章</w:t>
      </w:r>
      <w:r>
        <w:rPr>
          <w:rFonts w:ascii="楷体" w:hAnsi="楷体" w:eastAsia="楷体"/>
        </w:rPr>
        <w:t xml:space="preserve"> </w:t>
      </w:r>
      <w:r>
        <w:rPr>
          <w:rFonts w:hint="eastAsia" w:ascii="楷体" w:hAnsi="楷体" w:eastAsia="楷体"/>
        </w:rPr>
        <w:t>交付物与验收标准</w:t>
      </w:r>
    </w:p>
    <w:p w14:paraId="4F4B8CB0">
      <w:pPr>
        <w:pStyle w:val="5"/>
        <w:rPr>
          <w:rFonts w:ascii="楷体" w:hAnsi="楷体" w:eastAsia="楷体"/>
        </w:rPr>
      </w:pPr>
      <w:bookmarkStart w:id="37" w:name="交付物清单"/>
      <w:r>
        <w:rPr>
          <w:rFonts w:hint="eastAsia" w:ascii="楷体" w:hAnsi="楷体" w:eastAsia="楷体"/>
        </w:rPr>
        <w:t>7</w:t>
      </w:r>
      <w:r>
        <w:rPr>
          <w:rFonts w:ascii="楷体" w:hAnsi="楷体" w:eastAsia="楷体"/>
        </w:rPr>
        <w:t xml:space="preserve">.1 </w:t>
      </w:r>
      <w:r>
        <w:rPr>
          <w:rFonts w:hint="eastAsia" w:ascii="楷体" w:hAnsi="楷体" w:eastAsia="楷体"/>
        </w:rPr>
        <w:t>交付物清单</w:t>
      </w:r>
    </w:p>
    <w:tbl>
      <w:tblPr>
        <w:tblStyle w:val="4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362"/>
        <w:gridCol w:w="1771"/>
        <w:gridCol w:w="2952"/>
      </w:tblGrid>
      <w:tr w14:paraId="2991F061">
        <w:trPr>
          <w:tblHeader/>
        </w:trPr>
        <w:tc>
          <w:tcPr>
            <w:tcW w:w="1584" w:type="dxa"/>
            <w:tcBorders>
              <w:bottom w:val="nil"/>
            </w:tcBorders>
            <w:vAlign w:val="bottom"/>
          </w:tcPr>
          <w:p w14:paraId="2B3E01F8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序号</w:t>
            </w:r>
          </w:p>
        </w:tc>
        <w:tc>
          <w:tcPr>
            <w:tcW w:w="2112" w:type="dxa"/>
            <w:tcBorders>
              <w:bottom w:val="nil"/>
            </w:tcBorders>
            <w:vAlign w:val="bottom"/>
          </w:tcPr>
          <w:p w14:paraId="734CD36C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交付物</w:t>
            </w:r>
          </w:p>
        </w:tc>
        <w:tc>
          <w:tcPr>
            <w:tcW w:w="1584" w:type="dxa"/>
            <w:tcBorders>
              <w:bottom w:val="nil"/>
            </w:tcBorders>
            <w:vAlign w:val="bottom"/>
          </w:tcPr>
          <w:p w14:paraId="6CC1439C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说明</w:t>
            </w:r>
          </w:p>
        </w:tc>
        <w:tc>
          <w:tcPr>
            <w:tcW w:w="2640" w:type="dxa"/>
            <w:tcBorders>
              <w:bottom w:val="nil"/>
            </w:tcBorders>
            <w:vAlign w:val="bottom"/>
          </w:tcPr>
          <w:p w14:paraId="213E5794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验收方式</w:t>
            </w:r>
          </w:p>
        </w:tc>
      </w:tr>
      <w:tr w14:paraId="1944EB18">
        <w:tc>
          <w:tcPr>
            <w:tcW w:w="1584" w:type="dxa"/>
          </w:tcPr>
          <w:p w14:paraId="6418E5AE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1</w:t>
            </w:r>
          </w:p>
        </w:tc>
        <w:tc>
          <w:tcPr>
            <w:tcW w:w="2112" w:type="dxa"/>
          </w:tcPr>
          <w:p w14:paraId="400837B7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底层驱动源代码</w:t>
            </w:r>
          </w:p>
        </w:tc>
        <w:tc>
          <w:tcPr>
            <w:tcW w:w="1584" w:type="dxa"/>
          </w:tcPr>
          <w:p w14:paraId="0413833C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所有硬件驱动的完整源代码，含注释</w:t>
            </w:r>
          </w:p>
        </w:tc>
        <w:tc>
          <w:tcPr>
            <w:tcW w:w="2640" w:type="dxa"/>
          </w:tcPr>
          <w:p w14:paraId="18BC0C78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代码审查+编译通过</w:t>
            </w:r>
          </w:p>
        </w:tc>
      </w:tr>
      <w:tr w14:paraId="2DCBAA49">
        <w:tc>
          <w:tcPr>
            <w:tcW w:w="1584" w:type="dxa"/>
          </w:tcPr>
          <w:p w14:paraId="3E78E0BD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2</w:t>
            </w:r>
          </w:p>
        </w:tc>
        <w:tc>
          <w:tcPr>
            <w:tcW w:w="2112" w:type="dxa"/>
          </w:tcPr>
          <w:p w14:paraId="4C7DCFB3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驱动程序固件</w:t>
            </w:r>
          </w:p>
        </w:tc>
        <w:tc>
          <w:tcPr>
            <w:tcW w:w="1584" w:type="dxa"/>
          </w:tcPr>
          <w:p w14:paraId="2C4B6B06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编译好的固件文件（.bin/.hex）</w:t>
            </w:r>
          </w:p>
        </w:tc>
        <w:tc>
          <w:tcPr>
            <w:tcW w:w="2640" w:type="dxa"/>
          </w:tcPr>
          <w:p w14:paraId="207CFB2F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烧录测试</w:t>
            </w:r>
          </w:p>
        </w:tc>
      </w:tr>
      <w:tr w14:paraId="2B7F7878">
        <w:tc>
          <w:tcPr>
            <w:tcW w:w="1584" w:type="dxa"/>
          </w:tcPr>
          <w:p w14:paraId="17A7CF54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3</w:t>
            </w:r>
          </w:p>
        </w:tc>
        <w:tc>
          <w:tcPr>
            <w:tcW w:w="2112" w:type="dxa"/>
          </w:tcPr>
          <w:p w14:paraId="58879010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硬件接口文档</w:t>
            </w:r>
          </w:p>
        </w:tc>
        <w:tc>
          <w:tcPr>
            <w:tcW w:w="1584" w:type="dxa"/>
          </w:tcPr>
          <w:p w14:paraId="1C81FB0A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各外设接口的引脚定义、通信协议说明</w:t>
            </w:r>
          </w:p>
        </w:tc>
        <w:tc>
          <w:tcPr>
            <w:tcW w:w="2640" w:type="dxa"/>
          </w:tcPr>
          <w:p w14:paraId="50B405A9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文档审查</w:t>
            </w:r>
          </w:p>
        </w:tc>
      </w:tr>
      <w:tr w14:paraId="372AF395">
        <w:tc>
          <w:tcPr>
            <w:tcW w:w="1584" w:type="dxa"/>
          </w:tcPr>
          <w:p w14:paraId="318843E2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4</w:t>
            </w:r>
          </w:p>
        </w:tc>
        <w:tc>
          <w:tcPr>
            <w:tcW w:w="2112" w:type="dxa"/>
          </w:tcPr>
          <w:p w14:paraId="5F6C0BA2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驱动测试报告</w:t>
            </w:r>
          </w:p>
        </w:tc>
        <w:tc>
          <w:tcPr>
            <w:tcW w:w="1584" w:type="dxa"/>
          </w:tcPr>
          <w:p w14:paraId="655EF900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各模块的测试用例与测试结果</w:t>
            </w:r>
          </w:p>
        </w:tc>
        <w:tc>
          <w:tcPr>
            <w:tcW w:w="2640" w:type="dxa"/>
          </w:tcPr>
          <w:p w14:paraId="17A279B3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测试报告审查+复测</w:t>
            </w:r>
          </w:p>
        </w:tc>
      </w:tr>
      <w:tr w14:paraId="4CAA29F2">
        <w:tc>
          <w:tcPr>
            <w:tcW w:w="1584" w:type="dxa"/>
          </w:tcPr>
          <w:p w14:paraId="7519B653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5</w:t>
            </w:r>
          </w:p>
        </w:tc>
        <w:tc>
          <w:tcPr>
            <w:tcW w:w="2112" w:type="dxa"/>
          </w:tcPr>
          <w:p w14:paraId="3CEBD4F9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SDK开发包</w:t>
            </w:r>
          </w:p>
        </w:tc>
        <w:tc>
          <w:tcPr>
            <w:tcW w:w="1584" w:type="dxa"/>
          </w:tcPr>
          <w:p w14:paraId="64A24EE5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供上层应用调用的SDK/API文档</w:t>
            </w:r>
          </w:p>
        </w:tc>
        <w:tc>
          <w:tcPr>
            <w:tcW w:w="2640" w:type="dxa"/>
          </w:tcPr>
          <w:p w14:paraId="693706B4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集成测试</w:t>
            </w:r>
          </w:p>
        </w:tc>
      </w:tr>
      <w:tr w14:paraId="55691ED5">
        <w:tc>
          <w:tcPr>
            <w:tcW w:w="1584" w:type="dxa"/>
          </w:tcPr>
          <w:p w14:paraId="1F6E37EE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6</w:t>
            </w:r>
          </w:p>
        </w:tc>
        <w:tc>
          <w:tcPr>
            <w:tcW w:w="2112" w:type="dxa"/>
          </w:tcPr>
          <w:p w14:paraId="7EE0CDE2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原理图/PCB文件</w:t>
            </w:r>
          </w:p>
        </w:tc>
        <w:tc>
          <w:tcPr>
            <w:tcW w:w="1584" w:type="dxa"/>
          </w:tcPr>
          <w:p w14:paraId="0E8E5ACA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如涉及硬件设计，需提供原理图和PCB文件</w:t>
            </w:r>
          </w:p>
        </w:tc>
        <w:tc>
          <w:tcPr>
            <w:tcW w:w="2640" w:type="dxa"/>
          </w:tcPr>
          <w:p w14:paraId="456BA4FF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文件审查</w:t>
            </w:r>
          </w:p>
        </w:tc>
      </w:tr>
      <w:tr w14:paraId="3FD78DE0">
        <w:tc>
          <w:tcPr>
            <w:tcW w:w="1584" w:type="dxa"/>
          </w:tcPr>
          <w:p w14:paraId="7637DC1E">
            <w:pPr>
              <w:pStyle w:val="25"/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</w:rPr>
              <w:t>7</w:t>
            </w:r>
          </w:p>
        </w:tc>
        <w:tc>
          <w:tcPr>
            <w:tcW w:w="2112" w:type="dxa"/>
          </w:tcPr>
          <w:p w14:paraId="59881DB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结构设计方案</w:t>
            </w:r>
          </w:p>
        </w:tc>
        <w:tc>
          <w:tcPr>
            <w:tcW w:w="1584" w:type="dxa"/>
          </w:tcPr>
          <w:p w14:paraId="168484C6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内部腔体、走线槽、电池仓等结构设计图纸</w:t>
            </w:r>
          </w:p>
        </w:tc>
        <w:tc>
          <w:tcPr>
            <w:tcW w:w="2640" w:type="dxa"/>
          </w:tcPr>
          <w:p w14:paraId="38DCC50D">
            <w:pPr>
              <w:pStyle w:val="25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3D模型审查</w:t>
            </w:r>
          </w:p>
        </w:tc>
      </w:tr>
      <w:bookmarkEnd w:id="37"/>
    </w:tbl>
    <w:p w14:paraId="4A9FB58A">
      <w:pPr>
        <w:pStyle w:val="5"/>
        <w:rPr>
          <w:rFonts w:ascii="楷体" w:hAnsi="楷体" w:eastAsia="楷体"/>
        </w:rPr>
      </w:pPr>
      <w:bookmarkStart w:id="38" w:name="验收标准"/>
      <w:r>
        <w:rPr>
          <w:rFonts w:hint="eastAsia" w:ascii="楷体" w:hAnsi="楷体" w:eastAsia="楷体"/>
        </w:rPr>
        <w:t>7</w:t>
      </w:r>
      <w:r>
        <w:rPr>
          <w:rFonts w:ascii="楷体" w:hAnsi="楷体" w:eastAsia="楷体"/>
        </w:rPr>
        <w:t xml:space="preserve">.2 </w:t>
      </w:r>
      <w:r>
        <w:rPr>
          <w:rFonts w:hint="eastAsia" w:ascii="楷体" w:hAnsi="楷体" w:eastAsia="楷体"/>
        </w:rPr>
        <w:t>验收标准</w:t>
      </w:r>
    </w:p>
    <w:p w14:paraId="2F3232FA">
      <w:pPr>
        <w:pStyle w:val="6"/>
        <w:rPr>
          <w:rFonts w:ascii="楷体" w:hAnsi="楷体" w:eastAsia="楷体"/>
          <w:i w:val="0"/>
        </w:rPr>
      </w:pPr>
      <w:bookmarkStart w:id="39" w:name="功能验收"/>
      <w:r>
        <w:rPr>
          <w:rFonts w:hint="eastAsia" w:ascii="楷体" w:hAnsi="楷体" w:eastAsia="楷体"/>
          <w:i w:val="0"/>
        </w:rPr>
        <w:t>7</w:t>
      </w:r>
      <w:r>
        <w:rPr>
          <w:rFonts w:ascii="楷体" w:hAnsi="楷体" w:eastAsia="楷体"/>
          <w:i w:val="0"/>
        </w:rPr>
        <w:t xml:space="preserve">.2.1 </w:t>
      </w:r>
      <w:r>
        <w:rPr>
          <w:rFonts w:hint="eastAsia" w:ascii="楷体" w:hAnsi="楷体" w:eastAsia="楷体"/>
          <w:i w:val="0"/>
        </w:rPr>
        <w:t>功能验收</w:t>
      </w:r>
    </w:p>
    <w:p w14:paraId="069D1FB5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所有驱动模块可正常编译、烧录、运行，无崩溃/死机现象；</w:t>
      </w:r>
    </w:p>
    <w:p w14:paraId="5A636042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音频驱动：语音采集清晰，TTS播放无爆音，降噪效果可感知；</w:t>
      </w:r>
    </w:p>
    <w:p w14:paraId="52DB453A">
      <w:pPr>
        <w:pStyle w:val="25"/>
        <w:ind w:firstLine="72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音频播放：本地短音频触发播放延迟不超过50ms，报警音可正确中断音乐播放；远程音乐播放首帧延迟不超过2秒，播放控制响应延迟不超过200ms，网络异常兜底提示音正常播放。</w:t>
      </w:r>
    </w:p>
    <w:p w14:paraId="38DE2506">
      <w:pPr>
        <w:pStyle w:val="25"/>
        <w:ind w:firstLine="7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WiFi驱动：连接稳定，断线重连成功率不低于99%；</w:t>
      </w:r>
    </w:p>
    <w:p w14:paraId="7D434F5C">
      <w:pPr>
        <w:pStyle w:val="25"/>
        <w:ind w:firstLine="72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电源管理：休眠电流符合规格，电量检测误差</w:t>
      </w:r>
      <w:bookmarkEnd w:id="0"/>
      <w:bookmarkEnd w:id="36"/>
      <w:bookmarkEnd w:id="38"/>
      <w:bookmarkEnd w:id="39"/>
      <w:r>
        <w:rPr>
          <w:rFonts w:ascii="楷体" w:hAnsi="楷体" w:eastAsia="楷体"/>
        </w:rPr>
        <w:t>小于5%；</w:t>
      </w:r>
    </w:p>
    <w:p w14:paraId="45E12CA3">
      <w:pPr>
        <w:pStyle w:val="25"/>
        <w:ind w:firstLine="720"/>
        <w:rPr>
          <w:rFonts w:ascii="楷体" w:hAnsi="楷体" w:eastAsia="楷体"/>
        </w:rPr>
      </w:pPr>
      <w:r>
        <w:rPr>
          <w:rFonts w:ascii="楷体" w:hAnsi="楷体" w:eastAsia="楷体"/>
        </w:rPr>
        <w:t>通信协议：HTTPS/WebSocket/MQTT连接稳定，消息收发正常。</w:t>
      </w:r>
    </w:p>
    <w:p w14:paraId="761A88CF">
      <w:pPr>
        <w:pStyle w:val="6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7</w:t>
      </w:r>
      <w:r>
        <w:rPr>
          <w:rFonts w:ascii="楷体" w:hAnsi="楷体" w:eastAsia="楷体"/>
          <w:i w:val="0"/>
        </w:rPr>
        <w:t>.2.2 性能验收</w:t>
      </w:r>
    </w:p>
    <w:p w14:paraId="285D682B">
      <w:pPr>
        <w:spacing w:before="60" w:after="60" w:line="360" w:lineRule="auto"/>
        <w:ind w:firstLine="567"/>
        <w:rPr>
          <w:rFonts w:ascii="楷体" w:hAnsi="楷体" w:eastAsia="楷体"/>
        </w:rPr>
      </w:pPr>
      <w:r>
        <w:rPr>
          <w:rFonts w:ascii="楷体" w:hAnsi="楷体" w:eastAsia="楷体"/>
        </w:rPr>
        <w:t>1. 整机待机功耗不超过规格要求；</w:t>
      </w:r>
    </w:p>
    <w:p w14:paraId="48AA574D">
      <w:pPr>
        <w:spacing w:before="60" w:after="60" w:line="360" w:lineRule="auto"/>
        <w:ind w:firstLine="567"/>
        <w:rPr>
          <w:rFonts w:ascii="楷体" w:hAnsi="楷体" w:eastAsia="楷体"/>
        </w:rPr>
      </w:pPr>
      <w:r>
        <w:rPr>
          <w:rFonts w:ascii="楷体" w:hAnsi="楷体" w:eastAsia="楷体"/>
        </w:rPr>
        <w:t>2. 连续运行72小时无异常（稳定性测试）；</w:t>
      </w:r>
    </w:p>
    <w:p w14:paraId="2AA6BD1A">
      <w:pPr>
        <w:spacing w:before="60" w:after="60" w:line="360" w:lineRule="auto"/>
        <w:ind w:firstLine="480"/>
        <w:rPr>
          <w:rFonts w:ascii="楷体" w:hAnsi="楷体" w:eastAsia="楷体"/>
        </w:rPr>
      </w:pPr>
      <w:r>
        <w:rPr>
          <w:rFonts w:ascii="楷体" w:hAnsi="楷体" w:eastAsia="楷体"/>
        </w:rPr>
        <w:t>3. 温度测试：连续运行2小时后，主板温度不超过85度。</w:t>
      </w:r>
    </w:p>
    <w:p w14:paraId="3BFE4D5F">
      <w:pPr>
        <w:pStyle w:val="6"/>
        <w:rPr>
          <w:rFonts w:ascii="楷体" w:hAnsi="楷体" w:eastAsia="楷体"/>
          <w:i w:val="0"/>
        </w:rPr>
      </w:pPr>
      <w:r>
        <w:rPr>
          <w:rFonts w:hint="eastAsia" w:ascii="楷体" w:hAnsi="楷体" w:eastAsia="楷体"/>
          <w:i w:val="0"/>
        </w:rPr>
        <w:t>7</w:t>
      </w:r>
      <w:r>
        <w:rPr>
          <w:rFonts w:ascii="楷体" w:hAnsi="楷体" w:eastAsia="楷体"/>
          <w:i w:val="0"/>
        </w:rPr>
        <w:t>.2.3 文档验收</w:t>
      </w:r>
    </w:p>
    <w:p w14:paraId="7E30B797">
      <w:pPr>
        <w:spacing w:before="60" w:after="60" w:line="360" w:lineRule="auto"/>
        <w:ind w:firstLine="567"/>
        <w:rPr>
          <w:rFonts w:ascii="楷体" w:hAnsi="楷体" w:eastAsia="楷体"/>
        </w:rPr>
      </w:pPr>
      <w:r>
        <w:rPr>
          <w:rFonts w:ascii="楷体" w:hAnsi="楷体" w:eastAsia="楷体"/>
        </w:rPr>
        <w:t>1. 代码注释覆盖率不低于30%；</w:t>
      </w:r>
    </w:p>
    <w:p w14:paraId="295347C2">
      <w:pPr>
        <w:spacing w:before="60" w:after="60" w:line="360" w:lineRule="auto"/>
        <w:ind w:firstLine="567"/>
        <w:rPr>
          <w:rFonts w:ascii="楷体" w:hAnsi="楷体" w:eastAsia="楷体"/>
        </w:rPr>
      </w:pPr>
      <w:r>
        <w:rPr>
          <w:rFonts w:ascii="楷体" w:hAnsi="楷体" w:eastAsia="楷体"/>
        </w:rPr>
        <w:t>2. 接口文档完整，包含所有API的参数说明、返回值说明、错误码说明；</w:t>
      </w:r>
    </w:p>
    <w:p w14:paraId="4587331D">
      <w:pPr>
        <w:spacing w:before="60" w:after="60" w:line="360" w:lineRule="auto"/>
        <w:ind w:firstLine="567"/>
        <w:rPr>
          <w:rFonts w:ascii="楷体" w:hAnsi="楷体" w:eastAsia="楷体"/>
        </w:rPr>
      </w:pPr>
      <w:r>
        <w:rPr>
          <w:rFonts w:ascii="楷体" w:hAnsi="楷体" w:eastAsia="楷体"/>
        </w:rPr>
        <w:t>3. 测试报告包含完整的测试用例、测试步骤、测试结果。</w:t>
      </w:r>
    </w:p>
    <w:p w14:paraId="588C2578">
      <w:pPr>
        <w:pStyle w:val="4"/>
        <w:rPr>
          <w:rFonts w:ascii="楷体" w:hAnsi="楷体" w:eastAsia="楷体"/>
        </w:rPr>
      </w:pPr>
      <w:r>
        <w:rPr>
          <w:rFonts w:ascii="楷体" w:hAnsi="楷体" w:eastAsia="楷体"/>
        </w:rPr>
        <w:t>第</w:t>
      </w:r>
      <w:r>
        <w:rPr>
          <w:rFonts w:hint="eastAsia" w:ascii="楷体" w:hAnsi="楷体" w:eastAsia="楷体"/>
        </w:rPr>
        <w:t>八</w:t>
      </w:r>
      <w:r>
        <w:rPr>
          <w:rFonts w:ascii="楷体" w:hAnsi="楷体" w:eastAsia="楷体"/>
        </w:rPr>
        <w:t>章 其他约定</w:t>
      </w:r>
    </w:p>
    <w:p w14:paraId="69FD38E7">
      <w:pPr>
        <w:pStyle w:val="5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8</w:t>
      </w:r>
      <w:r>
        <w:rPr>
          <w:rFonts w:ascii="楷体" w:hAnsi="楷体" w:eastAsia="楷体"/>
        </w:rPr>
        <w:t>.1 开发周期</w:t>
      </w:r>
    </w:p>
    <w:p w14:paraId="7F1FA052">
      <w:pPr>
        <w:spacing w:before="120" w:after="120" w:line="360" w:lineRule="auto"/>
        <w:ind w:firstLine="720"/>
        <w:rPr>
          <w:rFonts w:ascii="楷体" w:hAnsi="楷体" w:eastAsia="楷体"/>
        </w:rPr>
      </w:pPr>
      <w:r>
        <w:rPr>
          <w:rFonts w:ascii="楷体" w:hAnsi="楷体" w:eastAsia="楷体"/>
        </w:rPr>
        <w:t>具体开发周期由双方另行协商确定，并在合同中明确各阶段里程碑与交付节点。</w:t>
      </w:r>
    </w:p>
    <w:p w14:paraId="03F12FAF">
      <w:pPr>
        <w:pStyle w:val="5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8</w:t>
      </w:r>
      <w:r>
        <w:rPr>
          <w:rFonts w:ascii="楷体" w:hAnsi="楷体" w:eastAsia="楷体"/>
        </w:rPr>
        <w:t>.2 技术支持</w:t>
      </w:r>
    </w:p>
    <w:p w14:paraId="009A4141">
      <w:pPr>
        <w:spacing w:before="120" w:after="120" w:line="360" w:lineRule="auto"/>
        <w:ind w:firstLine="720"/>
        <w:rPr>
          <w:rFonts w:ascii="楷体" w:hAnsi="楷体" w:eastAsia="楷体"/>
        </w:rPr>
      </w:pPr>
      <w:r>
        <w:rPr>
          <w:rFonts w:ascii="楷体" w:hAnsi="楷体" w:eastAsia="楷体"/>
        </w:rPr>
        <w:t>外包团队需提供不少于3个月的技术支持期，支持期内负责修复驱动层面的Bug及配合联调。</w:t>
      </w:r>
    </w:p>
    <w:p w14:paraId="4A047957">
      <w:pPr>
        <w:pStyle w:val="5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8</w:t>
      </w:r>
      <w:r>
        <w:rPr>
          <w:rFonts w:ascii="楷体" w:hAnsi="楷体" w:eastAsia="楷体"/>
        </w:rPr>
        <w:t>.3 知识产权</w:t>
      </w:r>
    </w:p>
    <w:p w14:paraId="2D4DC7E6">
      <w:pPr>
        <w:spacing w:before="120" w:after="120" w:line="360" w:lineRule="auto"/>
        <w:ind w:firstLine="720"/>
        <w:rPr>
          <w:rFonts w:ascii="楷体" w:hAnsi="楷体" w:eastAsia="楷体"/>
        </w:rPr>
      </w:pPr>
      <w:r>
        <w:rPr>
          <w:rFonts w:ascii="楷体" w:hAnsi="楷体" w:eastAsia="楷体"/>
        </w:rPr>
        <w:t>本项目产生的所有代码、文档、设计方案的知识产权归甲方（我方）所有。外包团队不得将相关代码用于其他项目。</w:t>
      </w:r>
    </w:p>
    <w:p w14:paraId="4C3DE40B">
      <w:pPr>
        <w:pStyle w:val="5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8</w:t>
      </w:r>
      <w:r>
        <w:rPr>
          <w:rFonts w:ascii="楷体" w:hAnsi="楷体" w:eastAsia="楷体"/>
        </w:rPr>
        <w:t>.4 保密要求</w:t>
      </w:r>
    </w:p>
    <w:p w14:paraId="2BDF975F">
      <w:pPr>
        <w:spacing w:before="120" w:after="120" w:line="360" w:lineRule="auto"/>
        <w:ind w:firstLine="720"/>
        <w:rPr>
          <w:rFonts w:ascii="楷体" w:hAnsi="楷体" w:eastAsia="楷体"/>
        </w:rPr>
      </w:pPr>
      <w:r>
        <w:rPr>
          <w:rFonts w:ascii="楷体" w:hAnsi="楷体" w:eastAsia="楷体"/>
        </w:rPr>
        <w:t>外包团队需签署保密协议，不得向第三方披露本项目的技术细节、产品方案及商业信息。</w:t>
      </w:r>
    </w:p>
    <w:p w14:paraId="39CC2582">
      <w:pPr>
        <w:pStyle w:val="4"/>
        <w:rPr>
          <w:rFonts w:ascii="楷体" w:hAnsi="楷体" w:eastAsia="楷体"/>
        </w:rPr>
      </w:pPr>
      <w:r>
        <w:rPr>
          <w:rFonts w:ascii="楷体" w:hAnsi="楷体" w:eastAsia="楷体"/>
        </w:rPr>
        <w:t>第</w:t>
      </w:r>
      <w:r>
        <w:rPr>
          <w:rFonts w:hint="eastAsia" w:ascii="楷体" w:hAnsi="楷体" w:eastAsia="楷体"/>
        </w:rPr>
        <w:t>九</w:t>
      </w:r>
      <w:r>
        <w:rPr>
          <w:rFonts w:ascii="楷体" w:hAnsi="楷体" w:eastAsia="楷体"/>
        </w:rPr>
        <w:t>章 跨端协作边界总览</w:t>
      </w:r>
    </w:p>
    <w:p w14:paraId="77B3BF19">
      <w:pPr>
        <w:spacing w:before="120" w:after="120" w:line="360" w:lineRule="auto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本章以总览表格形式汇总所有模块的责任归属，便于外包团队快速定位自身工作范围。</w:t>
      </w:r>
    </w:p>
    <w:tbl>
      <w:tblPr>
        <w:tblStyle w:val="4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316"/>
        <w:gridCol w:w="2005"/>
        <w:gridCol w:w="2531"/>
      </w:tblGrid>
      <w:tr w14:paraId="4569FF71">
        <w:tc>
          <w:tcPr>
            <w:tcW w:w="2268" w:type="dxa"/>
            <w:tcBorders>
              <w:bottom w:val="single" w:color="auto" w:sz="0" w:space="0"/>
              <w:insideH w:val="single" w:sz="0" w:space="0"/>
            </w:tcBorders>
            <w:shd w:val="clear" w:color="auto" w:fill="4472C4"/>
            <w:vAlign w:val="bottom"/>
          </w:tcPr>
          <w:p w14:paraId="7C19CA41">
            <w:pPr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b/>
              </w:rPr>
              <w:t>模块</w:t>
            </w:r>
          </w:p>
        </w:tc>
        <w:tc>
          <w:tcPr>
            <w:tcW w:w="2268" w:type="dxa"/>
            <w:tcBorders>
              <w:bottom w:val="single" w:color="auto" w:sz="0" w:space="0"/>
              <w:insideH w:val="single" w:sz="0" w:space="0"/>
            </w:tcBorders>
            <w:shd w:val="clear" w:color="auto" w:fill="4472C4"/>
            <w:vAlign w:val="bottom"/>
          </w:tcPr>
          <w:p w14:paraId="19B665D5">
            <w:pPr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b/>
              </w:rPr>
              <w:t>子功能</w:t>
            </w:r>
          </w:p>
        </w:tc>
        <w:tc>
          <w:tcPr>
            <w:tcW w:w="2268" w:type="dxa"/>
            <w:tcBorders>
              <w:bottom w:val="single" w:color="auto" w:sz="0" w:space="0"/>
              <w:insideH w:val="single" w:sz="0" w:space="0"/>
            </w:tcBorders>
            <w:shd w:val="clear" w:color="auto" w:fill="4472C4"/>
            <w:vAlign w:val="bottom"/>
          </w:tcPr>
          <w:p w14:paraId="7AEBED6A">
            <w:pPr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b/>
              </w:rPr>
              <w:t>责任归属</w:t>
            </w:r>
          </w:p>
        </w:tc>
        <w:tc>
          <w:tcPr>
            <w:tcW w:w="2835" w:type="dxa"/>
            <w:tcBorders>
              <w:bottom w:val="single" w:color="auto" w:sz="0" w:space="0"/>
              <w:insideH w:val="single" w:sz="0" w:space="0"/>
            </w:tcBorders>
            <w:shd w:val="clear" w:color="auto" w:fill="4472C4"/>
            <w:vAlign w:val="bottom"/>
          </w:tcPr>
          <w:p w14:paraId="786826C2">
            <w:pPr>
              <w:ind w:firstLine="480" w:firstLineChars="200"/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b/>
              </w:rPr>
              <w:t>协作说明</w:t>
            </w:r>
          </w:p>
        </w:tc>
      </w:tr>
      <w:tr w14:paraId="06D83E54">
        <w:tc>
          <w:tcPr>
            <w:tcW w:w="2268" w:type="dxa"/>
          </w:tcPr>
          <w:p w14:paraId="3AEAD823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音频驱动</w:t>
            </w:r>
          </w:p>
        </w:tc>
        <w:tc>
          <w:tcPr>
            <w:tcW w:w="2268" w:type="dxa"/>
          </w:tcPr>
          <w:p w14:paraId="434B5550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语音采集/TTS播放/降噪</w:t>
            </w:r>
          </w:p>
        </w:tc>
        <w:tc>
          <w:tcPr>
            <w:tcW w:w="2268" w:type="dxa"/>
          </w:tcPr>
          <w:p w14:paraId="5676759D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53F3FA7C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无</w:t>
            </w:r>
          </w:p>
        </w:tc>
      </w:tr>
      <w:tr w14:paraId="5EB3D29B">
        <w:tc>
          <w:tcPr>
            <w:tcW w:w="2268" w:type="dxa"/>
          </w:tcPr>
          <w:p w14:paraId="5888BBBD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音频扩展</w:t>
            </w:r>
          </w:p>
        </w:tc>
        <w:tc>
          <w:tcPr>
            <w:tcW w:w="2268" w:type="dxa"/>
          </w:tcPr>
          <w:p w14:paraId="7F12FCAF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实时录音/AI调用</w:t>
            </w:r>
          </w:p>
        </w:tc>
        <w:tc>
          <w:tcPr>
            <w:tcW w:w="2268" w:type="dxa"/>
          </w:tcPr>
          <w:p w14:paraId="4C6AEEE6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【嵌入式独占+AI联调】</w:t>
            </w:r>
          </w:p>
        </w:tc>
        <w:tc>
          <w:tcPr>
            <w:tcW w:w="2835" w:type="dxa"/>
          </w:tcPr>
          <w:p w14:paraId="1016EB90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嵌入式提供音频数据接口</w:t>
            </w:r>
          </w:p>
        </w:tc>
      </w:tr>
      <w:tr w14:paraId="7E873647">
        <w:tc>
          <w:tcPr>
            <w:tcW w:w="2268" w:type="dxa"/>
          </w:tcPr>
          <w:p w14:paraId="45D9A5C1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音频播放-短音频</w:t>
            </w:r>
          </w:p>
        </w:tc>
        <w:tc>
          <w:tcPr>
            <w:tcW w:w="2268" w:type="dxa"/>
          </w:tcPr>
          <w:p w14:paraId="222C6552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本地提示音/开机音/报警音</w:t>
            </w:r>
          </w:p>
        </w:tc>
        <w:tc>
          <w:tcPr>
            <w:tcW w:w="2268" w:type="dxa"/>
          </w:tcPr>
          <w:p w14:paraId="5B8B529F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03B7CB9F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短音频烧录至固件Flash，事件触发播放</w:t>
            </w:r>
          </w:p>
        </w:tc>
      </w:tr>
      <w:tr w14:paraId="435E7455">
        <w:tc>
          <w:tcPr>
            <w:tcW w:w="2268" w:type="dxa"/>
          </w:tcPr>
          <w:p w14:paraId="0BC3E435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音频播放-音乐</w:t>
            </w:r>
          </w:p>
        </w:tc>
        <w:tc>
          <w:tcPr>
            <w:tcW w:w="2268" w:type="dxa"/>
          </w:tcPr>
          <w:p w14:paraId="092CC993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URL拉取播放/控制/状态上报</w:t>
            </w:r>
          </w:p>
        </w:tc>
        <w:tc>
          <w:tcPr>
            <w:tcW w:w="2268" w:type="dxa"/>
          </w:tcPr>
          <w:p w14:paraId="3C3188DA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66B9E489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设备端接收URL指令拉取播放，后端负责音乐文件存储与CDN</w:t>
            </w:r>
          </w:p>
        </w:tc>
      </w:tr>
      <w:tr w14:paraId="7409CB60">
        <w:tc>
          <w:tcPr>
            <w:tcW w:w="2268" w:type="dxa"/>
          </w:tcPr>
          <w:p w14:paraId="70CF765C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实体按键驱动</w:t>
            </w:r>
          </w:p>
        </w:tc>
        <w:tc>
          <w:tcPr>
            <w:tcW w:w="2268" w:type="dxa"/>
          </w:tcPr>
          <w:p w14:paraId="3FE5F0FC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短按/长按/组合键</w:t>
            </w:r>
          </w:p>
        </w:tc>
        <w:tc>
          <w:tcPr>
            <w:tcW w:w="2268" w:type="dxa"/>
          </w:tcPr>
          <w:p w14:paraId="6DD7E92D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73DC309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无</w:t>
            </w:r>
          </w:p>
        </w:tc>
      </w:tr>
      <w:tr w14:paraId="30FC438E">
        <w:tc>
          <w:tcPr>
            <w:tcW w:w="2268" w:type="dxa"/>
          </w:tcPr>
          <w:p w14:paraId="4543689E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WiFi驱动</w:t>
            </w:r>
          </w:p>
        </w:tc>
        <w:tc>
          <w:tcPr>
            <w:tcW w:w="2268" w:type="dxa"/>
          </w:tcPr>
          <w:p w14:paraId="4D0A70C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网络连接/长连接</w:t>
            </w:r>
          </w:p>
        </w:tc>
        <w:tc>
          <w:tcPr>
            <w:tcW w:w="2268" w:type="dxa"/>
          </w:tcPr>
          <w:p w14:paraId="0BB4BE94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【嵌入式+后端联调】</w:t>
            </w:r>
          </w:p>
        </w:tc>
        <w:tc>
          <w:tcPr>
            <w:tcW w:w="2835" w:type="dxa"/>
          </w:tcPr>
          <w:p w14:paraId="5EE2CFA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嵌入式客户端+后端服务端</w:t>
            </w:r>
          </w:p>
        </w:tc>
      </w:tr>
      <w:tr w14:paraId="24CB6F9E">
        <w:tc>
          <w:tcPr>
            <w:tcW w:w="2268" w:type="dxa"/>
          </w:tcPr>
          <w:p w14:paraId="0D7D8790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电源管理</w:t>
            </w:r>
          </w:p>
        </w:tc>
        <w:tc>
          <w:tcPr>
            <w:tcW w:w="2268" w:type="dxa"/>
          </w:tcPr>
          <w:p w14:paraId="6A20B079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充放电/休眠/电量检测</w:t>
            </w:r>
          </w:p>
        </w:tc>
        <w:tc>
          <w:tcPr>
            <w:tcW w:w="2268" w:type="dxa"/>
          </w:tcPr>
          <w:p w14:paraId="22040BA1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7501E062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无</w:t>
            </w:r>
          </w:p>
        </w:tc>
      </w:tr>
      <w:tr w14:paraId="27B8C346">
        <w:tc>
          <w:tcPr>
            <w:tcW w:w="2268" w:type="dxa"/>
          </w:tcPr>
          <w:p w14:paraId="638C0768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功耗优化</w:t>
            </w:r>
          </w:p>
        </w:tc>
        <w:tc>
          <w:tcPr>
            <w:tcW w:w="2268" w:type="dxa"/>
          </w:tcPr>
          <w:p w14:paraId="7C50104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待机/运行功耗优化</w:t>
            </w:r>
          </w:p>
        </w:tc>
        <w:tc>
          <w:tcPr>
            <w:tcW w:w="2268" w:type="dxa"/>
          </w:tcPr>
          <w:p w14:paraId="72B81BA6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0658410B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无</w:t>
            </w:r>
          </w:p>
        </w:tc>
      </w:tr>
      <w:tr w14:paraId="595B181D">
        <w:tc>
          <w:tcPr>
            <w:tcW w:w="2268" w:type="dxa"/>
          </w:tcPr>
          <w:p w14:paraId="561CDA6B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基座状态指示</w:t>
            </w:r>
          </w:p>
        </w:tc>
        <w:tc>
          <w:tcPr>
            <w:tcW w:w="2268" w:type="dxa"/>
          </w:tcPr>
          <w:p w14:paraId="656A49CA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LED状态灯</w:t>
            </w:r>
          </w:p>
        </w:tc>
        <w:tc>
          <w:tcPr>
            <w:tcW w:w="2268" w:type="dxa"/>
          </w:tcPr>
          <w:p w14:paraId="55A8E12E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07D8828D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无</w:t>
            </w:r>
          </w:p>
        </w:tc>
      </w:tr>
      <w:tr w14:paraId="6594EF84">
        <w:tc>
          <w:tcPr>
            <w:tcW w:w="2268" w:type="dxa"/>
          </w:tcPr>
          <w:p w14:paraId="3A0148C0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通信协议</w:t>
            </w:r>
          </w:p>
        </w:tc>
        <w:tc>
          <w:tcPr>
            <w:tcW w:w="2268" w:type="dxa"/>
          </w:tcPr>
          <w:p w14:paraId="77988750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HTTPS/WebSocket/MQTT</w:t>
            </w:r>
          </w:p>
        </w:tc>
        <w:tc>
          <w:tcPr>
            <w:tcW w:w="2268" w:type="dxa"/>
          </w:tcPr>
          <w:p w14:paraId="5F3639E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【嵌入式+后端联调】</w:t>
            </w:r>
          </w:p>
        </w:tc>
        <w:tc>
          <w:tcPr>
            <w:tcW w:w="2835" w:type="dxa"/>
          </w:tcPr>
          <w:p w14:paraId="1150DEAD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嵌入式客户端+后端服务端</w:t>
            </w:r>
          </w:p>
        </w:tc>
      </w:tr>
      <w:tr w14:paraId="48993390">
        <w:tc>
          <w:tcPr>
            <w:tcW w:w="2268" w:type="dxa"/>
          </w:tcPr>
          <w:p w14:paraId="0B63874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数据隐私</w:t>
            </w:r>
          </w:p>
        </w:tc>
        <w:tc>
          <w:tcPr>
            <w:tcW w:w="2268" w:type="dxa"/>
          </w:tcPr>
          <w:p w14:paraId="618B88C1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本地缓存/导出/销毁</w:t>
            </w:r>
          </w:p>
        </w:tc>
        <w:tc>
          <w:tcPr>
            <w:tcW w:w="2268" w:type="dxa"/>
          </w:tcPr>
          <w:p w14:paraId="1B826BD9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【嵌入式独占】</w:t>
            </w:r>
          </w:p>
        </w:tc>
        <w:tc>
          <w:tcPr>
            <w:tcW w:w="2835" w:type="dxa"/>
          </w:tcPr>
          <w:p w14:paraId="671E8C33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无</w:t>
            </w:r>
          </w:p>
        </w:tc>
      </w:tr>
      <w:tr w14:paraId="160F261E">
        <w:tc>
          <w:tcPr>
            <w:tcW w:w="2268" w:type="dxa"/>
          </w:tcPr>
          <w:p w14:paraId="64589DB0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全端-一人多机数据互通</w:t>
            </w:r>
          </w:p>
        </w:tc>
        <w:tc>
          <w:tcPr>
            <w:tcW w:w="2268" w:type="dxa"/>
          </w:tcPr>
          <w:p w14:paraId="0A62A459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人格/记忆/思维同步</w:t>
            </w:r>
          </w:p>
        </w:tc>
        <w:tc>
          <w:tcPr>
            <w:tcW w:w="2268" w:type="dxa"/>
          </w:tcPr>
          <w:p w14:paraId="4AB0C3B5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【后端+小程序端+嵌入式联调】</w:t>
            </w:r>
          </w:p>
        </w:tc>
        <w:tc>
          <w:tcPr>
            <w:tcW w:w="2835" w:type="dxa"/>
          </w:tcPr>
          <w:p w14:paraId="4EED74B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全端共有功能，后端负责同步服务，嵌入式负责本地缓存</w:t>
            </w:r>
          </w:p>
        </w:tc>
      </w:tr>
      <w:tr w14:paraId="53780AC3">
        <w:tc>
          <w:tcPr>
            <w:tcW w:w="2268" w:type="dxa"/>
          </w:tcPr>
          <w:p w14:paraId="27048CAF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离线能力</w:t>
            </w:r>
          </w:p>
        </w:tc>
        <w:tc>
          <w:tcPr>
            <w:tcW w:w="2268" w:type="dxa"/>
          </w:tcPr>
          <w:p w14:paraId="44339825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断网基础功能</w:t>
            </w:r>
          </w:p>
        </w:tc>
        <w:tc>
          <w:tcPr>
            <w:tcW w:w="2268" w:type="dxa"/>
          </w:tcPr>
          <w:p w14:paraId="14E15BDA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【嵌入式独占+AI联调】</w:t>
            </w:r>
          </w:p>
        </w:tc>
        <w:tc>
          <w:tcPr>
            <w:tcW w:w="2835" w:type="dxa"/>
          </w:tcPr>
          <w:p w14:paraId="172F0E06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嵌入式负责本地功能，AI负责本地模型</w:t>
            </w:r>
          </w:p>
        </w:tc>
      </w:tr>
      <w:tr w14:paraId="73A8D45B">
        <w:tc>
          <w:tcPr>
            <w:tcW w:w="2268" w:type="dxa"/>
          </w:tcPr>
          <w:p w14:paraId="5FB265C7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通信安全校验</w:t>
            </w:r>
          </w:p>
        </w:tc>
        <w:tc>
          <w:tcPr>
            <w:tcW w:w="2268" w:type="dxa"/>
          </w:tcPr>
          <w:p w14:paraId="2E28F281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身份认证/加密/签名/指令校验</w:t>
            </w:r>
          </w:p>
        </w:tc>
        <w:tc>
          <w:tcPr>
            <w:tcW w:w="2268" w:type="dxa"/>
          </w:tcPr>
          <w:p w14:paraId="710D9895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【嵌入式+后端联调】</w:t>
            </w:r>
          </w:p>
        </w:tc>
        <w:tc>
          <w:tcPr>
            <w:tcW w:w="2835" w:type="dxa"/>
          </w:tcPr>
          <w:p w14:paraId="72EEDFF8">
            <w:pPr>
              <w:rPr>
                <w:rFonts w:ascii="楷体" w:hAnsi="楷体" w:eastAsia="楷体"/>
              </w:rPr>
            </w:pPr>
            <w:r>
              <w:rPr>
                <w:rFonts w:ascii="楷体" w:hAnsi="楷体" w:eastAsia="楷体"/>
                <w:sz w:val="21"/>
              </w:rPr>
              <w:t>嵌入式实现客户端安全机制，后端实现服务端验证服务</w:t>
            </w:r>
          </w:p>
        </w:tc>
      </w:tr>
      <w:tr w14:paraId="675A0424">
        <w:tc>
          <w:tcPr>
            <w:tcW w:w="2268" w:type="dxa"/>
          </w:tcPr>
          <w:p w14:paraId="7E5803D7">
            <w:pPr>
              <w:ind w:firstLine="480" w:firstLineChars="200"/>
              <w:rPr>
                <w:rFonts w:ascii="楷体" w:hAnsi="楷体" w:eastAsia="楷体"/>
              </w:rPr>
            </w:pPr>
          </w:p>
        </w:tc>
        <w:tc>
          <w:tcPr>
            <w:tcW w:w="2268" w:type="dxa"/>
          </w:tcPr>
          <w:p w14:paraId="347FC5CC">
            <w:pPr>
              <w:ind w:firstLine="480" w:firstLineChars="200"/>
              <w:rPr>
                <w:rFonts w:ascii="楷体" w:hAnsi="楷体" w:eastAsia="楷体"/>
              </w:rPr>
            </w:pPr>
          </w:p>
        </w:tc>
        <w:tc>
          <w:tcPr>
            <w:tcW w:w="2268" w:type="dxa"/>
          </w:tcPr>
          <w:p w14:paraId="6474205E">
            <w:pPr>
              <w:ind w:firstLine="480" w:firstLineChars="200"/>
              <w:rPr>
                <w:rFonts w:ascii="楷体" w:hAnsi="楷体" w:eastAsia="楷体"/>
              </w:rPr>
            </w:pPr>
          </w:p>
        </w:tc>
        <w:tc>
          <w:tcPr>
            <w:tcW w:w="2835" w:type="dxa"/>
          </w:tcPr>
          <w:p w14:paraId="79632639">
            <w:pPr>
              <w:ind w:firstLine="480" w:firstLineChars="200"/>
              <w:rPr>
                <w:rFonts w:ascii="楷体" w:hAnsi="楷体" w:eastAsia="楷体"/>
              </w:rPr>
            </w:pPr>
          </w:p>
        </w:tc>
      </w:tr>
      <w:tr w14:paraId="2597B9F7">
        <w:tc>
          <w:tcPr>
            <w:tcW w:w="2268" w:type="dxa"/>
          </w:tcPr>
          <w:p w14:paraId="5DD92ACC">
            <w:pPr>
              <w:ind w:firstLine="480" w:firstLineChars="200"/>
              <w:rPr>
                <w:rFonts w:ascii="楷体" w:hAnsi="楷体" w:eastAsia="楷体"/>
              </w:rPr>
            </w:pPr>
          </w:p>
        </w:tc>
        <w:tc>
          <w:tcPr>
            <w:tcW w:w="2268" w:type="dxa"/>
          </w:tcPr>
          <w:p w14:paraId="736D297F">
            <w:pPr>
              <w:ind w:firstLine="480" w:firstLineChars="200"/>
              <w:rPr>
                <w:rFonts w:ascii="楷体" w:hAnsi="楷体" w:eastAsia="楷体"/>
              </w:rPr>
            </w:pPr>
          </w:p>
        </w:tc>
        <w:tc>
          <w:tcPr>
            <w:tcW w:w="2268" w:type="dxa"/>
          </w:tcPr>
          <w:p w14:paraId="7D49CCC4">
            <w:pPr>
              <w:ind w:firstLine="480" w:firstLineChars="200"/>
              <w:rPr>
                <w:rFonts w:ascii="楷体" w:hAnsi="楷体" w:eastAsia="楷体"/>
              </w:rPr>
            </w:pPr>
          </w:p>
        </w:tc>
        <w:tc>
          <w:tcPr>
            <w:tcW w:w="2835" w:type="dxa"/>
          </w:tcPr>
          <w:p w14:paraId="2AE27C6E">
            <w:pPr>
              <w:ind w:firstLine="480" w:firstLineChars="200"/>
              <w:rPr>
                <w:rFonts w:ascii="楷体" w:hAnsi="楷体" w:eastAsia="楷体"/>
              </w:rPr>
            </w:pPr>
          </w:p>
        </w:tc>
      </w:tr>
    </w:tbl>
    <w:p w14:paraId="3E70E08E">
      <w:pPr>
        <w:pStyle w:val="5"/>
        <w:rPr>
          <w:rFonts w:ascii="楷体" w:hAnsi="楷体" w:eastAsia="楷体"/>
        </w:rPr>
      </w:pPr>
      <w:r>
        <w:rPr>
          <w:rFonts w:ascii="楷体" w:hAnsi="楷体" w:eastAsia="楷体"/>
        </w:rPr>
        <w:t>协作接口规范</w:t>
      </w:r>
    </w:p>
    <w:p w14:paraId="4EC5946C">
      <w:pPr>
        <w:spacing w:before="120" w:after="120" w:line="360" w:lineRule="auto"/>
        <w:ind w:firstLine="480" w:firstLineChars="200"/>
        <w:rPr>
          <w:rFonts w:ascii="楷体" w:hAnsi="楷体" w:eastAsia="楷体"/>
        </w:rPr>
      </w:pPr>
      <w:r>
        <w:rPr>
          <w:rFonts w:ascii="楷体" w:hAnsi="楷体" w:eastAsia="楷体"/>
        </w:rPr>
        <w:t>嵌入式团队需对外提供以下标准化接口，供其他团队调用：</w:t>
      </w:r>
    </w:p>
    <w:p w14:paraId="740B7102">
      <w:pPr>
        <w:spacing w:before="60" w:after="60" w:line="360" w:lineRule="auto"/>
        <w:ind w:firstLine="480"/>
        <w:rPr>
          <w:rFonts w:ascii="楷体" w:hAnsi="楷体" w:eastAsia="楷体"/>
        </w:rPr>
      </w:pPr>
      <w:r>
        <w:rPr>
          <w:rFonts w:ascii="楷体" w:hAnsi="楷体" w:eastAsia="楷体"/>
        </w:rPr>
        <w:t>音频接口：麦克风语音采集/扬声器TTS播放/降噪/实时录音/短音频播放/远程音乐播放控制。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4255C"/>
    <w:multiLevelType w:val="multilevel"/>
    <w:tmpl w:val="0104255C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1">
    <w:nsid w:val="11215679"/>
    <w:multiLevelType w:val="multilevel"/>
    <w:tmpl w:val="11215679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6A20742"/>
    <w:multiLevelType w:val="multilevel"/>
    <w:tmpl w:val="16A20742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3">
    <w:nsid w:val="1E7352F8"/>
    <w:multiLevelType w:val="multilevel"/>
    <w:tmpl w:val="1E7352F8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4">
    <w:nsid w:val="32B46BEB"/>
    <w:multiLevelType w:val="multilevel"/>
    <w:tmpl w:val="32B46BEB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5">
    <w:nsid w:val="336F56AD"/>
    <w:multiLevelType w:val="multilevel"/>
    <w:tmpl w:val="336F56A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72371BE"/>
    <w:multiLevelType w:val="multilevel"/>
    <w:tmpl w:val="372371BE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7">
    <w:nsid w:val="3AF205A7"/>
    <w:multiLevelType w:val="multilevel"/>
    <w:tmpl w:val="3AF205A7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8">
    <w:nsid w:val="40280E5B"/>
    <w:multiLevelType w:val="multilevel"/>
    <w:tmpl w:val="40280E5B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9">
    <w:nsid w:val="42F87457"/>
    <w:multiLevelType w:val="multilevel"/>
    <w:tmpl w:val="42F874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6C1197F"/>
    <w:multiLevelType w:val="multilevel"/>
    <w:tmpl w:val="46C1197F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46DA6C29"/>
    <w:multiLevelType w:val="multilevel"/>
    <w:tmpl w:val="46DA6C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803671D"/>
    <w:multiLevelType w:val="multilevel"/>
    <w:tmpl w:val="4803671D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66645A62"/>
    <w:multiLevelType w:val="multilevel"/>
    <w:tmpl w:val="66645A62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6E046135"/>
    <w:multiLevelType w:val="multilevel"/>
    <w:tmpl w:val="6E046135"/>
    <w:lvl w:ilvl="0" w:tentative="0">
      <w:start w:val="1"/>
      <w:numFmt w:val="decimal"/>
      <w:lvlText w:val="%1."/>
      <w:lvlJc w:val="left"/>
      <w:pPr>
        <w:ind w:left="859" w:hanging="420"/>
      </w:pPr>
    </w:lvl>
    <w:lvl w:ilvl="1" w:tentative="0">
      <w:start w:val="1"/>
      <w:numFmt w:val="lowerLetter"/>
      <w:lvlText w:val="%2)"/>
      <w:lvlJc w:val="left"/>
      <w:pPr>
        <w:ind w:left="1279" w:hanging="420"/>
      </w:pPr>
    </w:lvl>
    <w:lvl w:ilvl="2" w:tentative="0">
      <w:start w:val="1"/>
      <w:numFmt w:val="lowerRoman"/>
      <w:lvlText w:val="%3."/>
      <w:lvlJc w:val="right"/>
      <w:pPr>
        <w:ind w:left="1699" w:hanging="420"/>
      </w:pPr>
    </w:lvl>
    <w:lvl w:ilvl="3" w:tentative="0">
      <w:start w:val="1"/>
      <w:numFmt w:val="decimal"/>
      <w:lvlText w:val="%4."/>
      <w:lvlJc w:val="left"/>
      <w:pPr>
        <w:ind w:left="2119" w:hanging="420"/>
      </w:pPr>
    </w:lvl>
    <w:lvl w:ilvl="4" w:tentative="0">
      <w:start w:val="1"/>
      <w:numFmt w:val="lowerLetter"/>
      <w:lvlText w:val="%5)"/>
      <w:lvlJc w:val="left"/>
      <w:pPr>
        <w:ind w:left="2539" w:hanging="420"/>
      </w:pPr>
    </w:lvl>
    <w:lvl w:ilvl="5" w:tentative="0">
      <w:start w:val="1"/>
      <w:numFmt w:val="lowerRoman"/>
      <w:lvlText w:val="%6."/>
      <w:lvlJc w:val="right"/>
      <w:pPr>
        <w:ind w:left="2959" w:hanging="420"/>
      </w:pPr>
    </w:lvl>
    <w:lvl w:ilvl="6" w:tentative="0">
      <w:start w:val="1"/>
      <w:numFmt w:val="decimal"/>
      <w:lvlText w:val="%7."/>
      <w:lvlJc w:val="left"/>
      <w:pPr>
        <w:ind w:left="3379" w:hanging="420"/>
      </w:pPr>
    </w:lvl>
    <w:lvl w:ilvl="7" w:tentative="0">
      <w:start w:val="1"/>
      <w:numFmt w:val="lowerLetter"/>
      <w:lvlText w:val="%8)"/>
      <w:lvlJc w:val="left"/>
      <w:pPr>
        <w:ind w:left="3799" w:hanging="420"/>
      </w:pPr>
    </w:lvl>
    <w:lvl w:ilvl="8" w:tentative="0">
      <w:start w:val="1"/>
      <w:numFmt w:val="lowerRoman"/>
      <w:lvlText w:val="%9."/>
      <w:lvlJc w:val="right"/>
      <w:pPr>
        <w:ind w:left="4219" w:hanging="420"/>
      </w:pPr>
    </w:lvl>
  </w:abstractNum>
  <w:abstractNum w:abstractNumId="15">
    <w:nsid w:val="7EB37124"/>
    <w:multiLevelType w:val="multilevel"/>
    <w:tmpl w:val="7EB37124"/>
    <w:lvl w:ilvl="0" w:tentative="0">
      <w:start w:val="1"/>
      <w:numFmt w:val="decimal"/>
      <w:lvlText w:val="%1.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"/>
  </w:num>
  <w:num w:numId="5">
    <w:abstractNumId w:val="6"/>
  </w:num>
  <w:num w:numId="6">
    <w:abstractNumId w:val="2"/>
  </w:num>
  <w:num w:numId="7">
    <w:abstractNumId w:val="3"/>
  </w:num>
  <w:num w:numId="8">
    <w:abstractNumId w:val="14"/>
  </w:num>
  <w:num w:numId="9">
    <w:abstractNumId w:val="8"/>
  </w:num>
  <w:num w:numId="10">
    <w:abstractNumId w:val="12"/>
  </w:num>
  <w:num w:numId="11">
    <w:abstractNumId w:val="15"/>
  </w:num>
  <w:num w:numId="12">
    <w:abstractNumId w:val="7"/>
  </w:num>
  <w:num w:numId="13">
    <w:abstractNumId w:val="0"/>
  </w:num>
  <w:num w:numId="14">
    <w:abstractNumId w:val="13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4F4"/>
    <w:rsid w:val="000340FA"/>
    <w:rsid w:val="00324F18"/>
    <w:rsid w:val="003710B7"/>
    <w:rsid w:val="00384981"/>
    <w:rsid w:val="00390CA4"/>
    <w:rsid w:val="003C438A"/>
    <w:rsid w:val="00426438"/>
    <w:rsid w:val="004D3575"/>
    <w:rsid w:val="005A1871"/>
    <w:rsid w:val="005B49B1"/>
    <w:rsid w:val="005E0825"/>
    <w:rsid w:val="00635599"/>
    <w:rsid w:val="0065121F"/>
    <w:rsid w:val="006542C7"/>
    <w:rsid w:val="006D2B7F"/>
    <w:rsid w:val="00746873"/>
    <w:rsid w:val="00755A67"/>
    <w:rsid w:val="007C1452"/>
    <w:rsid w:val="008C7121"/>
    <w:rsid w:val="00991525"/>
    <w:rsid w:val="009A16BB"/>
    <w:rsid w:val="009F7AA2"/>
    <w:rsid w:val="00A47FC4"/>
    <w:rsid w:val="00A87CF4"/>
    <w:rsid w:val="00AF4BE6"/>
    <w:rsid w:val="00B308CD"/>
    <w:rsid w:val="00C60904"/>
    <w:rsid w:val="00D00696"/>
    <w:rsid w:val="00DA1BB4"/>
    <w:rsid w:val="00DD01E5"/>
    <w:rsid w:val="00E35472"/>
    <w:rsid w:val="00E77747"/>
    <w:rsid w:val="00F42993"/>
    <w:rsid w:val="00F7357C"/>
    <w:rsid w:val="00FB54F4"/>
    <w:rsid w:val="7FFE9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2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Balloon Text"/>
    <w:basedOn w:val="1"/>
    <w:link w:val="84"/>
    <w:uiPriority w:val="0"/>
    <w:pPr>
      <w:spacing w:after="0"/>
    </w:pPr>
    <w:rPr>
      <w:sz w:val="18"/>
      <w:szCs w:val="18"/>
    </w:rPr>
  </w:style>
  <w:style w:type="paragraph" w:styleId="17">
    <w:name w:val="Subtitle"/>
    <w:basedOn w:val="15"/>
    <w:next w:val="3"/>
    <w:link w:val="27"/>
    <w:qFormat/>
    <w:uiPriority w:val="11"/>
    <w:rPr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题注 Char"/>
    <w:basedOn w:val="20"/>
    <w:link w:val="12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标题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副标题 Char"/>
    <w:basedOn w:val="20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标题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标题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标题 3 Char"/>
    <w:basedOn w:val="20"/>
    <w:link w:val="5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标题 4 Char"/>
    <w:basedOn w:val="20"/>
    <w:link w:val="6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标题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标题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标题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标题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标题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3">
    <w:name w:val="Keyword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54">
    <w:name w:val="DataTypeTok"/>
    <w:basedOn w:val="49"/>
    <w:uiPriority w:val="0"/>
    <w:rPr>
      <w:rFonts w:ascii="Consolas" w:hAnsi="Consolas"/>
      <w:color w:val="902000"/>
      <w:sz w:val="22"/>
    </w:rPr>
  </w:style>
  <w:style w:type="character" w:customStyle="1" w:styleId="55">
    <w:name w:val="DecValTok"/>
    <w:basedOn w:val="49"/>
    <w:uiPriority w:val="0"/>
    <w:rPr>
      <w:rFonts w:ascii="Consolas" w:hAnsi="Consolas"/>
      <w:color w:val="40A070"/>
      <w:sz w:val="22"/>
    </w:rPr>
  </w:style>
  <w:style w:type="character" w:customStyle="1" w:styleId="56">
    <w:name w:val="BaseNTok"/>
    <w:basedOn w:val="49"/>
    <w:uiPriority w:val="0"/>
    <w:rPr>
      <w:rFonts w:ascii="Consolas" w:hAnsi="Consolas"/>
      <w:color w:val="40A070"/>
      <w:sz w:val="22"/>
    </w:rPr>
  </w:style>
  <w:style w:type="character" w:customStyle="1" w:styleId="57">
    <w:name w:val="FloatTok"/>
    <w:basedOn w:val="49"/>
    <w:uiPriority w:val="0"/>
    <w:rPr>
      <w:rFonts w:ascii="Consolas" w:hAnsi="Consolas"/>
      <w:color w:val="40A070"/>
      <w:sz w:val="22"/>
    </w:rPr>
  </w:style>
  <w:style w:type="character" w:customStyle="1" w:styleId="58">
    <w:name w:val="ConstantTok"/>
    <w:basedOn w:val="49"/>
    <w:uiPriority w:val="0"/>
    <w:rPr>
      <w:rFonts w:ascii="Consolas" w:hAnsi="Consolas"/>
      <w:color w:val="880000"/>
      <w:sz w:val="22"/>
    </w:rPr>
  </w:style>
  <w:style w:type="character" w:customStyle="1" w:styleId="59">
    <w:name w:val="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0">
    <w:name w:val="Special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1">
    <w:name w:val="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2">
    <w:name w:val="Verbatim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3">
    <w:name w:val="SpecialStringTok"/>
    <w:basedOn w:val="49"/>
    <w:uiPriority w:val="0"/>
    <w:rPr>
      <w:rFonts w:ascii="Consolas" w:hAnsi="Consolas"/>
      <w:color w:val="BB6688"/>
      <w:sz w:val="22"/>
    </w:rPr>
  </w:style>
  <w:style w:type="character" w:customStyle="1" w:styleId="64">
    <w:name w:val="ImportTok"/>
    <w:basedOn w:val="49"/>
    <w:uiPriority w:val="0"/>
    <w:rPr>
      <w:rFonts w:ascii="Consolas" w:hAnsi="Consolas"/>
      <w:b/>
      <w:color w:val="008000"/>
      <w:sz w:val="22"/>
    </w:rPr>
  </w:style>
  <w:style w:type="character" w:customStyle="1" w:styleId="65">
    <w:name w:val="CommentTok"/>
    <w:basedOn w:val="49"/>
    <w:uiPriority w:val="0"/>
    <w:rPr>
      <w:rFonts w:ascii="Consolas" w:hAnsi="Consolas"/>
      <w:i/>
      <w:color w:val="60A0B0"/>
      <w:sz w:val="22"/>
    </w:rPr>
  </w:style>
  <w:style w:type="character" w:customStyle="1" w:styleId="66">
    <w:name w:val="DocumentationTok"/>
    <w:basedOn w:val="49"/>
    <w:uiPriority w:val="0"/>
    <w:rPr>
      <w:rFonts w:ascii="Consolas" w:hAnsi="Consolas"/>
      <w:i/>
      <w:color w:val="BA2121"/>
      <w:sz w:val="22"/>
    </w:rPr>
  </w:style>
  <w:style w:type="character" w:customStyle="1" w:styleId="67">
    <w:name w:val="Annot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CommentVar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OtherTok"/>
    <w:basedOn w:val="49"/>
    <w:uiPriority w:val="0"/>
    <w:rPr>
      <w:rFonts w:ascii="Consolas" w:hAnsi="Consolas"/>
      <w:color w:val="007020"/>
      <w:sz w:val="22"/>
    </w:rPr>
  </w:style>
  <w:style w:type="character" w:customStyle="1" w:styleId="70">
    <w:name w:val="FunctionTok"/>
    <w:basedOn w:val="49"/>
    <w:uiPriority w:val="0"/>
    <w:rPr>
      <w:rFonts w:ascii="Consolas" w:hAnsi="Consolas"/>
      <w:color w:val="06287E"/>
      <w:sz w:val="22"/>
    </w:rPr>
  </w:style>
  <w:style w:type="character" w:customStyle="1" w:styleId="71">
    <w:name w:val="VariableTok"/>
    <w:basedOn w:val="49"/>
    <w:uiPriority w:val="0"/>
    <w:rPr>
      <w:rFonts w:ascii="Consolas" w:hAnsi="Consolas"/>
      <w:color w:val="19177C"/>
      <w:sz w:val="22"/>
    </w:rPr>
  </w:style>
  <w:style w:type="character" w:customStyle="1" w:styleId="72">
    <w:name w:val="ControlFlow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73">
    <w:name w:val="OperatorTok"/>
    <w:basedOn w:val="49"/>
    <w:uiPriority w:val="0"/>
    <w:rPr>
      <w:rFonts w:ascii="Consolas" w:hAnsi="Consolas"/>
      <w:color w:val="666666"/>
      <w:sz w:val="22"/>
    </w:rPr>
  </w:style>
  <w:style w:type="character" w:customStyle="1" w:styleId="74">
    <w:name w:val="BuiltInTok"/>
    <w:basedOn w:val="49"/>
    <w:uiPriority w:val="0"/>
    <w:rPr>
      <w:rFonts w:ascii="Consolas" w:hAnsi="Consolas"/>
      <w:color w:val="008000"/>
      <w:sz w:val="22"/>
    </w:rPr>
  </w:style>
  <w:style w:type="character" w:customStyle="1" w:styleId="75">
    <w:name w:val="ExtensionTok"/>
    <w:basedOn w:val="49"/>
    <w:uiPriority w:val="0"/>
    <w:rPr>
      <w:rFonts w:ascii="Consolas" w:hAnsi="Consolas"/>
      <w:sz w:val="22"/>
    </w:rPr>
  </w:style>
  <w:style w:type="character" w:customStyle="1" w:styleId="76">
    <w:name w:val="PreprocessorTok"/>
    <w:basedOn w:val="49"/>
    <w:uiPriority w:val="0"/>
    <w:rPr>
      <w:rFonts w:ascii="Consolas" w:hAnsi="Consolas"/>
      <w:color w:val="BC7A00"/>
      <w:sz w:val="22"/>
    </w:rPr>
  </w:style>
  <w:style w:type="character" w:customStyle="1" w:styleId="77">
    <w:name w:val="AttributeTok"/>
    <w:basedOn w:val="49"/>
    <w:uiPriority w:val="0"/>
    <w:rPr>
      <w:rFonts w:ascii="Consolas" w:hAnsi="Consolas"/>
      <w:color w:val="7D9029"/>
      <w:sz w:val="22"/>
    </w:rPr>
  </w:style>
  <w:style w:type="character" w:customStyle="1" w:styleId="78">
    <w:name w:val="RegionMarkerTok"/>
    <w:basedOn w:val="49"/>
    <w:uiPriority w:val="0"/>
    <w:rPr>
      <w:rFonts w:ascii="Consolas" w:hAnsi="Consolas"/>
      <w:sz w:val="22"/>
    </w:rPr>
  </w:style>
  <w:style w:type="character" w:customStyle="1" w:styleId="79">
    <w:name w:val="Inform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Warning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Alert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Error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NormalTok"/>
    <w:basedOn w:val="49"/>
    <w:uiPriority w:val="0"/>
    <w:rPr>
      <w:rFonts w:ascii="Consolas" w:hAnsi="Consolas"/>
      <w:sz w:val="22"/>
    </w:rPr>
  </w:style>
  <w:style w:type="character" w:customStyle="1" w:styleId="84">
    <w:name w:val="批注框文本 Char"/>
    <w:basedOn w:val="20"/>
    <w:link w:val="16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1220</Words>
  <Characters>6956</Characters>
  <Lines>57</Lines>
  <Paragraphs>16</Paragraphs>
  <TotalTime>0</TotalTime>
  <ScaleCrop>false</ScaleCrop>
  <LinksUpToDate>false</LinksUpToDate>
  <CharactersWithSpaces>8160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2026-08-25T16:10:00Z</dcterms:created>
  <dc:creator>yeah</dc:creator>
  <cp:lastModifiedBy>yeah</cp:lastModifiedBy>
  <dcterms:modified xsi:type="dcterms:W3CDTF">2026-08-25T17:59:37Z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2E5A62E1CF0F7BDF89678D6A4805FE0C_42</vt:lpwstr>
  </property>
</Properties>
</file>