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Poppins" w:cs="Poppins" w:eastAsia="Poppins" w:hAnsi="Poppins"/>
          <w:i w:val="1"/>
          <w:iCs w:val="1"/>
        </w:rPr>
      </w:pPr>
      <w:r w:rsidDel="00000000" w:rsidR="00000000" w:rsidRPr="00000000">
        <w:rPr>
          <w:rFonts w:ascii="Poppins" w:cs="Poppins" w:eastAsia="Poppins" w:hAnsi="Poppins"/>
          <w:b w:val="1"/>
          <w:bCs w:val="1"/>
          <w:sz w:val="26"/>
          <w:szCs w:val="26"/>
          <w:rtl w:val="0"/>
        </w:rPr>
        <w:t xml:space="preserve">London Data Service; a OneLondon project</w:t>
      </w:r>
      <w:r w:rsidDel="00000000" w:rsidR="00000000" w:rsidRPr="00000000">
        <w:rPr>
          <w:rFonts w:ascii="Poppins" w:cs="Poppins" w:eastAsia="Poppins" w:hAnsi="Poppins"/>
          <w:b w:val="1"/>
          <w:bCs w:val="1"/>
          <w:rtl w:val="0"/>
        </w:rPr>
        <w:br w:type="textWrapping"/>
      </w:r>
      <w:r w:rsidDel="00000000" w:rsidR="00000000" w:rsidRPr="00000000">
        <w:rPr>
          <w:rFonts w:ascii="Poppins" w:cs="Poppins" w:eastAsia="Poppins" w:hAnsi="Poppins"/>
          <w:i w:val="1"/>
          <w:iCs w:val="1"/>
          <w:rtl w:val="0"/>
        </w:rPr>
        <w:t xml:space="preserve">Supporting the North East London ICB’s development of the London Data Service</w:t>
      </w:r>
    </w:p>
    <w:p w:rsidR="00000000" w:rsidDel="00000000" w:rsidP="00000000" w:rsidRDefault="00000000" w:rsidRPr="00000000" w14:paraId="00000002">
      <w:pPr>
        <w:spacing w:after="240" w:before="240" w:line="276" w:lineRule="auto"/>
        <w:rPr>
          <w:rFonts w:ascii="Poppins" w:cs="Poppins" w:eastAsia="Poppins" w:hAnsi="Poppins"/>
        </w:rPr>
      </w:pPr>
      <w:r w:rsidDel="00000000" w:rsidR="00000000" w:rsidRPr="00000000">
        <w:rPr>
          <w:rFonts w:ascii="Poppins" w:cs="Poppins" w:eastAsia="Poppins" w:hAnsi="Poppins"/>
          <w:rtl w:val="0"/>
        </w:rPr>
        <w:t xml:space="preserve">LDS insources healthcare data solutions for the five London Integrated Care Boards (ICBs), replacing end-of-life third-party services such as the Data Discovery Service. LDS will follow a publisher-subscriber model, unifying data from primary and acute care, mental health and community health sources. The service supports source records from all major vendors and will serve data to the London Secure Data Environment and other clinical care and research organisations.</w:t>
      </w:r>
    </w:p>
    <w:p w:rsidR="00000000" w:rsidDel="00000000" w:rsidP="00000000" w:rsidRDefault="00000000" w:rsidRPr="00000000" w14:paraId="00000003">
      <w:pPr>
        <w:spacing w:after="240" w:before="240" w:line="276" w:lineRule="auto"/>
        <w:rPr>
          <w:rFonts w:ascii="Poppins" w:cs="Poppins" w:eastAsia="Poppins" w:hAnsi="Poppins"/>
        </w:rPr>
      </w:pPr>
      <w:r w:rsidDel="00000000" w:rsidR="00000000" w:rsidRPr="00000000">
        <w:rPr>
          <w:rFonts w:ascii="Poppins" w:cs="Poppins" w:eastAsia="Poppins" w:hAnsi="Poppins"/>
          <w:rtl w:val="0"/>
        </w:rPr>
        <w:t xml:space="preserve">Answer Digital has provided business analysis, project management, scrum masters, healthcare expertise and direct delivery of project components. Our data architects and engineers have been instrumental in developing the Common Model (CDM) transformer and ETL pipeline with CDM, OMOP (the open source Observational Medical Outcomes Partnership data model) and OLID outputs, Terminology Service resource integration, cohort management tools, Personal Demographic Service data integration and other project assets. Key technologies and methods applied include Microsoft Azure Synapse Analytics including Log Analytics, Microsoft Azure Databricks Delta Lakes, Zendesk alerting and reporting, and ingesting medical terminology resources from Ontoserver.</w:t>
      </w:r>
    </w:p>
    <w:p w:rsidR="00000000" w:rsidDel="00000000" w:rsidP="00000000" w:rsidRDefault="00000000" w:rsidRPr="00000000" w14:paraId="00000004">
      <w:pPr>
        <w:spacing w:line="276"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5">
      <w:pPr>
        <w:spacing w:line="276"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6">
      <w:pPr>
        <w:shd w:fill="ffffff" w:val="clear"/>
        <w:rPr>
          <w:rFonts w:ascii="Poppins" w:cs="Poppins" w:eastAsia="Poppins" w:hAnsi="Poppins"/>
          <w:color w:val="222222"/>
        </w:rPr>
      </w:pPr>
      <w:r w:rsidDel="00000000" w:rsidR="00000000" w:rsidRPr="00000000">
        <w:rPr>
          <w:rFonts w:ascii="Poppins" w:cs="Poppins" w:eastAsia="Poppins" w:hAnsi="Poppins"/>
          <w:color w:val="222222"/>
          <w:rtl w:val="0"/>
        </w:rPr>
        <w:t xml:space="preserve">We assisted in the of an ETL pipeline to ingest Primary Care data from GPs, convert it to a common data format, and export it to subscribers, while obeying requirements for scalability, information governance, National Data Opt-Out, source data variation between vendors, and data enrichment with supplementary sources. Answer Digital’s key Data contributions were development of the Common Data Model, implementation of Terminology resources including Concept Maps and Value Sets, and the Attribution Service and Lakehouse for distributing data to subscribers .</w:t>
      </w:r>
    </w:p>
    <w:p w:rsidR="00000000" w:rsidDel="00000000" w:rsidP="00000000" w:rsidRDefault="00000000" w:rsidRPr="00000000" w14:paraId="00000007">
      <w:pPr>
        <w:shd w:fill="ffffff" w:val="clear"/>
        <w:rPr>
          <w:rFonts w:ascii="Poppins" w:cs="Poppins" w:eastAsia="Poppins" w:hAnsi="Poppins"/>
          <w:color w:val="222222"/>
        </w:rPr>
      </w:pPr>
      <w:r w:rsidDel="00000000" w:rsidR="00000000" w:rsidRPr="00000000">
        <w:rPr>
          <w:rtl w:val="0"/>
        </w:rPr>
      </w:r>
    </w:p>
    <w:p w:rsidR="00000000" w:rsidDel="00000000" w:rsidP="00000000" w:rsidRDefault="00000000" w:rsidRPr="00000000" w14:paraId="00000008">
      <w:pPr>
        <w:shd w:fill="ffffff" w:val="clear"/>
        <w:rPr>
          <w:rFonts w:ascii="Poppins" w:cs="Poppins" w:eastAsia="Poppins" w:hAnsi="Poppins"/>
          <w:color w:val="222222"/>
        </w:rPr>
      </w:pPr>
      <w:r w:rsidDel="00000000" w:rsidR="00000000" w:rsidRPr="00000000">
        <w:rPr>
          <w:rFonts w:ascii="Poppins" w:cs="Poppins" w:eastAsia="Poppins" w:hAnsi="Poppins"/>
          <w:color w:val="222222"/>
          <w:rtl w:val="0"/>
        </w:rPr>
        <w:t xml:space="preserve">The MVP extracts, transforms and loads data from General Practice. It supports record formats from the major EPR vendors in the region, TPP SystmOne and EMIS Web, and can be extended to support format updates due to its metadata-driven design. These will be enriched with data from the Emergency Care Data Set (ECDS), Mental Health Services Data Set (MHSDS) and Community Services Data Set (CSDS).</w:t>
      </w:r>
    </w:p>
    <w:p w:rsidR="00000000" w:rsidDel="00000000" w:rsidP="00000000" w:rsidRDefault="00000000" w:rsidRPr="00000000" w14:paraId="00000009">
      <w:pPr>
        <w:spacing w:line="276" w:lineRule="auto"/>
        <w:rPr>
          <w:rFonts w:ascii="Poppins" w:cs="Poppins" w:eastAsia="Poppins" w:hAnsi="Poppins"/>
          <w:color w:val="222222"/>
        </w:rPr>
      </w:pPr>
      <w:r w:rsidDel="00000000" w:rsidR="00000000" w:rsidRPr="00000000">
        <w:rPr>
          <w:rFonts w:ascii="Poppins" w:cs="Poppins" w:eastAsia="Poppins" w:hAnsi="Poppins"/>
          <w:color w:val="222222"/>
          <w:rtl w:val="0"/>
        </w:rPr>
        <w:t xml:space="preserve">The solution is modular and has its own inbox and outbox in Azure Blob Storage. GP records are ingested as CSV files then converted to Parquet files. Batches of data are uploaded via system-specific Data Acquisition Services, then undergo Pre-Processing to validate, register and combine them for downstream processing. The data then pass through Interchange Conversion Services including </w:t>
      </w:r>
      <w:r w:rsidDel="00000000" w:rsidR="00000000" w:rsidRPr="00000000">
        <w:rPr>
          <w:rFonts w:ascii="Poppins" w:cs="Poppins" w:eastAsia="Poppins" w:hAnsi="Poppins"/>
          <w:b w:val="1"/>
          <w:bCs w:val="1"/>
          <w:color w:val="222222"/>
          <w:rtl w:val="0"/>
        </w:rPr>
        <w:t xml:space="preserve">Versioner</w:t>
      </w:r>
      <w:r w:rsidDel="00000000" w:rsidR="00000000" w:rsidRPr="00000000">
        <w:rPr>
          <w:rFonts w:ascii="Poppins" w:cs="Poppins" w:eastAsia="Poppins" w:hAnsi="Poppins"/>
          <w:color w:val="222222"/>
          <w:rtl w:val="0"/>
        </w:rPr>
        <w:t xml:space="preserve">; these services convert the data to a delta dataset comprising updates and deletions.</w:t>
      </w:r>
    </w:p>
    <w:p w:rsidR="00000000" w:rsidDel="00000000" w:rsidP="00000000" w:rsidRDefault="00000000" w:rsidRPr="00000000" w14:paraId="0000000A">
      <w:pPr>
        <w:shd w:fill="ffffff" w:val="clear"/>
        <w:rPr>
          <w:rFonts w:ascii="Poppins" w:cs="Poppins" w:eastAsia="Poppins" w:hAnsi="Poppins"/>
          <w:color w:val="222222"/>
        </w:rPr>
      </w:pPr>
      <w:r w:rsidDel="00000000" w:rsidR="00000000" w:rsidRPr="00000000">
        <w:rPr>
          <w:rFonts w:ascii="Poppins" w:cs="Poppins" w:eastAsia="Poppins" w:hAnsi="Poppins"/>
          <w:color w:val="222222"/>
          <w:rtl w:val="0"/>
        </w:rPr>
        <w:t xml:space="preserve">The </w:t>
      </w:r>
      <w:r w:rsidDel="00000000" w:rsidR="00000000" w:rsidRPr="00000000">
        <w:rPr>
          <w:rFonts w:ascii="Poppins" w:cs="Poppins" w:eastAsia="Poppins" w:hAnsi="Poppins"/>
          <w:b w:val="1"/>
          <w:bCs w:val="1"/>
          <w:color w:val="222222"/>
          <w:rtl w:val="0"/>
        </w:rPr>
        <w:t xml:space="preserve">Associator </w:t>
      </w:r>
      <w:r w:rsidDel="00000000" w:rsidR="00000000" w:rsidRPr="00000000">
        <w:rPr>
          <w:rFonts w:ascii="Poppins" w:cs="Poppins" w:eastAsia="Poppins" w:hAnsi="Poppins"/>
          <w:color w:val="222222"/>
          <w:rtl w:val="0"/>
        </w:rPr>
        <w:t xml:space="preserve">and </w:t>
      </w:r>
      <w:r w:rsidDel="00000000" w:rsidR="00000000" w:rsidRPr="00000000">
        <w:rPr>
          <w:rFonts w:ascii="Poppins" w:cs="Poppins" w:eastAsia="Poppins" w:hAnsi="Poppins"/>
          <w:b w:val="1"/>
          <w:bCs w:val="1"/>
          <w:color w:val="222222"/>
          <w:rtl w:val="0"/>
        </w:rPr>
        <w:t xml:space="preserve">Allocator </w:t>
      </w:r>
      <w:r w:rsidDel="00000000" w:rsidR="00000000" w:rsidRPr="00000000">
        <w:rPr>
          <w:rFonts w:ascii="Poppins" w:cs="Poppins" w:eastAsia="Poppins" w:hAnsi="Poppins"/>
          <w:color w:val="222222"/>
          <w:rtl w:val="0"/>
        </w:rPr>
        <w:t xml:space="preserve">form the </w:t>
      </w:r>
      <w:r w:rsidDel="00000000" w:rsidR="00000000" w:rsidRPr="00000000">
        <w:rPr>
          <w:rFonts w:ascii="Poppins" w:cs="Poppins" w:eastAsia="Poppins" w:hAnsi="Poppins"/>
          <w:b w:val="1"/>
          <w:bCs w:val="1"/>
          <w:color w:val="222222"/>
          <w:rtl w:val="0"/>
        </w:rPr>
        <w:t xml:space="preserve">Attribution Service</w:t>
      </w:r>
      <w:r w:rsidDel="00000000" w:rsidR="00000000" w:rsidRPr="00000000">
        <w:rPr>
          <w:rFonts w:ascii="Poppins" w:cs="Poppins" w:eastAsia="Poppins" w:hAnsi="Poppins"/>
          <w:color w:val="222222"/>
          <w:rtl w:val="0"/>
        </w:rPr>
        <w:t xml:space="preserve">, which tracks relationships that exist between records and patients and/or organisations (Associator) and subscribers (Allocator). Attribution runs in parallel to Data Transformation and Interfacing Services and feeds into Data Distribution.</w:t>
      </w:r>
    </w:p>
    <w:p w:rsidR="00000000" w:rsidDel="00000000" w:rsidP="00000000" w:rsidRDefault="00000000" w:rsidRPr="00000000" w14:paraId="0000000B">
      <w:pPr>
        <w:shd w:fill="ffffff" w:val="clear"/>
        <w:rPr>
          <w:rFonts w:ascii="Poppins" w:cs="Poppins" w:eastAsia="Poppins" w:hAnsi="Poppins"/>
          <w:color w:val="222222"/>
        </w:rPr>
      </w:pPr>
      <w:r w:rsidDel="00000000" w:rsidR="00000000" w:rsidRPr="00000000">
        <w:rPr>
          <w:rFonts w:ascii="Poppins" w:cs="Poppins" w:eastAsia="Poppins" w:hAnsi="Poppins"/>
          <w:color w:val="222222"/>
          <w:rtl w:val="0"/>
        </w:rPr>
        <w:t xml:space="preserve">The Data Transformation Services are composed of three major components, </w:t>
      </w:r>
      <w:r w:rsidDel="00000000" w:rsidR="00000000" w:rsidRPr="00000000">
        <w:rPr>
          <w:rFonts w:ascii="Poppins" w:cs="Poppins" w:eastAsia="Poppins" w:hAnsi="Poppins"/>
          <w:b w:val="1"/>
          <w:bCs w:val="1"/>
          <w:color w:val="222222"/>
          <w:rtl w:val="0"/>
        </w:rPr>
        <w:t xml:space="preserve">Column Masker</w:t>
      </w:r>
      <w:r w:rsidDel="00000000" w:rsidR="00000000" w:rsidRPr="00000000">
        <w:rPr>
          <w:rFonts w:ascii="Poppins" w:cs="Poppins" w:eastAsia="Poppins" w:hAnsi="Poppins"/>
          <w:color w:val="222222"/>
          <w:rtl w:val="0"/>
        </w:rPr>
        <w:t xml:space="preserve">, </w:t>
      </w:r>
      <w:r w:rsidDel="00000000" w:rsidR="00000000" w:rsidRPr="00000000">
        <w:rPr>
          <w:rFonts w:ascii="Poppins" w:cs="Poppins" w:eastAsia="Poppins" w:hAnsi="Poppins"/>
          <w:b w:val="1"/>
          <w:bCs w:val="1"/>
          <w:color w:val="222222"/>
          <w:rtl w:val="0"/>
        </w:rPr>
        <w:t xml:space="preserve">TermMapper </w:t>
      </w:r>
      <w:r w:rsidDel="00000000" w:rsidR="00000000" w:rsidRPr="00000000">
        <w:rPr>
          <w:rFonts w:ascii="Poppins" w:cs="Poppins" w:eastAsia="Poppins" w:hAnsi="Poppins"/>
          <w:color w:val="222222"/>
          <w:rtl w:val="0"/>
        </w:rPr>
        <w:t xml:space="preserve">and </w:t>
      </w:r>
      <w:r w:rsidDel="00000000" w:rsidR="00000000" w:rsidRPr="00000000">
        <w:rPr>
          <w:rFonts w:ascii="Poppins" w:cs="Poppins" w:eastAsia="Poppins" w:hAnsi="Poppins"/>
          <w:b w:val="1"/>
          <w:bCs w:val="1"/>
          <w:color w:val="222222"/>
          <w:rtl w:val="0"/>
        </w:rPr>
        <w:t xml:space="preserve">CommonModel</w:t>
      </w:r>
      <w:r w:rsidDel="00000000" w:rsidR="00000000" w:rsidRPr="00000000">
        <w:rPr>
          <w:rFonts w:ascii="Poppins" w:cs="Poppins" w:eastAsia="Poppins" w:hAnsi="Poppins"/>
          <w:color w:val="222222"/>
          <w:rtl w:val="0"/>
        </w:rPr>
        <w:t xml:space="preserve">. Column Masker pseudonymises records by masking table columns containing sensitive data, either by nullifying, redacting, generalising, abstracting or hashing them. Masked data and unmasked Personal Confidential Data (PCD) are processed separately. At this stage, the </w:t>
      </w:r>
      <w:r w:rsidDel="00000000" w:rsidR="00000000" w:rsidRPr="00000000">
        <w:rPr>
          <w:rFonts w:ascii="Poppins" w:cs="Poppins" w:eastAsia="Poppins" w:hAnsi="Poppins"/>
          <w:b w:val="1"/>
          <w:bCs w:val="1"/>
          <w:color w:val="222222"/>
          <w:rtl w:val="0"/>
        </w:rPr>
        <w:t xml:space="preserve">National Data Opt-Out (NDOO) Tracker</w:t>
      </w:r>
      <w:r w:rsidDel="00000000" w:rsidR="00000000" w:rsidRPr="00000000">
        <w:rPr>
          <w:rFonts w:ascii="Poppins" w:cs="Poppins" w:eastAsia="Poppins" w:hAnsi="Poppins"/>
          <w:color w:val="222222"/>
          <w:rtl w:val="0"/>
        </w:rPr>
        <w:t xml:space="preserve"> is also applied. CommonModel transforms the records from their vendor-specific format to a single pattern and combines them into a single dataset. Additionally, CommonModel supplements records with reference data from TermMapper. TermMapper is a service that provides mappings to the SNOMED codes system via a subscription to Terminology assets (code systems and concept maps) on the NHS Terminology Server. TermMapper also ingests value sets, which are applied later by the </w:t>
      </w:r>
      <w:r w:rsidDel="00000000" w:rsidR="00000000" w:rsidRPr="00000000">
        <w:rPr>
          <w:rFonts w:ascii="Poppins" w:cs="Poppins" w:eastAsia="Poppins" w:hAnsi="Poppins"/>
          <w:b w:val="1"/>
          <w:bCs w:val="1"/>
          <w:color w:val="222222"/>
          <w:rtl w:val="0"/>
        </w:rPr>
        <w:t xml:space="preserve">Value Set Tagger</w:t>
      </w:r>
      <w:r w:rsidDel="00000000" w:rsidR="00000000" w:rsidRPr="00000000">
        <w:rPr>
          <w:rFonts w:ascii="Poppins" w:cs="Poppins" w:eastAsia="Poppins" w:hAnsi="Poppins"/>
          <w:color w:val="222222"/>
          <w:rtl w:val="0"/>
        </w:rPr>
        <w:t xml:space="preserve">, </w:t>
      </w:r>
      <w:r w:rsidDel="00000000" w:rsidR="00000000" w:rsidRPr="00000000">
        <w:rPr>
          <w:rFonts w:ascii="Poppins" w:cs="Poppins" w:eastAsia="Poppins" w:hAnsi="Poppins"/>
          <w:b w:val="1"/>
          <w:bCs w:val="1"/>
          <w:color w:val="222222"/>
          <w:rtl w:val="0"/>
        </w:rPr>
        <w:t xml:space="preserve">Data Point Generator</w:t>
      </w:r>
      <w:r w:rsidDel="00000000" w:rsidR="00000000" w:rsidRPr="00000000">
        <w:rPr>
          <w:rFonts w:ascii="Poppins" w:cs="Poppins" w:eastAsia="Poppins" w:hAnsi="Poppins"/>
          <w:color w:val="222222"/>
          <w:rtl w:val="0"/>
        </w:rPr>
        <w:t xml:space="preserve"> and </w:t>
      </w:r>
      <w:r w:rsidDel="00000000" w:rsidR="00000000" w:rsidRPr="00000000">
        <w:rPr>
          <w:rFonts w:ascii="Poppins" w:cs="Poppins" w:eastAsia="Poppins" w:hAnsi="Poppins"/>
          <w:b w:val="1"/>
          <w:bCs w:val="1"/>
          <w:color w:val="222222"/>
          <w:rtl w:val="0"/>
        </w:rPr>
        <w:t xml:space="preserve">Cohort Builder</w:t>
      </w:r>
      <w:r w:rsidDel="00000000" w:rsidR="00000000" w:rsidRPr="00000000">
        <w:rPr>
          <w:rFonts w:ascii="Poppins" w:cs="Poppins" w:eastAsia="Poppins" w:hAnsi="Poppins"/>
          <w:color w:val="222222"/>
          <w:rtl w:val="0"/>
        </w:rPr>
        <w:t xml:space="preserve"> services.</w:t>
      </w:r>
    </w:p>
    <w:p w:rsidR="00000000" w:rsidDel="00000000" w:rsidP="00000000" w:rsidRDefault="00000000" w:rsidRPr="00000000" w14:paraId="0000000C">
      <w:pPr>
        <w:shd w:fill="ffffff" w:val="clear"/>
        <w:rPr>
          <w:rFonts w:ascii="Poppins" w:cs="Poppins" w:eastAsia="Poppins" w:hAnsi="Poppins"/>
          <w:color w:val="222222"/>
        </w:rPr>
      </w:pPr>
      <w:r w:rsidDel="00000000" w:rsidR="00000000" w:rsidRPr="00000000">
        <w:rPr>
          <w:rFonts w:ascii="Poppins" w:cs="Poppins" w:eastAsia="Poppins" w:hAnsi="Poppins"/>
          <w:color w:val="222222"/>
          <w:rtl w:val="0"/>
        </w:rPr>
        <w:t xml:space="preserve">The data flow into a Delta Lake, which stores them in delta format in Azure Data Lake Storage (ADLS). Delta files will be streamed to SNSDE, ICB SQL ‘Sandpits’, NWL’s Whole Systems Integrated Care dashboards (WSIC), and other platforms in a standardised, pseudonymised form. LDS includes de-identification and re-identification tools to ensure that only approved subscribers receive Personally Identifiable Data (PID) to which they are entitled.</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