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455CF" w14:textId="77777777" w:rsidR="00892728" w:rsidRDefault="00E157BB">
      <w:pPr>
        <w:spacing w:after="0" w:line="360" w:lineRule="auto"/>
      </w:pPr>
      <w:bookmarkStart w:id="0" w:name="_gjdgxs" w:colFirst="0" w:colLast="0"/>
      <w:bookmarkEnd w:id="0"/>
      <w:r>
        <w:t>Anton Povzner</w:t>
      </w:r>
    </w:p>
    <w:p w14:paraId="646F6D74" w14:textId="754A92EC" w:rsidR="00892728" w:rsidRDefault="00306F2C">
      <w:pPr>
        <w:spacing w:after="0" w:line="360" w:lineRule="auto"/>
      </w:pPr>
      <w:r>
        <w:t>0</w:t>
      </w:r>
      <w:r w:rsidR="00DF08B4">
        <w:t>2</w:t>
      </w:r>
      <w:r w:rsidR="00E157BB">
        <w:t>.</w:t>
      </w:r>
      <w:r>
        <w:t>22</w:t>
      </w:r>
      <w:r w:rsidR="00E157BB">
        <w:t>.201</w:t>
      </w:r>
      <w:r>
        <w:t>9</w:t>
      </w:r>
    </w:p>
    <w:p w14:paraId="21C6DCC6" w14:textId="77777777" w:rsidR="00892728" w:rsidRDefault="00892728">
      <w:pPr>
        <w:spacing w:after="0" w:line="360" w:lineRule="auto"/>
      </w:pPr>
    </w:p>
    <w:p w14:paraId="65106567" w14:textId="6AF6EEFA" w:rsidR="00892728" w:rsidRDefault="00E157BB">
      <w:pPr>
        <w:spacing w:line="360" w:lineRule="auto"/>
        <w:jc w:val="center"/>
      </w:pPr>
      <w:r>
        <w:t xml:space="preserve">Roger Williams’ Women’s Voices: </w:t>
      </w:r>
      <w:r w:rsidR="007A0FCC">
        <w:t>Gendered</w:t>
      </w:r>
      <w:r>
        <w:t xml:space="preserve"> Rhetoric in Puritan Polemics</w:t>
      </w:r>
    </w:p>
    <w:p w14:paraId="410F1994" w14:textId="5F63A311" w:rsidR="00892728" w:rsidRDefault="009538E0" w:rsidP="00B57A20">
      <w:pPr>
        <w:spacing w:line="360" w:lineRule="auto"/>
      </w:pPr>
      <w:r>
        <w:t>CW: apologize in advance; a section of my paper deals with rather gratuitous rape imagery; not graphic, but easily uncomfortable</w:t>
      </w:r>
      <w:bookmarkStart w:id="1" w:name="_GoBack"/>
      <w:bookmarkEnd w:id="1"/>
    </w:p>
    <w:p w14:paraId="7B551196" w14:textId="4A3110A5" w:rsidR="00A61B03" w:rsidRDefault="00C4476A" w:rsidP="00585D61">
      <w:pPr>
        <w:ind w:firstLine="720"/>
      </w:pPr>
      <w:r>
        <w:t>Consideration</w:t>
      </w:r>
      <w:r w:rsidR="00E157BB">
        <w:t xml:space="preserve"> of female speech and dissent in the early New England Puritan colony reliably </w:t>
      </w:r>
      <w:proofErr w:type="gramStart"/>
      <w:r w:rsidR="00E157BB">
        <w:t>brings to mind</w:t>
      </w:r>
      <w:proofErr w:type="gramEnd"/>
      <w:r w:rsidR="00E157BB">
        <w:t xml:space="preserve"> the figure of Anne Hutchinson</w:t>
      </w:r>
      <w:r w:rsidR="00161A1E">
        <w:t xml:space="preserve">. </w:t>
      </w:r>
      <w:r w:rsidR="006F08DA">
        <w:t xml:space="preserve">While </w:t>
      </w:r>
      <w:r w:rsidR="0019619D">
        <w:t xml:space="preserve">it was heresy as well as a challenge to the authority of the established ministry that led to her banishment in 1638, the trial records leave little doubt </w:t>
      </w:r>
      <w:r w:rsidR="00106A99">
        <w:t xml:space="preserve">about </w:t>
      </w:r>
      <w:r w:rsidR="00106A99" w:rsidRPr="006D028B">
        <w:t xml:space="preserve">the centrality of </w:t>
      </w:r>
      <w:r w:rsidR="00D25F99">
        <w:t>Hutchinson’s</w:t>
      </w:r>
      <w:r w:rsidR="006D028B" w:rsidRPr="006D028B">
        <w:t xml:space="preserve"> </w:t>
      </w:r>
      <w:r w:rsidR="00106A99" w:rsidRPr="006D028B">
        <w:t>gender</w:t>
      </w:r>
      <w:r w:rsidR="00106A99">
        <w:t xml:space="preserve"> </w:t>
      </w:r>
      <w:r w:rsidR="00F44763">
        <w:t>in</w:t>
      </w:r>
      <w:r w:rsidR="00106A99">
        <w:t xml:space="preserve"> the accusations</w:t>
      </w:r>
      <w:r w:rsidR="0032213C">
        <w:t xml:space="preserve">. Especial scrutiny surrounded her </w:t>
      </w:r>
      <w:r w:rsidR="001B7AE9">
        <w:t xml:space="preserve">approximation of </w:t>
      </w:r>
      <w:r w:rsidR="0032213C">
        <w:t xml:space="preserve">a masculine mode of public speech </w:t>
      </w:r>
      <w:r w:rsidR="00106A99">
        <w:t>at communal gatherings hosted in her house</w:t>
      </w:r>
      <w:r w:rsidR="0032213C">
        <w:t xml:space="preserve">. </w:t>
      </w:r>
      <w:r w:rsidR="00585D61">
        <w:t xml:space="preserve">In </w:t>
      </w:r>
      <w:r w:rsidR="006D028B">
        <w:t>a</w:t>
      </w:r>
      <w:r w:rsidR="00585D61">
        <w:t xml:space="preserve"> broader examination of New England politics of speech, Jane Kamensky identifies the outspoken woman as a locus of especial anxiety, undermining the marriage institution and with it “portend[</w:t>
      </w:r>
      <w:proofErr w:type="spellStart"/>
      <w:r w:rsidR="00585D61">
        <w:t>ing</w:t>
      </w:r>
      <w:proofErr w:type="spellEnd"/>
      <w:r w:rsidR="00585D61">
        <w:t>] the dissolution of state and society” (Kamensky 22).</w:t>
      </w:r>
    </w:p>
    <w:p w14:paraId="0990AAFF" w14:textId="38F92BF4" w:rsidR="00892728" w:rsidRDefault="00E157BB" w:rsidP="0016031D">
      <w:pPr>
        <w:ind w:firstLine="720"/>
      </w:pPr>
      <w:r>
        <w:t xml:space="preserve">The Puritan wariness of female speech makes it quite surprising, then, to find the other famous exile—Roger Williams—employing a rhetoric of femininity on several polemical occasions. </w:t>
      </w:r>
      <w:r w:rsidR="004D007C">
        <w:t xml:space="preserve">The core of </w:t>
      </w:r>
      <w:r w:rsidR="00DA3F56">
        <w:t xml:space="preserve">Williams’ religious intervention is condensed in </w:t>
      </w:r>
      <w:r w:rsidR="0016031D">
        <w:t xml:space="preserve">a </w:t>
      </w:r>
      <w:r w:rsidR="00DB2733">
        <w:t>printed</w:t>
      </w:r>
      <w:r w:rsidR="00DA3F56">
        <w:t xml:space="preserve"> dispute with the influential Puritan </w:t>
      </w:r>
      <w:r w:rsidR="003C5361">
        <w:t>minister</w:t>
      </w:r>
      <w:r w:rsidR="00DA3F56">
        <w:t xml:space="preserve"> </w:t>
      </w:r>
      <w:r w:rsidR="00D961A2">
        <w:t xml:space="preserve">John </w:t>
      </w:r>
      <w:r w:rsidR="00DA3F56">
        <w:t>Cotton</w:t>
      </w:r>
      <w:r w:rsidR="001531AF">
        <w:t xml:space="preserve">: the </w:t>
      </w:r>
      <w:proofErr w:type="spellStart"/>
      <w:r w:rsidR="001531AF" w:rsidRPr="001531AF">
        <w:rPr>
          <w:i/>
          <w:iCs/>
        </w:rPr>
        <w:t>Bloudy</w:t>
      </w:r>
      <w:proofErr w:type="spellEnd"/>
      <w:r w:rsidR="001531AF" w:rsidRPr="001531AF">
        <w:rPr>
          <w:i/>
          <w:iCs/>
        </w:rPr>
        <w:t xml:space="preserve"> </w:t>
      </w:r>
      <w:proofErr w:type="spellStart"/>
      <w:r w:rsidR="001531AF" w:rsidRPr="001531AF">
        <w:rPr>
          <w:i/>
          <w:iCs/>
        </w:rPr>
        <w:t>Tenent</w:t>
      </w:r>
      <w:proofErr w:type="spellEnd"/>
      <w:r w:rsidR="001531AF">
        <w:t xml:space="preserve"> volumes of 1644-1652</w:t>
      </w:r>
      <w:r w:rsidR="004E4DCF">
        <w:rPr>
          <w:iCs/>
        </w:rPr>
        <w:t>. Essentially,</w:t>
      </w:r>
      <w:r w:rsidR="00DA3F56">
        <w:t xml:space="preserve"> Williams contests the justice of his banishment </w:t>
      </w:r>
      <w:r w:rsidR="006D028B">
        <w:t>by arguing for a wide-ranging</w:t>
      </w:r>
      <w:r w:rsidR="00DA3F56">
        <w:t xml:space="preserve"> freedom of religious belief and</w:t>
      </w:r>
      <w:r w:rsidR="006D028B">
        <w:t xml:space="preserve"> calling for</w:t>
      </w:r>
      <w:r w:rsidR="00DA3F56">
        <w:t xml:space="preserve"> a full separation between Church and State. </w:t>
      </w:r>
      <w:r w:rsidR="00DA3F56">
        <w:rPr>
          <w:iCs/>
        </w:rPr>
        <w:t>Both</w:t>
      </w:r>
      <w:r w:rsidR="000E1E73">
        <w:rPr>
          <w:iCs/>
        </w:rPr>
        <w:t xml:space="preserve"> of Williams’</w:t>
      </w:r>
      <w:r w:rsidR="00DA3F56">
        <w:rPr>
          <w:iCs/>
        </w:rPr>
        <w:t xml:space="preserve"> </w:t>
      </w:r>
      <w:r w:rsidR="004E4DCF">
        <w:rPr>
          <w:iCs/>
        </w:rPr>
        <w:t xml:space="preserve">volumes are striking in their presentation </w:t>
      </w:r>
      <w:r>
        <w:t xml:space="preserve">as dialogs between the allegorical sisters “Truth” and “Peace,” </w:t>
      </w:r>
      <w:r w:rsidR="0016031D">
        <w:t xml:space="preserve">putting in female mouths Williams’ </w:t>
      </w:r>
      <w:r w:rsidR="007A0C0E">
        <w:t xml:space="preserve">otherwise </w:t>
      </w:r>
      <w:r w:rsidR="0016031D">
        <w:t xml:space="preserve">conventional abstruse theological-political argumentation. </w:t>
      </w:r>
      <w:bookmarkStart w:id="2" w:name="_Hlk523670729"/>
      <w:r w:rsidR="0016031D">
        <w:t xml:space="preserve">“Queries of Highest Consideration,” </w:t>
      </w:r>
      <w:bookmarkEnd w:id="2"/>
      <w:r w:rsidR="0016031D">
        <w:t xml:space="preserve">1644, a short pamphlet arguing for </w:t>
      </w:r>
      <w:r w:rsidR="0016031D">
        <w:lastRenderedPageBreak/>
        <w:t xml:space="preserve">freedom of conscience on the English mainland, does not adopt this rhetorical stance, but in its introduction </w:t>
      </w:r>
      <w:r>
        <w:t xml:space="preserve">Williams </w:t>
      </w:r>
      <w:r w:rsidR="00DB2733">
        <w:t>directly</w:t>
      </w:r>
      <w:r w:rsidR="0016031D">
        <w:t xml:space="preserve"> </w:t>
      </w:r>
      <w:r w:rsidR="009B0454">
        <w:t>aligns himself</w:t>
      </w:r>
      <w:r>
        <w:t xml:space="preserve"> with the </w:t>
      </w:r>
      <w:r w:rsidR="00DB2733">
        <w:t>b</w:t>
      </w:r>
      <w:r>
        <w:t>iblical Esther. In a</w:t>
      </w:r>
      <w:r w:rsidR="003008A8">
        <w:t xml:space="preserve">nother </w:t>
      </w:r>
      <w:r>
        <w:t xml:space="preserve">gendered turn of speech, Williams is unnervingly fond of comparing </w:t>
      </w:r>
      <w:bookmarkStart w:id="3" w:name="_Hlk523670790"/>
      <w:r>
        <w:t>political intrusion into a believer’s religious conscience to the rape of a woman</w:t>
      </w:r>
      <w:bookmarkEnd w:id="3"/>
      <w:r>
        <w:t>.</w:t>
      </w:r>
      <w:r w:rsidR="00BA00D0">
        <w:t xml:space="preserve"> It is worth adding that these rhetoric</w:t>
      </w:r>
      <w:r w:rsidR="00DB2733">
        <w:t>al positions</w:t>
      </w:r>
      <w:r w:rsidR="00BA00D0">
        <w:t xml:space="preserve"> </w:t>
      </w:r>
      <w:r w:rsidR="000E1E73">
        <w:t>are</w:t>
      </w:r>
      <w:r w:rsidR="00BA00D0">
        <w:t xml:space="preserve"> unlikely to </w:t>
      </w:r>
      <w:r w:rsidR="00D65F68">
        <w:t>have stemmed</w:t>
      </w:r>
      <w:r w:rsidR="00BA00D0">
        <w:t xml:space="preserve"> from progressive gender</w:t>
      </w:r>
      <w:r w:rsidR="000E1E73">
        <w:t xml:space="preserve"> politics</w:t>
      </w:r>
      <w:r w:rsidR="001531AF">
        <w:t>;</w:t>
      </w:r>
      <w:r w:rsidR="00BA00D0">
        <w:t xml:space="preserve"> Williams had scandalized Massachusetts early on by demanding that women should veil their faces in church (Goodman 71).</w:t>
      </w:r>
    </w:p>
    <w:p w14:paraId="427A6A8F" w14:textId="3F089FA7" w:rsidR="00EB0E3C" w:rsidRDefault="00E861EF" w:rsidP="00EB0E3C">
      <w:pPr>
        <w:ind w:firstLine="720"/>
      </w:pPr>
      <w:r>
        <w:t>D</w:t>
      </w:r>
      <w:r w:rsidR="00BA00D0">
        <w:t xml:space="preserve">espite his banishment, </w:t>
      </w:r>
      <w:r w:rsidR="004D6C95">
        <w:t>Williams remained surprisingly well-regarded</w:t>
      </w:r>
      <w:r w:rsidR="0057371F">
        <w:t>, commended for his “</w:t>
      </w:r>
      <w:proofErr w:type="spellStart"/>
      <w:r w:rsidR="0057371F">
        <w:t>Wisedome</w:t>
      </w:r>
      <w:proofErr w:type="spellEnd"/>
      <w:r w:rsidR="0057371F">
        <w:t xml:space="preserve"> and </w:t>
      </w:r>
      <w:proofErr w:type="spellStart"/>
      <w:r w:rsidR="0057371F">
        <w:t>Gentlenes</w:t>
      </w:r>
      <w:proofErr w:type="spellEnd"/>
      <w:r w:rsidR="0057371F">
        <w:t>” by John Winthrop and for his “judgement” by John Cotton (qtd. in Kamensky 91)</w:t>
      </w:r>
      <w:r w:rsidR="004D6C95">
        <w:t xml:space="preserve">. While Winthrop’s </w:t>
      </w:r>
      <w:r w:rsidR="00F06DCA">
        <w:t>1</w:t>
      </w:r>
      <w:r w:rsidR="007E390A">
        <w:t>6</w:t>
      </w:r>
      <w:r w:rsidR="00F06DCA">
        <w:t xml:space="preserve">44 </w:t>
      </w:r>
      <w:r w:rsidR="00E157BB">
        <w:rPr>
          <w:i/>
        </w:rPr>
        <w:t>Short Story</w:t>
      </w:r>
      <w:r w:rsidR="00E157BB">
        <w:t xml:space="preserve"> of the Antinomian controversy </w:t>
      </w:r>
      <w:r w:rsidR="00DB2733">
        <w:t>disparagingly</w:t>
      </w:r>
      <w:r w:rsidR="00E157BB">
        <w:t xml:space="preserve"> compares the “monstrous births” of Hutchinson’s erroneous opinions to her subsequent miscarriage</w:t>
      </w:r>
      <w:r w:rsidR="00EB0E3C">
        <w:t xml:space="preserve">, </w:t>
      </w:r>
      <w:r w:rsidR="00F06DCA">
        <w:t>Williams’ publication</w:t>
      </w:r>
      <w:r w:rsidR="007E390A">
        <w:t>s</w:t>
      </w:r>
      <w:r w:rsidR="00F06DCA">
        <w:t xml:space="preserve"> of the same year attests to a </w:t>
      </w:r>
      <w:r>
        <w:t>measure</w:t>
      </w:r>
      <w:r w:rsidR="00F06DCA">
        <w:t xml:space="preserve"> of </w:t>
      </w:r>
      <w:r>
        <w:t xml:space="preserve">cultural </w:t>
      </w:r>
      <w:r w:rsidR="00F06DCA">
        <w:t xml:space="preserve">validity, </w:t>
      </w:r>
      <w:r>
        <w:t>confirmed</w:t>
      </w:r>
      <w:r w:rsidR="00F06DCA">
        <w:t xml:space="preserve"> by Cotton’s response</w:t>
      </w:r>
      <w:r w:rsidR="00EB0E3C">
        <w:t xml:space="preserve"> (qtd. in Hall 214)</w:t>
      </w:r>
      <w:r w:rsidR="00E157BB">
        <w:t>.</w:t>
      </w:r>
      <w:r w:rsidR="00186B51" w:rsidRPr="00186B51">
        <w:rPr>
          <w:vertAlign w:val="superscript"/>
        </w:rPr>
        <w:t xml:space="preserve"> </w:t>
      </w:r>
      <w:r w:rsidR="00E157BB">
        <w:t>Williams’ leadership of the Rhode Island colony</w:t>
      </w:r>
      <w:r w:rsidR="00B9243F">
        <w:t xml:space="preserve"> </w:t>
      </w:r>
      <w:r w:rsidR="0057371F">
        <w:t>involved exten</w:t>
      </w:r>
      <w:r w:rsidR="00D65F68">
        <w:t>sive</w:t>
      </w:r>
      <w:r w:rsidR="0057371F">
        <w:t xml:space="preserve"> negotiation and cooperation with the surrounding colonies</w:t>
      </w:r>
      <w:r w:rsidR="00B9243F">
        <w:t xml:space="preserve"> and their leaders. His distinguished life career</w:t>
      </w:r>
      <w:r w:rsidR="007A0C0E">
        <w:t xml:space="preserve"> </w:t>
      </w:r>
      <w:r w:rsidR="00EB0E3C">
        <w:t xml:space="preserve">attests to </w:t>
      </w:r>
      <w:proofErr w:type="gramStart"/>
      <w:r w:rsidR="007A0C0E">
        <w:t>sufficient</w:t>
      </w:r>
      <w:proofErr w:type="gramEnd"/>
      <w:r w:rsidR="007A0C0E">
        <w:t xml:space="preserve"> </w:t>
      </w:r>
      <w:r w:rsidR="00EB0E3C">
        <w:t xml:space="preserve">currency </w:t>
      </w:r>
      <w:r w:rsidR="007A0C0E">
        <w:t xml:space="preserve">for his rhetoric, too, to be </w:t>
      </w:r>
      <w:r w:rsidR="001D5401">
        <w:t>worthy of a sustained examination</w:t>
      </w:r>
      <w:r w:rsidR="00EB0E3C">
        <w:t>.</w:t>
      </w:r>
    </w:p>
    <w:p w14:paraId="07CBB921" w14:textId="7441A3D1" w:rsidR="00012A74" w:rsidRDefault="00E157BB" w:rsidP="00CC60E1">
      <w:pPr>
        <w:ind w:firstLine="720"/>
      </w:pPr>
      <w:r>
        <w:t xml:space="preserve">The most extensive example </w:t>
      </w:r>
      <w:r w:rsidR="00B44267">
        <w:t>of Williams</w:t>
      </w:r>
      <w:r w:rsidR="00D65F68">
        <w:t xml:space="preserve">’ </w:t>
      </w:r>
      <w:r w:rsidR="00B44267">
        <w:t>employ</w:t>
      </w:r>
      <w:r w:rsidR="00D65F68">
        <w:t xml:space="preserve">ment of </w:t>
      </w:r>
      <w:r w:rsidR="00B44267">
        <w:t xml:space="preserve">a feminine voice </w:t>
      </w:r>
      <w:r>
        <w:t xml:space="preserve">is the framing of the </w:t>
      </w:r>
      <w:proofErr w:type="spellStart"/>
      <w:r>
        <w:rPr>
          <w:i/>
        </w:rPr>
        <w:t>Tenent</w:t>
      </w:r>
      <w:proofErr w:type="spellEnd"/>
      <w:r>
        <w:t xml:space="preserve"> volumes as a dialog </w:t>
      </w:r>
      <w:r w:rsidR="00B7613B">
        <w:t>between</w:t>
      </w:r>
      <w:r>
        <w:rPr>
          <w:i/>
        </w:rPr>
        <w:t xml:space="preserve"> </w:t>
      </w:r>
      <w:r>
        <w:t xml:space="preserve">Truth and Peace. Past </w:t>
      </w:r>
      <w:r w:rsidR="00B44267">
        <w:t>several</w:t>
      </w:r>
      <w:r>
        <w:t xml:space="preserve"> introductory sections, the first chapter dramatizes a long-sought meeting between the two sisters</w:t>
      </w:r>
      <w:r w:rsidR="00B44267">
        <w:t>.</w:t>
      </w:r>
      <w:r w:rsidR="00CC60E1">
        <w:rPr>
          <w:vertAlign w:val="superscript"/>
        </w:rPr>
        <w:footnoteReference w:id="1"/>
      </w:r>
      <w:r w:rsidR="00B44267">
        <w:t xml:space="preserve"> The presentation is </w:t>
      </w:r>
      <w:r w:rsidR="00CC60E1">
        <w:t xml:space="preserve">emotional as well as </w:t>
      </w:r>
      <w:r w:rsidR="00B44267">
        <w:t>embodied to a remarkable degree; thus, Peace</w:t>
      </w:r>
      <w:r w:rsidR="00B7613B">
        <w:t xml:space="preserve"> exclaims</w:t>
      </w:r>
      <w:r w:rsidR="00B44267">
        <w:t xml:space="preserve">: “Mine </w:t>
      </w:r>
      <w:r w:rsidR="00B44267">
        <w:rPr>
          <w:i/>
          <w:iCs/>
        </w:rPr>
        <w:t>Heart</w:t>
      </w:r>
      <w:r w:rsidR="00B44267">
        <w:t xml:space="preserve"> </w:t>
      </w:r>
      <w:r w:rsidR="00CC60E1">
        <w:t>i</w:t>
      </w:r>
      <w:r w:rsidR="00B44267">
        <w:t xml:space="preserve">s full of </w:t>
      </w:r>
      <w:proofErr w:type="spellStart"/>
      <w:r w:rsidR="00B44267">
        <w:t>sighes</w:t>
      </w:r>
      <w:proofErr w:type="spellEnd"/>
      <w:r w:rsidR="00B44267">
        <w:t xml:space="preserve">, mine </w:t>
      </w:r>
      <w:r w:rsidR="00B44267">
        <w:rPr>
          <w:i/>
          <w:iCs/>
        </w:rPr>
        <w:t>eyes</w:t>
      </w:r>
      <w:r w:rsidR="00B44267">
        <w:t xml:space="preserve"> with </w:t>
      </w:r>
      <w:proofErr w:type="spellStart"/>
      <w:r w:rsidR="00B44267">
        <w:t>teares</w:t>
      </w:r>
      <w:proofErr w:type="spellEnd"/>
      <w:r w:rsidR="00B44267">
        <w:t xml:space="preserve">: Where can I better vent my full oppressed </w:t>
      </w:r>
      <w:proofErr w:type="spellStart"/>
      <w:r w:rsidR="00B44267">
        <w:rPr>
          <w:i/>
          <w:iCs/>
        </w:rPr>
        <w:t>bosome</w:t>
      </w:r>
      <w:proofErr w:type="spellEnd"/>
      <w:r w:rsidR="00B44267">
        <w:t xml:space="preserve">, than into </w:t>
      </w:r>
      <w:r w:rsidR="00B44267">
        <w:rPr>
          <w:i/>
          <w:iCs/>
        </w:rPr>
        <w:t>thine</w:t>
      </w:r>
      <w:r w:rsidR="00B44267">
        <w:t>,</w:t>
      </w:r>
      <w:r w:rsidR="00B44267">
        <w:rPr>
          <w:i/>
          <w:iCs/>
        </w:rPr>
        <w:t xml:space="preserve"> </w:t>
      </w:r>
      <w:r w:rsidR="00B44267" w:rsidRPr="00B44267">
        <w:t xml:space="preserve">whose </w:t>
      </w:r>
      <w:proofErr w:type="spellStart"/>
      <w:r w:rsidR="00B44267" w:rsidRPr="00B44267">
        <w:t>faithfull</w:t>
      </w:r>
      <w:proofErr w:type="spellEnd"/>
      <w:r w:rsidR="00B44267">
        <w:rPr>
          <w:i/>
          <w:iCs/>
        </w:rPr>
        <w:t xml:space="preserve"> lips</w:t>
      </w:r>
      <w:r w:rsidR="00B44267">
        <w:t xml:space="preserve"> may for these few </w:t>
      </w:r>
      <w:proofErr w:type="spellStart"/>
      <w:r w:rsidR="00CC60E1">
        <w:t>houres</w:t>
      </w:r>
      <w:proofErr w:type="spellEnd"/>
      <w:r w:rsidR="00CC60E1">
        <w:t xml:space="preserve"> revive my drooping </w:t>
      </w:r>
      <w:proofErr w:type="spellStart"/>
      <w:r w:rsidR="00CC60E1">
        <w:t>wandring</w:t>
      </w:r>
      <w:proofErr w:type="spellEnd"/>
      <w:r w:rsidR="00CC60E1">
        <w:t xml:space="preserve"> </w:t>
      </w:r>
      <w:r w:rsidR="00CC60E1">
        <w:rPr>
          <w:i/>
          <w:iCs/>
        </w:rPr>
        <w:t>spirits</w:t>
      </w:r>
      <w:r w:rsidR="00CC60E1">
        <w:t xml:space="preserve">, and </w:t>
      </w:r>
      <w:r w:rsidR="00CC60E1">
        <w:lastRenderedPageBreak/>
        <w:t xml:space="preserve">here begin to </w:t>
      </w:r>
      <w:r w:rsidR="00CC60E1">
        <w:rPr>
          <w:i/>
          <w:iCs/>
        </w:rPr>
        <w:t xml:space="preserve">wipe </w:t>
      </w:r>
      <w:proofErr w:type="spellStart"/>
      <w:r w:rsidR="00CC60E1">
        <w:rPr>
          <w:i/>
          <w:iCs/>
        </w:rPr>
        <w:t>Teares</w:t>
      </w:r>
      <w:proofErr w:type="spellEnd"/>
      <w:r w:rsidR="00CC60E1">
        <w:t xml:space="preserve"> from mine eyes” (</w:t>
      </w:r>
      <w:proofErr w:type="spellStart"/>
      <w:r w:rsidR="00CC60E1">
        <w:rPr>
          <w:i/>
        </w:rPr>
        <w:t>Bloudy</w:t>
      </w:r>
      <w:proofErr w:type="spellEnd"/>
      <w:r w:rsidR="00CC60E1">
        <w:rPr>
          <w:i/>
        </w:rPr>
        <w:t xml:space="preserve"> </w:t>
      </w:r>
      <w:proofErr w:type="spellStart"/>
      <w:r w:rsidR="00CC60E1">
        <w:rPr>
          <w:i/>
        </w:rPr>
        <w:t>Tenent</w:t>
      </w:r>
      <w:proofErr w:type="spellEnd"/>
      <w:r w:rsidR="00CC60E1">
        <w:t xml:space="preserve"> 56). </w:t>
      </w:r>
      <w:r w:rsidR="00012A74">
        <w:t xml:space="preserve">The </w:t>
      </w:r>
      <w:r>
        <w:t>arguments unfolded over hundreds of pages</w:t>
      </w:r>
      <w:r w:rsidR="00012A74">
        <w:t xml:space="preserve"> are thus framed</w:t>
      </w:r>
      <w:r>
        <w:t xml:space="preserve"> as </w:t>
      </w:r>
      <w:r w:rsidR="00012A74">
        <w:t xml:space="preserve">a spontaneous emotional </w:t>
      </w:r>
      <w:r w:rsidR="00F03E1C">
        <w:t>expression</w:t>
      </w:r>
      <w:r w:rsidR="00012A74">
        <w:t xml:space="preserve"> r</w:t>
      </w:r>
      <w:r>
        <w:t xml:space="preserve">ather than, or at least in addition to, </w:t>
      </w:r>
      <w:r w:rsidR="00012A74">
        <w:t>carefully plotted</w:t>
      </w:r>
      <w:r>
        <w:t xml:space="preserve"> cerebral reasoning. </w:t>
      </w:r>
      <w:r w:rsidR="00012A74">
        <w:t xml:space="preserve">Further, the plaintive tone of the conversation harnesses the vulnerability of the conventional female gender role to intensify Williams’ presentation as a sympathetic victim of “persecution”—rather than, for example, a recalcitrant rule-breaker. </w:t>
      </w:r>
      <w:proofErr w:type="gramStart"/>
      <w:r w:rsidR="00012A74">
        <w:t>Later on</w:t>
      </w:r>
      <w:proofErr w:type="gramEnd"/>
      <w:r w:rsidR="00012A74">
        <w:t xml:space="preserve">, however, </w:t>
      </w:r>
      <w:r w:rsidR="00612C64">
        <w:t>when</w:t>
      </w:r>
      <w:r w:rsidR="00012A74">
        <w:t xml:space="preserve"> Peace and Truth recede into the background as largely formal labels, they can ambivalently serve either to remind of their initial effect or, on the contrary, to invest Williams’ arguments with an impersonal objective quality as “the spiritualization of feminine imagery had the effect of erasing the earthly femaleness from it” (Schweitzer 27).</w:t>
      </w:r>
    </w:p>
    <w:p w14:paraId="6625A7CB" w14:textId="26133FF8" w:rsidR="00D05AE6" w:rsidRDefault="00012A74" w:rsidP="006E24FA">
      <w:pPr>
        <w:ind w:firstLine="720"/>
        <w:rPr>
          <w:iCs/>
        </w:rPr>
      </w:pPr>
      <w:r>
        <w:t>In fact, such spiritualization is operative from the start,</w:t>
      </w:r>
      <w:r w:rsidR="009C4DC2">
        <w:t xml:space="preserve"> as the embodied femininity is modified by </w:t>
      </w:r>
      <w:r w:rsidR="00CC60E1">
        <w:t xml:space="preserve">Peace’s opening reference to her “wearied, </w:t>
      </w:r>
      <w:proofErr w:type="spellStart"/>
      <w:r w:rsidR="00CC60E1">
        <w:rPr>
          <w:i/>
        </w:rPr>
        <w:t>tyred</w:t>
      </w:r>
      <w:proofErr w:type="spellEnd"/>
      <w:r w:rsidR="00CC60E1">
        <w:rPr>
          <w:i/>
        </w:rPr>
        <w:t xml:space="preserve"> Wing</w:t>
      </w:r>
      <w:r w:rsidR="00F03E1C">
        <w:rPr>
          <w:i/>
        </w:rPr>
        <w:t>,</w:t>
      </w:r>
      <w:r w:rsidR="00CC60E1">
        <w:rPr>
          <w:iCs/>
        </w:rPr>
        <w:t xml:space="preserve">” </w:t>
      </w:r>
      <w:r w:rsidR="009C4DC2">
        <w:rPr>
          <w:iCs/>
        </w:rPr>
        <w:t>which</w:t>
      </w:r>
      <w:r w:rsidR="00CC60E1">
        <w:rPr>
          <w:iCs/>
        </w:rPr>
        <w:t xml:space="preserve"> turns the sisters—obvious allegories to begin with—into angelic forms distinct from women with earthly bodies</w:t>
      </w:r>
      <w:r w:rsidR="00CC60E1">
        <w:t xml:space="preserve"> (</w:t>
      </w:r>
      <w:proofErr w:type="spellStart"/>
      <w:r w:rsidR="00CC60E1">
        <w:rPr>
          <w:i/>
        </w:rPr>
        <w:t>Bloudy</w:t>
      </w:r>
      <w:proofErr w:type="spellEnd"/>
      <w:r w:rsidR="00CC60E1">
        <w:rPr>
          <w:i/>
        </w:rPr>
        <w:t xml:space="preserve"> </w:t>
      </w:r>
      <w:proofErr w:type="spellStart"/>
      <w:r w:rsidR="00CC60E1">
        <w:rPr>
          <w:i/>
        </w:rPr>
        <w:t>Tenent</w:t>
      </w:r>
      <w:proofErr w:type="spellEnd"/>
      <w:r w:rsidR="00CC60E1">
        <w:t xml:space="preserve"> 55)</w:t>
      </w:r>
      <w:r w:rsidR="00CC60E1">
        <w:rPr>
          <w:iCs/>
        </w:rPr>
        <w:t>.</w:t>
      </w:r>
      <w:r w:rsidR="009C4DC2">
        <w:rPr>
          <w:iCs/>
        </w:rPr>
        <w:t xml:space="preserve"> This resonates especially with Winthrop’s cruel comment on Hutchinson’s miscarriage: whereas the female</w:t>
      </w:r>
      <w:r w:rsidR="006E24FA">
        <w:rPr>
          <w:iCs/>
        </w:rPr>
        <w:t xml:space="preserve"> body, conventionally associated with materiality and especially with reproduction,</w:t>
      </w:r>
      <w:r w:rsidR="009C4DC2">
        <w:rPr>
          <w:iCs/>
        </w:rPr>
        <w:t xml:space="preserve"> could be em</w:t>
      </w:r>
      <w:r w:rsidR="001B270B">
        <w:rPr>
          <w:iCs/>
        </w:rPr>
        <w:t>ployed to silence women’s speech, Williams constructs his feminine speakers</w:t>
      </w:r>
      <w:r w:rsidR="00D05AE6">
        <w:rPr>
          <w:iCs/>
        </w:rPr>
        <w:t xml:space="preserve"> </w:t>
      </w:r>
      <w:r w:rsidR="00653562">
        <w:rPr>
          <w:iCs/>
        </w:rPr>
        <w:t xml:space="preserve">with just enough of the bodily for rhetorical effect, but not quite a human biology. </w:t>
      </w:r>
    </w:p>
    <w:p w14:paraId="6FAB688D" w14:textId="73CD85C7" w:rsidR="00E80165" w:rsidRDefault="001D5401" w:rsidP="002A6A2C">
      <w:pPr>
        <w:ind w:firstLine="720"/>
      </w:pPr>
      <w:r>
        <w:t xml:space="preserve">Another eye-catching rhetorical appeal to the feminine is </w:t>
      </w:r>
      <w:r w:rsidR="00E157BB">
        <w:t>Williams’ frequent association between political interference in a believer’s religious opinions and a woman’s rape</w:t>
      </w:r>
      <w:r w:rsidR="00096B24">
        <w:t xml:space="preserve">—spread throughout his works, but especially </w:t>
      </w:r>
      <w:r w:rsidR="002A6A2C">
        <w:t>prominent</w:t>
      </w:r>
      <w:r w:rsidR="00096B24">
        <w:t xml:space="preserve"> in </w:t>
      </w:r>
      <w:r w:rsidR="00096B24">
        <w:rPr>
          <w:i/>
          <w:iCs/>
        </w:rPr>
        <w:t xml:space="preserve">The </w:t>
      </w:r>
      <w:proofErr w:type="spellStart"/>
      <w:r w:rsidR="00096B24">
        <w:rPr>
          <w:i/>
          <w:iCs/>
        </w:rPr>
        <w:t>Bloudy</w:t>
      </w:r>
      <w:proofErr w:type="spellEnd"/>
      <w:r w:rsidR="00096B24">
        <w:rPr>
          <w:i/>
          <w:iCs/>
        </w:rPr>
        <w:t xml:space="preserve"> </w:t>
      </w:r>
      <w:proofErr w:type="spellStart"/>
      <w:r w:rsidR="00096B24">
        <w:rPr>
          <w:i/>
          <w:iCs/>
        </w:rPr>
        <w:t>Tenent</w:t>
      </w:r>
      <w:proofErr w:type="spellEnd"/>
      <w:r w:rsidR="00E157BB">
        <w:t xml:space="preserve">. </w:t>
      </w:r>
      <w:r w:rsidR="00E80165">
        <w:t>An early reference to the “</w:t>
      </w:r>
      <w:r w:rsidR="00E80165">
        <w:rPr>
          <w:i/>
          <w:iCs/>
        </w:rPr>
        <w:t>ravishing of conscience</w:t>
      </w:r>
      <w:r w:rsidR="00E80165">
        <w:t xml:space="preserve">” foreshadows </w:t>
      </w:r>
      <w:r w:rsidR="002A6A2C">
        <w:t>stronger</w:t>
      </w:r>
      <w:r w:rsidR="00E80165">
        <w:t xml:space="preserve"> expressions </w:t>
      </w:r>
      <w:proofErr w:type="gramStart"/>
      <w:r w:rsidR="00E80165">
        <w:t>later on</w:t>
      </w:r>
      <w:proofErr w:type="gramEnd"/>
      <w:r w:rsidR="00E80165">
        <w:t xml:space="preserve"> (</w:t>
      </w:r>
      <w:proofErr w:type="spellStart"/>
      <w:r w:rsidR="00E80165">
        <w:rPr>
          <w:i/>
        </w:rPr>
        <w:t>Bloudy</w:t>
      </w:r>
      <w:proofErr w:type="spellEnd"/>
      <w:r w:rsidR="00E80165">
        <w:rPr>
          <w:i/>
        </w:rPr>
        <w:t xml:space="preserve"> </w:t>
      </w:r>
      <w:proofErr w:type="spellStart"/>
      <w:r w:rsidR="00E80165">
        <w:rPr>
          <w:i/>
        </w:rPr>
        <w:t>Tenent</w:t>
      </w:r>
      <w:proofErr w:type="spellEnd"/>
      <w:r w:rsidR="00E80165">
        <w:t xml:space="preserve"> 4). Thus</w:t>
      </w:r>
      <w:r w:rsidR="00E157BB">
        <w:t xml:space="preserve">, Williams argues that in enforcing a uniform religion across England, the Parliament “hath </w:t>
      </w:r>
      <w:r w:rsidR="00E157BB">
        <w:lastRenderedPageBreak/>
        <w:t xml:space="preserve">committed a greater </w:t>
      </w:r>
      <w:proofErr w:type="spellStart"/>
      <w:r w:rsidR="00E157BB">
        <w:t>rape</w:t>
      </w:r>
      <w:proofErr w:type="spellEnd"/>
      <w:r w:rsidR="00E157BB">
        <w:t xml:space="preserve"> than if they had forced or ravished the bodies of all the women in the world” (</w:t>
      </w:r>
      <w:proofErr w:type="spellStart"/>
      <w:r w:rsidR="00E157BB">
        <w:rPr>
          <w:i/>
        </w:rPr>
        <w:t>Bloudy</w:t>
      </w:r>
      <w:proofErr w:type="spellEnd"/>
      <w:r w:rsidR="00E157BB">
        <w:rPr>
          <w:i/>
        </w:rPr>
        <w:t xml:space="preserve"> </w:t>
      </w:r>
      <w:proofErr w:type="spellStart"/>
      <w:r w:rsidR="00E157BB">
        <w:rPr>
          <w:i/>
        </w:rPr>
        <w:t>Tenent</w:t>
      </w:r>
      <w:proofErr w:type="spellEnd"/>
      <w:r w:rsidR="00E157BB">
        <w:t xml:space="preserve"> 9). </w:t>
      </w:r>
      <w:r w:rsidR="00E80165">
        <w:t xml:space="preserve">This is repeated almost verbatim later on when, citing the King of Bohemia, Williams posits that </w:t>
      </w:r>
      <w:r w:rsidR="00E80165">
        <w:rPr>
          <w:noProof/>
        </w:rPr>
        <w:t xml:space="preserve">“a </w:t>
      </w:r>
      <w:r w:rsidR="00E80165">
        <w:rPr>
          <w:i/>
          <w:iCs/>
          <w:noProof/>
        </w:rPr>
        <w:t xml:space="preserve">Soule </w:t>
      </w:r>
      <w:r w:rsidR="00E80165">
        <w:rPr>
          <w:noProof/>
        </w:rPr>
        <w:t xml:space="preserve">or </w:t>
      </w:r>
      <w:r w:rsidR="00E80165">
        <w:rPr>
          <w:i/>
          <w:iCs/>
          <w:noProof/>
        </w:rPr>
        <w:t>Spirituall Rape</w:t>
      </w:r>
      <w:r w:rsidR="00E80165">
        <w:rPr>
          <w:noProof/>
        </w:rPr>
        <w:t xml:space="preserve"> is more abominable in </w:t>
      </w:r>
      <w:r w:rsidR="00E80165">
        <w:rPr>
          <w:i/>
          <w:iCs/>
          <w:noProof/>
        </w:rPr>
        <w:t>Gods</w:t>
      </w:r>
      <w:r w:rsidR="00E80165">
        <w:rPr>
          <w:noProof/>
        </w:rPr>
        <w:t xml:space="preserve"> eye, than to force and ravish the Bodies of all the Women in the World”; </w:t>
      </w:r>
      <w:r w:rsidR="000C5EFF">
        <w:rPr>
          <w:noProof/>
        </w:rPr>
        <w:t xml:space="preserve">a margin-note </w:t>
      </w:r>
      <w:r w:rsidR="002A6A2C">
        <w:rPr>
          <w:noProof/>
        </w:rPr>
        <w:t>ensures that even in only leafing through the pages, a reader will not miss that</w:t>
      </w:r>
      <w:r w:rsidR="00E80165">
        <w:rPr>
          <w:noProof/>
        </w:rPr>
        <w:t xml:space="preserve"> “Forcing of Conscience is a Soule rape</w:t>
      </w:r>
      <w:r w:rsidR="00E80165">
        <w:t>” (</w:t>
      </w:r>
      <w:proofErr w:type="spellStart"/>
      <w:r w:rsidR="00E80165">
        <w:rPr>
          <w:i/>
        </w:rPr>
        <w:t>Bloudy</w:t>
      </w:r>
      <w:proofErr w:type="spellEnd"/>
      <w:r w:rsidR="00E80165">
        <w:rPr>
          <w:i/>
        </w:rPr>
        <w:t xml:space="preserve"> </w:t>
      </w:r>
      <w:proofErr w:type="spellStart"/>
      <w:r w:rsidR="00E80165">
        <w:rPr>
          <w:i/>
        </w:rPr>
        <w:t>Tenent</w:t>
      </w:r>
      <w:proofErr w:type="spellEnd"/>
      <w:r w:rsidR="00E80165">
        <w:t xml:space="preserve"> 182). In yet another close variation, this time with a familial cast, Williams warns that </w:t>
      </w:r>
      <w:r w:rsidR="00E80165">
        <w:rPr>
          <w:noProof/>
        </w:rPr>
        <w:t>“[w]ith lesse sinne ten thousand fold may a naturall Father force his daughter, or the Father of the Commonweale force all the maydens in a Country to the marriage beds of such and such men whom they cannot love, then the soules of these and other subjects to such worship or Ministry”</w:t>
      </w:r>
      <w:r w:rsidR="000C5EFF">
        <w:rPr>
          <w:noProof/>
        </w:rPr>
        <w:t>; this is</w:t>
      </w:r>
      <w:r w:rsidR="00E80165">
        <w:rPr>
          <w:noProof/>
        </w:rPr>
        <w:t xml:space="preserve"> also reinforced in a margin-note </w:t>
      </w:r>
      <w:r w:rsidR="00E80165">
        <w:t>(</w:t>
      </w:r>
      <w:proofErr w:type="spellStart"/>
      <w:r w:rsidR="00E80165">
        <w:rPr>
          <w:i/>
        </w:rPr>
        <w:t>Bloudy</w:t>
      </w:r>
      <w:proofErr w:type="spellEnd"/>
      <w:r w:rsidR="00E80165">
        <w:rPr>
          <w:i/>
        </w:rPr>
        <w:t xml:space="preserve"> </w:t>
      </w:r>
      <w:proofErr w:type="spellStart"/>
      <w:r w:rsidR="00E80165">
        <w:rPr>
          <w:i/>
        </w:rPr>
        <w:t>Tenent</w:t>
      </w:r>
      <w:proofErr w:type="spellEnd"/>
      <w:r w:rsidR="00E80165">
        <w:t xml:space="preserve"> 259).</w:t>
      </w:r>
    </w:p>
    <w:p w14:paraId="0BA43AD8" w14:textId="3AB4D9D1" w:rsidR="00E157BB" w:rsidRDefault="008451A0" w:rsidP="00AF5991">
      <w:pPr>
        <w:ind w:firstLine="720"/>
      </w:pPr>
      <w:r>
        <w:t>The violence of the figure communica</w:t>
      </w:r>
      <w:r w:rsidR="00C46267">
        <w:t xml:space="preserve">tes the extent of Williams’ veneration of a believer’s </w:t>
      </w:r>
      <w:r w:rsidR="0029418F">
        <w:t>religious conviction as well as his abhorrence of a forceful intrusion into that realm</w:t>
      </w:r>
      <w:r w:rsidR="00A26022">
        <w:t xml:space="preserve">. Williams </w:t>
      </w:r>
      <w:r w:rsidR="00D334BA">
        <w:t>had</w:t>
      </w:r>
      <w:r w:rsidR="0029418F">
        <w:t xml:space="preserve"> personally experienced </w:t>
      </w:r>
      <w:r w:rsidR="00D334BA">
        <w:t xml:space="preserve">religious persecution </w:t>
      </w:r>
      <w:r w:rsidR="0029418F">
        <w:t xml:space="preserve">in his banishment, </w:t>
      </w:r>
      <w:r w:rsidR="00D334BA">
        <w:t xml:space="preserve">but on </w:t>
      </w:r>
      <w:r w:rsidR="00424A52">
        <w:t>a broader scale</w:t>
      </w:r>
      <w:r w:rsidR="0029418F">
        <w:t xml:space="preserve"> </w:t>
      </w:r>
      <w:r w:rsidR="00D334BA">
        <w:t xml:space="preserve">the issue </w:t>
      </w:r>
      <w:r w:rsidR="0029418F">
        <w:t xml:space="preserve">extended to over a century of bloodshed with millions of casualties in the European wars of religion. </w:t>
      </w:r>
      <w:r w:rsidR="009215DD">
        <w:t xml:space="preserve">The </w:t>
      </w:r>
      <w:proofErr w:type="gramStart"/>
      <w:r w:rsidR="009215DD">
        <w:t>particular choice</w:t>
      </w:r>
      <w:proofErr w:type="gramEnd"/>
      <w:r w:rsidR="009215DD">
        <w:t xml:space="preserve"> of rape may be further </w:t>
      </w:r>
      <w:r w:rsidR="007F6F65">
        <w:t xml:space="preserve">clarified with reference to </w:t>
      </w:r>
      <w:r w:rsidR="00E80165">
        <w:t xml:space="preserve">Schweitzer’s investigation of </w:t>
      </w:r>
      <w:r w:rsidR="007F6F65">
        <w:t xml:space="preserve">Puritan subjectivity. </w:t>
      </w:r>
      <w:r w:rsidR="00E80165">
        <w:t>In brief, Schweitzer finds that the Puritan subject (always implicitly masculine) undergoes a feminizing operation in the conversion experience, especially by being cast in a feminine position in relation to the figure</w:t>
      </w:r>
      <w:r w:rsidR="008757BA">
        <w:t xml:space="preserve"> </w:t>
      </w:r>
      <w:r w:rsidR="00E80165">
        <w:t xml:space="preserve">of God. The believer’s soul was commonly envisioned as betrothed in marriage to Christ, and, conversely, marriage was viewed as the closest </w:t>
      </w:r>
      <w:r w:rsidR="00D846C4">
        <w:t>earthly approximation of</w:t>
      </w:r>
      <w:r w:rsidR="00E80165">
        <w:t xml:space="preserve"> the </w:t>
      </w:r>
      <w:r w:rsidR="00D846C4">
        <w:t>soul’s</w:t>
      </w:r>
      <w:r w:rsidR="00E80165">
        <w:t xml:space="preserve"> union with God; the theme was used to explicate detailed matters of individual faith as well as communal relationships (Schweitzer 4).</w:t>
      </w:r>
      <w:r w:rsidR="007F6F65">
        <w:t xml:space="preserve"> </w:t>
      </w:r>
      <w:r w:rsidR="00D846C4">
        <w:t>Since</w:t>
      </w:r>
      <w:r w:rsidR="00E80165">
        <w:t xml:space="preserve"> </w:t>
      </w:r>
      <w:r w:rsidR="00544C25">
        <w:t xml:space="preserve">intense </w:t>
      </w:r>
      <w:r w:rsidR="00E80165">
        <w:t>religious experience</w:t>
      </w:r>
      <w:r w:rsidR="00544C25">
        <w:t>s</w:t>
      </w:r>
      <w:r w:rsidR="00E80165">
        <w:t xml:space="preserve"> </w:t>
      </w:r>
      <w:r w:rsidR="00544C25">
        <w:t>were</w:t>
      </w:r>
      <w:r w:rsidR="00E80165">
        <w:t xml:space="preserve"> conventionally depicted as the soul’s ravishment by Christ, it is likely that the immediate referent of “rape” </w:t>
      </w:r>
      <w:r w:rsidR="008341AB">
        <w:t xml:space="preserve">here was the </w:t>
      </w:r>
      <w:r w:rsidR="00E80165">
        <w:lastRenderedPageBreak/>
        <w:t xml:space="preserve">spiritual metaphor </w:t>
      </w:r>
      <w:r w:rsidR="00AF5991">
        <w:t>more</w:t>
      </w:r>
      <w:r w:rsidR="00E80165">
        <w:t xml:space="preserve"> than the material rape of a woman. </w:t>
      </w:r>
      <w:r w:rsidR="00E80165" w:rsidRPr="00AF5991">
        <w:t>Williams himself articulates a similar connection: “A chaste wife will … abhor … to be constrained to the bed of a stranger. And what is abominable in corporal, is much more loathsome in spiritual whoredom and defilement” (</w:t>
      </w:r>
      <w:proofErr w:type="spellStart"/>
      <w:r w:rsidR="00E80165" w:rsidRPr="00AF5991">
        <w:rPr>
          <w:i/>
        </w:rPr>
        <w:t>Bloudy</w:t>
      </w:r>
      <w:proofErr w:type="spellEnd"/>
      <w:r w:rsidR="00E80165" w:rsidRPr="00AF5991">
        <w:rPr>
          <w:i/>
        </w:rPr>
        <w:t xml:space="preserve"> </w:t>
      </w:r>
      <w:proofErr w:type="spellStart"/>
      <w:r w:rsidR="00E80165" w:rsidRPr="00AF5991">
        <w:rPr>
          <w:i/>
        </w:rPr>
        <w:t>Tenent</w:t>
      </w:r>
      <w:proofErr w:type="spellEnd"/>
      <w:r w:rsidR="00E80165" w:rsidRPr="00AF5991">
        <w:t xml:space="preserve"> 38).</w:t>
      </w:r>
      <w:r w:rsidR="00E80165">
        <w:t xml:space="preserve"> In fact, if a believer’s soul is meant to be married and ravished by God, then in figuring the forcing of conscience as rape, Williams is amplifying his accusation of the authorities according to the understanding of rape as a transgression of </w:t>
      </w:r>
      <w:r w:rsidR="00E80165" w:rsidRPr="00AF5991">
        <w:t>the</w:t>
      </w:r>
      <w:r w:rsidR="00AF5991">
        <w:t xml:space="preserve"> </w:t>
      </w:r>
      <w:r w:rsidR="00E80165" w:rsidRPr="00AF5991">
        <w:t>husband’s</w:t>
      </w:r>
      <w:r w:rsidR="00E80165" w:rsidRPr="001B38E9">
        <w:t xml:space="preserve">—God’s—rights. </w:t>
      </w:r>
    </w:p>
    <w:p w14:paraId="4BA45C5D" w14:textId="3C21852B" w:rsidR="00FF6674" w:rsidRPr="00EE25D1" w:rsidRDefault="008341AB" w:rsidP="00AE7426">
      <w:pPr>
        <w:ind w:firstLine="720"/>
      </w:pPr>
      <w:r w:rsidRPr="00EE25D1">
        <w:t xml:space="preserve">A peculiar slippage seems to </w:t>
      </w:r>
      <w:r w:rsidR="008757BA" w:rsidRPr="00EE25D1">
        <w:t>take place</w:t>
      </w:r>
      <w:r w:rsidRPr="00EE25D1">
        <w:t xml:space="preserve">, however, at the margins of Williams’ rhetoric, </w:t>
      </w:r>
      <w:r w:rsidR="006E44D2">
        <w:t>once</w:t>
      </w:r>
      <w:r w:rsidR="00E157BB" w:rsidRPr="00EE25D1">
        <w:t xml:space="preserve"> he extend</w:t>
      </w:r>
      <w:r w:rsidR="006E44D2">
        <w:t>s</w:t>
      </w:r>
      <w:r w:rsidR="00E157BB" w:rsidRPr="00EE25D1">
        <w:t xml:space="preserve"> the metaphor of rape outside </w:t>
      </w:r>
      <w:r w:rsidR="008757BA" w:rsidRPr="00EE25D1">
        <w:t>this</w:t>
      </w:r>
      <w:r w:rsidR="00E157BB" w:rsidRPr="00EE25D1">
        <w:t xml:space="preserve"> spiritual context. In addition to his printed works, a good amount of his correspondence has been preserved, and one exchange is particularly striking in this regard.</w:t>
      </w:r>
      <w:r w:rsidR="00E157BB" w:rsidRPr="00EE25D1">
        <w:rPr>
          <w:rStyle w:val="FootnoteReference"/>
        </w:rPr>
        <w:footnoteReference w:id="2"/>
      </w:r>
      <w:r w:rsidR="001117B6" w:rsidRPr="00EE25D1">
        <w:t xml:space="preserve"> In a 1669 </w:t>
      </w:r>
      <w:r w:rsidR="008757BA" w:rsidRPr="00EE25D1">
        <w:t>territorial</w:t>
      </w:r>
      <w:r w:rsidR="001117B6" w:rsidRPr="00EE25D1">
        <w:t xml:space="preserve"> dispute, </w:t>
      </w:r>
      <w:r w:rsidR="00E82D70" w:rsidRPr="00EE25D1">
        <w:t xml:space="preserve">Williams responds to </w:t>
      </w:r>
      <w:r w:rsidR="008757BA" w:rsidRPr="00EE25D1">
        <w:t>his interlocutor John Whipple’s</w:t>
      </w:r>
      <w:r w:rsidR="00E82D70" w:rsidRPr="00EE25D1">
        <w:t xml:space="preserve"> accusation </w:t>
      </w:r>
      <w:r w:rsidR="006E44D2">
        <w:t>of</w:t>
      </w:r>
      <w:r w:rsidR="00E82D70" w:rsidRPr="00EE25D1">
        <w:t xml:space="preserve"> a “clamorous tong” by comparing himself to “[a] woman that </w:t>
      </w:r>
      <w:r w:rsidR="006472C9">
        <w:t>…</w:t>
      </w:r>
      <w:r w:rsidR="00E82D70" w:rsidRPr="00EE25D1">
        <w:t xml:space="preserve"> </w:t>
      </w:r>
      <w:proofErr w:type="spellStart"/>
      <w:r w:rsidR="00E82D70" w:rsidRPr="00EE25D1">
        <w:t>can not</w:t>
      </w:r>
      <w:proofErr w:type="spellEnd"/>
      <w:r w:rsidR="00E82D70" w:rsidRPr="00EE25D1">
        <w:t xml:space="preserve"> but cry when she is </w:t>
      </w:r>
      <w:proofErr w:type="spellStart"/>
      <w:r w:rsidR="00E82D70" w:rsidRPr="00EE25D1">
        <w:t>forct</w:t>
      </w:r>
      <w:proofErr w:type="spellEnd"/>
      <w:r w:rsidR="00E82D70" w:rsidRPr="00EE25D1">
        <w:t xml:space="preserve"> and ravished: she that cries not, she is a whore before God and Men</w:t>
      </w:r>
      <w:r w:rsidR="00AE7426" w:rsidRPr="00EE25D1">
        <w:t xml:space="preserve">. And what are those women but Barbarians and Indian Women (ordinarily) when being in Pains and </w:t>
      </w:r>
      <w:proofErr w:type="spellStart"/>
      <w:r w:rsidR="00AE7426" w:rsidRPr="00EE25D1">
        <w:t>Sorrowes</w:t>
      </w:r>
      <w:proofErr w:type="spellEnd"/>
      <w:r w:rsidR="00AE7426" w:rsidRPr="00EE25D1">
        <w:t xml:space="preserve"> they cry not out?</w:t>
      </w:r>
      <w:r w:rsidR="00E82D70" w:rsidRPr="00EE25D1">
        <w:t>” (</w:t>
      </w:r>
      <w:r w:rsidR="00E82D70" w:rsidRPr="00EE25D1">
        <w:rPr>
          <w:i/>
        </w:rPr>
        <w:t>Correspondence</w:t>
      </w:r>
      <w:r w:rsidR="00E82D70" w:rsidRPr="00EE25D1">
        <w:t xml:space="preserve"> 588). </w:t>
      </w:r>
      <w:r w:rsidR="00111FDE" w:rsidRPr="00EE25D1">
        <w:t xml:space="preserve">Later in the conversation, Whipple apparently </w:t>
      </w:r>
      <w:r w:rsidR="00EE25D1">
        <w:t>mimicked</w:t>
      </w:r>
      <w:r w:rsidR="00111FDE" w:rsidRPr="00EE25D1">
        <w:t xml:space="preserve"> Williams’ rhetorical strategy, as </w:t>
      </w:r>
      <w:r w:rsidR="0028382A" w:rsidRPr="00EE25D1">
        <w:t>Williams recapitulates: “You here reply that you were the ravished Woman, for You were in peace etc. but Your Adversaries the Ravishers lay in ambush” (</w:t>
      </w:r>
      <w:r w:rsidR="0028382A" w:rsidRPr="00EE25D1">
        <w:rPr>
          <w:i/>
        </w:rPr>
        <w:t>Correspondence</w:t>
      </w:r>
      <w:r w:rsidR="0028382A" w:rsidRPr="00EE25D1">
        <w:t xml:space="preserve"> 600). </w:t>
      </w:r>
    </w:p>
    <w:p w14:paraId="59FC357E" w14:textId="39EF7E34" w:rsidR="008341AB" w:rsidRDefault="0028382A" w:rsidP="008757BA">
      <w:pPr>
        <w:ind w:firstLine="720"/>
      </w:pPr>
      <w:r w:rsidRPr="00EE25D1">
        <w:t>Given the prevalence of the metaphor of the believer’s soul’s marriage to God, it stands to reason that Williams’ rape imagery</w:t>
      </w:r>
      <w:r w:rsidR="00EE25D1">
        <w:t xml:space="preserve"> in the </w:t>
      </w:r>
      <w:proofErr w:type="spellStart"/>
      <w:r w:rsidR="00EE25D1">
        <w:rPr>
          <w:i/>
          <w:iCs/>
        </w:rPr>
        <w:t>Tenent</w:t>
      </w:r>
      <w:proofErr w:type="spellEnd"/>
      <w:r w:rsidR="00EE25D1">
        <w:t xml:space="preserve"> volumes</w:t>
      </w:r>
      <w:r w:rsidRPr="00EE25D1">
        <w:t xml:space="preserve"> would </w:t>
      </w:r>
      <w:r w:rsidR="00AE7426" w:rsidRPr="00EE25D1">
        <w:t xml:space="preserve">be easily identified with that convention </w:t>
      </w:r>
      <w:proofErr w:type="gramStart"/>
      <w:r w:rsidR="00AE7426" w:rsidRPr="00EE25D1">
        <w:t>so as to</w:t>
      </w:r>
      <w:proofErr w:type="gramEnd"/>
      <w:r w:rsidR="00AE7426" w:rsidRPr="00EE25D1">
        <w:t xml:space="preserve"> operate with minimal sense of disruption of </w:t>
      </w:r>
      <w:r w:rsidR="006E44D2">
        <w:t>normative</w:t>
      </w:r>
      <w:r w:rsidR="00AE7426" w:rsidRPr="00EE25D1">
        <w:t xml:space="preserve"> gender assignments.</w:t>
      </w:r>
      <w:r w:rsidRPr="00EE25D1">
        <w:t xml:space="preserve"> </w:t>
      </w:r>
      <w:r w:rsidRPr="00EE25D1">
        <w:lastRenderedPageBreak/>
        <w:t xml:space="preserve">However, </w:t>
      </w:r>
      <w:r w:rsidR="00AE7426" w:rsidRPr="00EE25D1">
        <w:t xml:space="preserve">once that image is transferred into a </w:t>
      </w:r>
      <w:r w:rsidR="008757BA" w:rsidRPr="00EE25D1">
        <w:t>worldly</w:t>
      </w:r>
      <w:r w:rsidR="00AE7426" w:rsidRPr="00EE25D1">
        <w:t xml:space="preserve"> argument between two men, it becomes </w:t>
      </w:r>
      <w:r w:rsidR="006E44D2">
        <w:t>rather</w:t>
      </w:r>
      <w:r w:rsidR="00AE7426" w:rsidRPr="00EE25D1">
        <w:t xml:space="preserve"> ambivalent as the referents </w:t>
      </w:r>
      <w:r w:rsidR="006E44D2">
        <w:t>are</w:t>
      </w:r>
      <w:r w:rsidR="00AE7426" w:rsidRPr="00EE25D1">
        <w:t xml:space="preserve"> more material than spiritual.</w:t>
      </w:r>
      <w:r w:rsidR="00FF6674" w:rsidRPr="00EE25D1">
        <w:t xml:space="preserve"> T</w:t>
      </w:r>
      <w:r w:rsidR="00CB0DF8" w:rsidRPr="00EE25D1">
        <w:t xml:space="preserve">he attribution of a “clamorous tong” to Williams </w:t>
      </w:r>
      <w:r w:rsidR="008757BA" w:rsidRPr="00EE25D1">
        <w:t>is</w:t>
      </w:r>
      <w:r w:rsidR="00FF6674" w:rsidRPr="00EE25D1">
        <w:t xml:space="preserve"> gendered to begin with</w:t>
      </w:r>
      <w:r w:rsidR="008757BA" w:rsidRPr="00EE25D1">
        <w:t xml:space="preserve"> in the conventional </w:t>
      </w:r>
      <w:r w:rsidR="00CF4EB4">
        <w:t>view</w:t>
      </w:r>
      <w:r w:rsidR="008757BA" w:rsidRPr="00EE25D1">
        <w:t xml:space="preserve"> of quarrel</w:t>
      </w:r>
      <w:r w:rsidR="00EE25D1">
        <w:t>ling</w:t>
      </w:r>
      <w:r w:rsidR="008757BA" w:rsidRPr="00EE25D1">
        <w:t xml:space="preserve"> </w:t>
      </w:r>
      <w:r w:rsidR="00CB0DF8" w:rsidRPr="00EE25D1">
        <w:t>as a feminine failing in contemporary moralizing discourse (Kamensky 19).</w:t>
      </w:r>
      <w:r w:rsidR="00FF6674" w:rsidRPr="00EE25D1">
        <w:t xml:space="preserve"> In </w:t>
      </w:r>
      <w:r w:rsidR="002C5AF7" w:rsidRPr="00EE25D1">
        <w:t xml:space="preserve">defending himself as though a woman crying out against </w:t>
      </w:r>
      <w:r w:rsidR="00EE25D1">
        <w:t>rape</w:t>
      </w:r>
      <w:r w:rsidR="002C5AF7" w:rsidRPr="00EE25D1">
        <w:t xml:space="preserve">, Williams forbears to contest the feminine gendering </w:t>
      </w:r>
      <w:r w:rsidR="008757BA" w:rsidRPr="00EE25D1">
        <w:t>itself</w:t>
      </w:r>
      <w:r w:rsidR="002C5AF7" w:rsidRPr="00EE25D1">
        <w:t xml:space="preserve">, but shifts </w:t>
      </w:r>
      <w:r w:rsidR="00AA205A">
        <w:t>his</w:t>
      </w:r>
      <w:r w:rsidR="002C5AF7" w:rsidRPr="00EE25D1">
        <w:t xml:space="preserve"> </w:t>
      </w:r>
      <w:r w:rsidR="00AA205A">
        <w:t>image</w:t>
      </w:r>
      <w:r w:rsidR="002C5AF7" w:rsidRPr="00EE25D1">
        <w:t xml:space="preserve"> from the despised “scold” to a chaste</w:t>
      </w:r>
      <w:r w:rsidR="00F20437" w:rsidRPr="00EE25D1">
        <w:t xml:space="preserve"> </w:t>
      </w:r>
      <w:r w:rsidR="002C5AF7" w:rsidRPr="00EE25D1">
        <w:t xml:space="preserve">woman, positioning his opponent as the violator. It </w:t>
      </w:r>
      <w:r w:rsidR="00CF4EB4">
        <w:t>is</w:t>
      </w:r>
      <w:r w:rsidR="002C5AF7" w:rsidRPr="00EE25D1">
        <w:t xml:space="preserve"> particularly noteworthy (and demands fuller treatment than I can give here) that at the same time as Williams compromises on </w:t>
      </w:r>
      <w:r w:rsidR="0029552A" w:rsidRPr="00EE25D1">
        <w:t>his rhetorical</w:t>
      </w:r>
      <w:r w:rsidR="002C5AF7" w:rsidRPr="00EE25D1">
        <w:t xml:space="preserve"> gender</w:t>
      </w:r>
      <w:r w:rsidR="004B1D87">
        <w:t>ing</w:t>
      </w:r>
      <w:r w:rsidR="002C5AF7" w:rsidRPr="00EE25D1">
        <w:t xml:space="preserve">, he foregrounds not only the moral propriety of his response but also cements his racial standing as white or European by pointedly invoking a somatic difference from “Barbarians and Indian Women.” </w:t>
      </w:r>
      <w:r w:rsidR="00D57D45" w:rsidRPr="00EE25D1">
        <w:t>In this deployment of femininity as a marker of moral propriety, Williams appears to have won the contest over the terms of the dispute, if not its outcome, as Whipple not only copies Williams’ claim to a violated femininity but also echoes his racial stance in speaking of “Adversaries</w:t>
      </w:r>
      <w:r w:rsidR="00515828">
        <w:t xml:space="preserve">” </w:t>
      </w:r>
      <w:r w:rsidR="00D57D45" w:rsidRPr="00EE25D1">
        <w:t xml:space="preserve">lying </w:t>
      </w:r>
      <w:r w:rsidR="00515828">
        <w:t>“</w:t>
      </w:r>
      <w:r w:rsidR="00D57D45" w:rsidRPr="00EE25D1">
        <w:t xml:space="preserve">in ambush,” </w:t>
      </w:r>
      <w:r w:rsidR="004B1D87">
        <w:t>an image that</w:t>
      </w:r>
      <w:r w:rsidR="00D57D45" w:rsidRPr="00EE25D1">
        <w:t xml:space="preserve"> would have </w:t>
      </w:r>
      <w:r w:rsidR="00AA205A">
        <w:t>e</w:t>
      </w:r>
      <w:r w:rsidR="00D57D45" w:rsidRPr="00EE25D1">
        <w:t>voked Native American anxieties even before Whipple directly identified the contenders for the lands in question as Pawtuxet.</w:t>
      </w:r>
      <w:r w:rsidR="00D57D45">
        <w:t xml:space="preserve"> </w:t>
      </w:r>
    </w:p>
    <w:p w14:paraId="2B018B25" w14:textId="2D0E9FAD" w:rsidR="00E140CE" w:rsidRDefault="00F0241E" w:rsidP="00334C14">
      <w:pPr>
        <w:ind w:firstLine="720"/>
      </w:pPr>
      <w:r>
        <w:t xml:space="preserve">The last strand of feminine voicing to be pursued here </w:t>
      </w:r>
      <w:proofErr w:type="gramStart"/>
      <w:r>
        <w:t>dates back to</w:t>
      </w:r>
      <w:proofErr w:type="gramEnd"/>
      <w:r>
        <w:t xml:space="preserve"> 1644, </w:t>
      </w:r>
      <w:r w:rsidR="002551C8">
        <w:t>whe</w:t>
      </w:r>
      <w:r w:rsidR="00644FD5">
        <w:t xml:space="preserve">n in addition to his </w:t>
      </w:r>
      <w:r w:rsidR="00892BDD">
        <w:t>broad</w:t>
      </w:r>
      <w:r w:rsidR="00644FD5">
        <w:t xml:space="preserve"> defense of the freedom of religious conscience in </w:t>
      </w:r>
      <w:r w:rsidR="00644FD5">
        <w:rPr>
          <w:i/>
          <w:iCs/>
        </w:rPr>
        <w:t xml:space="preserve">The </w:t>
      </w:r>
      <w:proofErr w:type="spellStart"/>
      <w:r w:rsidR="00644FD5">
        <w:rPr>
          <w:i/>
          <w:iCs/>
        </w:rPr>
        <w:t>Bloudy</w:t>
      </w:r>
      <w:proofErr w:type="spellEnd"/>
      <w:r w:rsidR="00644FD5">
        <w:rPr>
          <w:i/>
          <w:iCs/>
        </w:rPr>
        <w:t xml:space="preserve"> </w:t>
      </w:r>
      <w:proofErr w:type="spellStart"/>
      <w:r w:rsidR="00644FD5">
        <w:rPr>
          <w:i/>
          <w:iCs/>
        </w:rPr>
        <w:t>Tenent</w:t>
      </w:r>
      <w:proofErr w:type="spellEnd"/>
      <w:r w:rsidR="00644FD5">
        <w:t xml:space="preserve">, </w:t>
      </w:r>
      <w:r w:rsidR="0029552A">
        <w:t>Williams</w:t>
      </w:r>
      <w:r w:rsidR="00644FD5">
        <w:t xml:space="preserve"> also published a pamphlet weighing in on </w:t>
      </w:r>
      <w:r w:rsidR="0029552A">
        <w:t>current</w:t>
      </w:r>
      <w:r w:rsidR="00F90F6A">
        <w:t xml:space="preserve"> tensions between Presbyterians and Independents in Parliamentary ranks</w:t>
      </w:r>
      <w:r w:rsidR="00644FD5">
        <w:t>,</w:t>
      </w:r>
      <w:r w:rsidR="00F90F6A">
        <w:t xml:space="preserve"> essentially breaking with both sides in arguing against State enforcement of either model of Church polity. </w:t>
      </w:r>
      <w:r w:rsidR="009905D2">
        <w:t>Rather than presenting his argument though allegorical figures, Williams speaks in his own voice in this text, though anonymously.</w:t>
      </w:r>
      <w:r w:rsidR="009905D2">
        <w:rPr>
          <w:rStyle w:val="FootnoteReference"/>
        </w:rPr>
        <w:footnoteReference w:id="3"/>
      </w:r>
      <w:r w:rsidR="00644FD5">
        <w:t xml:space="preserve"> </w:t>
      </w:r>
      <w:r w:rsidR="00F559C0">
        <w:t xml:space="preserve">The </w:t>
      </w:r>
      <w:r w:rsidR="00F559C0">
        <w:lastRenderedPageBreak/>
        <w:t xml:space="preserve">opening of the text, however, feminizes him in a different manner, as in </w:t>
      </w:r>
      <w:r w:rsidR="00630A72">
        <w:t xml:space="preserve">an elaborate rhetorical apology he casts his public </w:t>
      </w:r>
      <w:r w:rsidR="0029552A">
        <w:t xml:space="preserve">challenge </w:t>
      </w:r>
      <w:r w:rsidR="00630A72">
        <w:t xml:space="preserve">as </w:t>
      </w:r>
      <w:r w:rsidR="00A07E16">
        <w:t>“</w:t>
      </w:r>
      <w:proofErr w:type="spellStart"/>
      <w:r w:rsidR="00630A72">
        <w:rPr>
          <w:i/>
          <w:iCs/>
        </w:rPr>
        <w:t>h</w:t>
      </w:r>
      <w:r w:rsidR="00A07E16">
        <w:rPr>
          <w:i/>
          <w:iCs/>
        </w:rPr>
        <w:t>av</w:t>
      </w:r>
      <w:proofErr w:type="spellEnd"/>
      <w:r w:rsidR="00A07E16">
        <w:rPr>
          <w:i/>
          <w:iCs/>
        </w:rPr>
        <w:t>[</w:t>
      </w:r>
      <w:proofErr w:type="spellStart"/>
      <w:r w:rsidR="00A07E16">
        <w:rPr>
          <w:i/>
          <w:iCs/>
        </w:rPr>
        <w:t>ing</w:t>
      </w:r>
      <w:proofErr w:type="spellEnd"/>
      <w:r w:rsidR="00A07E16">
        <w:rPr>
          <w:i/>
          <w:iCs/>
        </w:rPr>
        <w:t>] been h</w:t>
      </w:r>
      <w:r w:rsidR="00630A72">
        <w:rPr>
          <w:i/>
          <w:iCs/>
        </w:rPr>
        <w:t xml:space="preserve">umbly bold to presume as </w:t>
      </w:r>
      <w:r w:rsidR="00630A72">
        <w:t>Ester</w:t>
      </w:r>
      <w:r w:rsidR="00630A72">
        <w:rPr>
          <w:i/>
          <w:iCs/>
        </w:rPr>
        <w:t xml:space="preserve"> into </w:t>
      </w:r>
      <w:r w:rsidR="00630A72">
        <w:t>Ahasuerus</w:t>
      </w:r>
      <w:r w:rsidR="00630A72">
        <w:rPr>
          <w:i/>
          <w:iCs/>
        </w:rPr>
        <w:t xml:space="preserve"> his presence, against your Order</w:t>
      </w:r>
      <w:r w:rsidR="00630A72">
        <w:t>”</w:t>
      </w:r>
      <w:r w:rsidR="00E157BB">
        <w:t xml:space="preserve"> (“Queries” 253). Though relatively minor, this </w:t>
      </w:r>
      <w:r w:rsidR="00AA205A">
        <w:t>allusion</w:t>
      </w:r>
      <w:r w:rsidR="00E157BB">
        <w:t xml:space="preserve"> is striking in its rhetorical effect. The topos of feminine modesty is evident first as Williams positions himself as a woman deferring to superior authority. The unfolding of the biblical allusion, however, adds on a militant layer</w:t>
      </w:r>
      <w:r w:rsidR="00BE2833">
        <w:t>. T</w:t>
      </w:r>
      <w:r w:rsidR="004D7811">
        <w:t xml:space="preserve">he Book of Esther </w:t>
      </w:r>
      <w:r w:rsidR="0029552A">
        <w:t>depicts</w:t>
      </w:r>
      <w:r w:rsidR="00BE2833">
        <w:t xml:space="preserve"> the title character</w:t>
      </w:r>
      <w:r w:rsidR="0029552A">
        <w:t>’s</w:t>
      </w:r>
      <w:r w:rsidR="00BE2833">
        <w:t xml:space="preserve"> deliver</w:t>
      </w:r>
      <w:r w:rsidR="0029552A">
        <w:t>ance of</w:t>
      </w:r>
      <w:r w:rsidR="00BE2833">
        <w:t xml:space="preserve"> the Jewish </w:t>
      </w:r>
      <w:r w:rsidR="0029552A">
        <w:t>people</w:t>
      </w:r>
      <w:r w:rsidR="00BE2833">
        <w:t>—matched with the true Christians in standard typological reading—from an evil councilor’s plot</w:t>
      </w:r>
      <w:r w:rsidR="0087437D">
        <w:t>. Given the dynamics of religious persecution in that text</w:t>
      </w:r>
      <w:r w:rsidR="00580137">
        <w:t xml:space="preserve">, it is easy to see that the factions Williams was addressing would be far more appropriately matched with the councilor, Haman, executed at the end of the story, rather than </w:t>
      </w:r>
      <w:r w:rsidR="00C13231">
        <w:t xml:space="preserve">with King Ahasuerus as per Williams’ direct identification in the opening. </w:t>
      </w:r>
    </w:p>
    <w:p w14:paraId="7FDAC250" w14:textId="5827E22B" w:rsidR="00334C14" w:rsidRDefault="00C13231" w:rsidP="006773F5">
      <w:pPr>
        <w:ind w:firstLine="720"/>
        <w:rPr>
          <w:noProof/>
        </w:rPr>
      </w:pPr>
      <w:r>
        <w:t xml:space="preserve">Notably, Williams’ self-presentation as the biblical queen Esther comes in the context of recent English queens who had left a deep mark on the public imagination, including </w:t>
      </w:r>
      <w:proofErr w:type="gramStart"/>
      <w:r w:rsidR="0029552A">
        <w:t>with regard to</w:t>
      </w:r>
      <w:proofErr w:type="gramEnd"/>
      <w:r w:rsidR="0029552A">
        <w:t xml:space="preserve"> religious poli</w:t>
      </w:r>
      <w:r w:rsidR="009917A6">
        <w:t>c</w:t>
      </w:r>
      <w:r w:rsidR="0029552A">
        <w:t>y</w:t>
      </w:r>
      <w:r>
        <w:t xml:space="preserve">. Invoking the changeability of </w:t>
      </w:r>
      <w:r w:rsidR="0029552A">
        <w:t>s</w:t>
      </w:r>
      <w:r>
        <w:t xml:space="preserve">tate regulations (at odds with the eternal verities of faith), Williams tracks shifts between Protestant and Catholic leanings </w:t>
      </w:r>
      <w:r w:rsidR="00334C14">
        <w:t xml:space="preserve">of English rulers starting with Henry VIII. The list ends with Elizabeth </w:t>
      </w:r>
      <w:r w:rsidR="001B3FFF">
        <w:t>at</w:t>
      </w:r>
      <w:r w:rsidR="00334C14">
        <w:t xml:space="preserve"> an ominous note that spells out the veiled threat of the Esther analogy: “</w:t>
      </w:r>
      <w:proofErr w:type="spellStart"/>
      <w:r w:rsidR="00334C14">
        <w:t>‘Tis</w:t>
      </w:r>
      <w:proofErr w:type="spellEnd"/>
      <w:r w:rsidR="00334C14">
        <w:t xml:space="preserve"> true, Queen </w:t>
      </w:r>
      <w:r w:rsidR="00334C14">
        <w:rPr>
          <w:i/>
          <w:iCs/>
        </w:rPr>
        <w:t>Elizabeth</w:t>
      </w:r>
      <w:r w:rsidR="00334C14">
        <w:t xml:space="preserve"> made Lawes against Popery and Papists but the Government of Bishops, the Common Prayer, the Ceremonies were then so high in that Queen and </w:t>
      </w:r>
      <w:proofErr w:type="spellStart"/>
      <w:r w:rsidR="00334C14">
        <w:t>Parlaments</w:t>
      </w:r>
      <w:proofErr w:type="spellEnd"/>
      <w:r w:rsidR="00334C14">
        <w:t xml:space="preserve"> eye, that the Members of this present and ever renowned </w:t>
      </w:r>
      <w:proofErr w:type="spellStart"/>
      <w:r w:rsidR="00334C14">
        <w:t>Parlament</w:t>
      </w:r>
      <w:proofErr w:type="spellEnd"/>
      <w:r w:rsidR="00334C14">
        <w:t xml:space="preserve">, would have then been counted little </w:t>
      </w:r>
      <w:proofErr w:type="spellStart"/>
      <w:r w:rsidR="00334C14">
        <w:t>lesse</w:t>
      </w:r>
      <w:proofErr w:type="spellEnd"/>
      <w:r w:rsidR="00334C14">
        <w:t xml:space="preserve"> than </w:t>
      </w:r>
      <w:proofErr w:type="spellStart"/>
      <w:r w:rsidR="00334C14">
        <w:t>Hereticks</w:t>
      </w:r>
      <w:proofErr w:type="spellEnd"/>
      <w:r w:rsidR="00334C14">
        <w:t>”</w:t>
      </w:r>
      <w:r w:rsidR="00334C14" w:rsidRPr="00334C14">
        <w:t xml:space="preserve"> </w:t>
      </w:r>
      <w:r w:rsidR="00334C14">
        <w:t>(“Queries” 260). A concluding reminder that “</w:t>
      </w:r>
      <w:r w:rsidR="00334C14">
        <w:rPr>
          <w:noProof/>
        </w:rPr>
        <w:t>the Common-weale cannot without a spirituall rape force the consciences of all to one Worship” ties together the different strands of Williams’ figurations</w:t>
      </w:r>
      <w:r w:rsidR="00272991">
        <w:t xml:space="preserve"> (“Queries” 260). </w:t>
      </w:r>
      <w:r w:rsidR="00334C14">
        <w:rPr>
          <w:noProof/>
        </w:rPr>
        <w:t xml:space="preserve">Haman’s execution, </w:t>
      </w:r>
      <w:r w:rsidR="00272991">
        <w:rPr>
          <w:noProof/>
        </w:rPr>
        <w:t xml:space="preserve">sealed in the wake of a suspicion of sexual assault on </w:t>
      </w:r>
      <w:r w:rsidR="00272991">
        <w:rPr>
          <w:noProof/>
        </w:rPr>
        <w:lastRenderedPageBreak/>
        <w:t xml:space="preserve">Esther, is </w:t>
      </w:r>
      <w:r w:rsidR="00C56B37">
        <w:rPr>
          <w:noProof/>
        </w:rPr>
        <w:t>mapped onto</w:t>
      </w:r>
      <w:r w:rsidR="00272991">
        <w:rPr>
          <w:noProof/>
        </w:rPr>
        <w:t xml:space="preserve"> the issue of religious persecution through the image of spiritual rape</w:t>
      </w:r>
      <w:r w:rsidR="006773F5">
        <w:rPr>
          <w:noProof/>
        </w:rPr>
        <w:t>. T</w:t>
      </w:r>
      <w:r w:rsidR="00272991">
        <w:rPr>
          <w:noProof/>
        </w:rPr>
        <w:t>he appearance of The Virgin Queen Elizabeth reinforces the Parliamentarians’ culpability</w:t>
      </w:r>
      <w:r w:rsidR="006773F5">
        <w:rPr>
          <w:noProof/>
        </w:rPr>
        <w:t xml:space="preserve"> as with Elizabeth mirroring Esther, English divines become the assaulting Haman; moreover, her political legacy</w:t>
      </w:r>
      <w:r w:rsidR="00272991">
        <w:rPr>
          <w:noProof/>
        </w:rPr>
        <w:t xml:space="preserve"> brings Williams’ threat closer to home, though still of course confined to the rhetorical level.</w:t>
      </w:r>
    </w:p>
    <w:p w14:paraId="58DDA512" w14:textId="1D8E467A" w:rsidR="00996354" w:rsidRDefault="0032239F" w:rsidP="00FF7C1F">
      <w:pPr>
        <w:ind w:firstLine="720"/>
        <w:rPr>
          <w:noProof/>
        </w:rPr>
      </w:pPr>
      <w:r>
        <w:rPr>
          <w:noProof/>
        </w:rPr>
        <w:t>Throughout this survey, feminine representations appear highly ambivalent in themselves, and further complicated as they are formulated by a man for concer</w:t>
      </w:r>
      <w:r w:rsidR="00FE31D2">
        <w:rPr>
          <w:noProof/>
        </w:rPr>
        <w:t>n</w:t>
      </w:r>
      <w:r>
        <w:rPr>
          <w:noProof/>
        </w:rPr>
        <w:t xml:space="preserve">s that have little to do with actual women. </w:t>
      </w:r>
      <w:r w:rsidR="00827588">
        <w:rPr>
          <w:noProof/>
        </w:rPr>
        <w:t xml:space="preserve">In chanelling the arguments of the </w:t>
      </w:r>
      <w:r w:rsidR="00827588">
        <w:rPr>
          <w:i/>
          <w:iCs/>
          <w:noProof/>
        </w:rPr>
        <w:t>Tenent</w:t>
      </w:r>
      <w:r w:rsidR="00827588">
        <w:rPr>
          <w:noProof/>
        </w:rPr>
        <w:t xml:space="preserve"> volumes through allegorical female speakers, Williams joins in a long tradition of idealized representations of women, from poets’ muses to Catholic Saints. </w:t>
      </w:r>
      <w:r w:rsidR="00FF7C1F">
        <w:rPr>
          <w:noProof/>
        </w:rPr>
        <w:t>His</w:t>
      </w:r>
      <w:r w:rsidR="00E945CA">
        <w:rPr>
          <w:noProof/>
        </w:rPr>
        <w:t xml:space="preserve"> concurrent tendency to </w:t>
      </w:r>
      <w:r w:rsidR="006773F5">
        <w:rPr>
          <w:noProof/>
        </w:rPr>
        <w:t>compare</w:t>
      </w:r>
      <w:r w:rsidR="00E945CA">
        <w:rPr>
          <w:noProof/>
        </w:rPr>
        <w:t xml:space="preserve"> the forcing of religious conscience </w:t>
      </w:r>
      <w:r w:rsidR="006773F5">
        <w:rPr>
          <w:noProof/>
        </w:rPr>
        <w:t>to</w:t>
      </w:r>
      <w:r w:rsidR="00E945CA">
        <w:rPr>
          <w:noProof/>
        </w:rPr>
        <w:t xml:space="preserve"> women’s rape </w:t>
      </w:r>
      <w:r w:rsidR="008C73DE">
        <w:rPr>
          <w:noProof/>
        </w:rPr>
        <w:t>has likely stemmed from a particular Puritan stress on another idealized feminine figure—that of the soul of a believer of any gender as the bride in their relationship to God as the spiritual husband</w:t>
      </w:r>
      <w:r w:rsidR="008C73DE" w:rsidRPr="00FF7C1F">
        <w:rPr>
          <w:noProof/>
        </w:rPr>
        <w:t xml:space="preserve">. The inherent gender instability of that image is curiously compounded as Williams adopts the rhetorical </w:t>
      </w:r>
      <w:r w:rsidR="00D32FAF">
        <w:rPr>
          <w:noProof/>
        </w:rPr>
        <w:t>stance</w:t>
      </w:r>
      <w:r w:rsidR="008C73DE" w:rsidRPr="00FF7C1F">
        <w:rPr>
          <w:noProof/>
        </w:rPr>
        <w:t xml:space="preserve"> of a raped woman outside </w:t>
      </w:r>
      <w:r w:rsidR="006773F5" w:rsidRPr="00FF7C1F">
        <w:rPr>
          <w:noProof/>
        </w:rPr>
        <w:t xml:space="preserve">of </w:t>
      </w:r>
      <w:r w:rsidR="004B1D87">
        <w:rPr>
          <w:noProof/>
        </w:rPr>
        <w:t xml:space="preserve">the </w:t>
      </w:r>
      <w:r w:rsidR="008C73DE" w:rsidRPr="00FF7C1F">
        <w:rPr>
          <w:noProof/>
        </w:rPr>
        <w:t xml:space="preserve">religious context, </w:t>
      </w:r>
      <w:r w:rsidR="009D1AF6" w:rsidRPr="00FF7C1F">
        <w:rPr>
          <w:noProof/>
        </w:rPr>
        <w:t xml:space="preserve">capitalizing </w:t>
      </w:r>
      <w:r w:rsidR="00551528" w:rsidRPr="00FF7C1F">
        <w:rPr>
          <w:noProof/>
        </w:rPr>
        <w:t>on the position of the unjustly wronged</w:t>
      </w:r>
      <w:r w:rsidR="006773F5" w:rsidRPr="00FF7C1F">
        <w:rPr>
          <w:noProof/>
        </w:rPr>
        <w:t xml:space="preserve"> </w:t>
      </w:r>
      <w:r w:rsidR="00551528" w:rsidRPr="00FF7C1F">
        <w:rPr>
          <w:noProof/>
        </w:rPr>
        <w:t>and framing his opponent as the figurative rapist. Williams’ move to shore up his racial position at the same time as he strategically compromises on his gender</w:t>
      </w:r>
      <w:r w:rsidR="00520A4A">
        <w:rPr>
          <w:noProof/>
        </w:rPr>
        <w:t xml:space="preserve"> </w:t>
      </w:r>
      <w:r w:rsidR="00551528" w:rsidRPr="00FF7C1F">
        <w:rPr>
          <w:noProof/>
        </w:rPr>
        <w:t>is particularly intriguing given his extensive engagement with Native Americans in both actual life and printed legacy.</w:t>
      </w:r>
      <w:r w:rsidR="00FF7C1F">
        <w:rPr>
          <w:noProof/>
        </w:rPr>
        <w:t xml:space="preserve"> </w:t>
      </w:r>
      <w:r w:rsidR="00996354">
        <w:rPr>
          <w:noProof/>
        </w:rPr>
        <w:t xml:space="preserve">Finally, an invocation of the modesty topos through self-presentation as a biblical female figure curiously unfolds into a surprisingly combative position </w:t>
      </w:r>
      <w:r w:rsidR="006773F5">
        <w:rPr>
          <w:noProof/>
        </w:rPr>
        <w:t>intensified</w:t>
      </w:r>
      <w:r w:rsidR="00996354">
        <w:rPr>
          <w:noProof/>
        </w:rPr>
        <w:t xml:space="preserve"> through reference to Queen Elizabeth, whose idealized femininity has not precluded at times a violent exercise of political power. </w:t>
      </w:r>
    </w:p>
    <w:p w14:paraId="6FD13ACC" w14:textId="28A3B3E1" w:rsidR="00892728" w:rsidRDefault="00FE31D2" w:rsidP="009F088A">
      <w:pPr>
        <w:ind w:firstLine="720"/>
        <w:rPr>
          <w:noProof/>
        </w:rPr>
      </w:pPr>
      <w:r>
        <w:rPr>
          <w:noProof/>
        </w:rPr>
        <w:t>Clearly enough, these rather divergent examples of gendered rhetoric do not come to a neat concluding line.</w:t>
      </w:r>
      <w:r w:rsidR="004D65CE">
        <w:rPr>
          <w:noProof/>
        </w:rPr>
        <w:t xml:space="preserve"> Particularly, they do not come to an essential notion of gender with a </w:t>
      </w:r>
      <w:r w:rsidR="009F088A">
        <w:rPr>
          <w:noProof/>
        </w:rPr>
        <w:t>stable</w:t>
      </w:r>
      <w:r w:rsidR="004D65CE">
        <w:rPr>
          <w:noProof/>
        </w:rPr>
        <w:t xml:space="preserve"> </w:t>
      </w:r>
      <w:r w:rsidR="004D65CE">
        <w:rPr>
          <w:noProof/>
        </w:rPr>
        <w:lastRenderedPageBreak/>
        <w:t xml:space="preserve">assigned meaning. In fact, in a short book of spiritual exercise originally written for </w:t>
      </w:r>
      <w:r w:rsidR="009F088A">
        <w:rPr>
          <w:noProof/>
        </w:rPr>
        <w:t>Williams’</w:t>
      </w:r>
      <w:r w:rsidR="004D65CE">
        <w:rPr>
          <w:noProof/>
        </w:rPr>
        <w:t xml:space="preserve"> wife, and dedicated to Lady Vane</w:t>
      </w:r>
      <w:r w:rsidR="00EC4315">
        <w:rPr>
          <w:noProof/>
        </w:rPr>
        <w:t xml:space="preserve"> the Younger</w:t>
      </w:r>
      <w:r w:rsidR="004D65CE">
        <w:rPr>
          <w:noProof/>
        </w:rPr>
        <w:t xml:space="preserve">, Williams omits the </w:t>
      </w:r>
      <w:r w:rsidR="009F088A">
        <w:rPr>
          <w:noProof/>
        </w:rPr>
        <w:t>expected</w:t>
      </w:r>
      <w:r w:rsidR="004D65CE">
        <w:rPr>
          <w:noProof/>
        </w:rPr>
        <w:t xml:space="preserve"> feminine soul in favor of consistently talking about their “inner man.” Gender thus becomes</w:t>
      </w:r>
      <w:r w:rsidR="009F088A">
        <w:rPr>
          <w:noProof/>
        </w:rPr>
        <w:t xml:space="preserve"> </w:t>
      </w:r>
      <w:r w:rsidR="004D65CE">
        <w:rPr>
          <w:noProof/>
        </w:rPr>
        <w:t xml:space="preserve">strikingly and almost consciously </w:t>
      </w:r>
      <w:r w:rsidR="009F088A">
        <w:rPr>
          <w:noProof/>
        </w:rPr>
        <w:t xml:space="preserve">a </w:t>
      </w:r>
      <w:r w:rsidR="004D65CE">
        <w:rPr>
          <w:noProof/>
        </w:rPr>
        <w:t>rhetorical construct</w:t>
      </w:r>
      <w:r w:rsidR="009F088A">
        <w:rPr>
          <w:noProof/>
        </w:rPr>
        <w:t xml:space="preserve"> imbued with different meanings depending on the situation—even if that is of course only true within a very circumscribed scope that </w:t>
      </w:r>
      <w:r w:rsidR="009D11D6">
        <w:rPr>
          <w:noProof/>
        </w:rPr>
        <w:t>functions against a background of a strictly gendered society and culture.</w:t>
      </w:r>
    </w:p>
    <w:p w14:paraId="7390F944" w14:textId="77777777" w:rsidR="00FF7C1F" w:rsidRDefault="00FF7C1F">
      <w:r>
        <w:br w:type="page"/>
      </w:r>
    </w:p>
    <w:p w14:paraId="48C9A98E" w14:textId="7BBBED71" w:rsidR="00892728" w:rsidRDefault="00E157BB">
      <w:r>
        <w:lastRenderedPageBreak/>
        <w:t>Works Cited</w:t>
      </w:r>
    </w:p>
    <w:p w14:paraId="7B7A99C1" w14:textId="77777777" w:rsidR="00892728" w:rsidRDefault="00E157BB">
      <w:pPr>
        <w:spacing w:after="0"/>
        <w:ind w:left="720" w:hanging="720"/>
      </w:pPr>
      <w:r>
        <w:t xml:space="preserve">Goodman, Nan. </w:t>
      </w:r>
      <w:r>
        <w:rPr>
          <w:i/>
        </w:rPr>
        <w:t>Banished: Common Law and the Rhetoric of Social Exclusion in Early New England</w:t>
      </w:r>
      <w:r>
        <w:t>. Philadelphia: University of Pennsylvania Press, 2012.</w:t>
      </w:r>
    </w:p>
    <w:p w14:paraId="296973E8" w14:textId="77777777" w:rsidR="00892728" w:rsidRDefault="00E157BB">
      <w:pPr>
        <w:spacing w:after="0"/>
        <w:ind w:left="720" w:hanging="720"/>
      </w:pPr>
      <w:r>
        <w:t xml:space="preserve">Hall, David D., ed. </w:t>
      </w:r>
      <w:r>
        <w:rPr>
          <w:i/>
        </w:rPr>
        <w:t>The Antinomian Controversy, 1636-1638: A Documentary History</w:t>
      </w:r>
      <w:r>
        <w:t>. 2nd ed. Durham: Duke University Press, 1990.</w:t>
      </w:r>
    </w:p>
    <w:p w14:paraId="4D90493F" w14:textId="77777777" w:rsidR="00892728" w:rsidRDefault="00E157BB">
      <w:pPr>
        <w:spacing w:after="0"/>
        <w:ind w:left="720" w:hanging="720"/>
      </w:pPr>
      <w:r>
        <w:t xml:space="preserve">Kamensky, Jane. </w:t>
      </w:r>
      <w:r>
        <w:rPr>
          <w:i/>
        </w:rPr>
        <w:t>Governing the Tongue: The Politics of Speech in Early New England.</w:t>
      </w:r>
      <w:r>
        <w:t xml:space="preserve"> New York: Oxford University Press, 1999.</w:t>
      </w:r>
    </w:p>
    <w:p w14:paraId="25AAF5E4" w14:textId="77777777" w:rsidR="00892728" w:rsidRDefault="00E157BB">
      <w:pPr>
        <w:spacing w:after="0"/>
        <w:ind w:left="720" w:hanging="720"/>
      </w:pPr>
      <w:r>
        <w:t xml:space="preserve">Schweitzer, Ivy. </w:t>
      </w:r>
      <w:r>
        <w:rPr>
          <w:i/>
        </w:rPr>
        <w:t>The Work of Self-Representation: Lyric Poetry in Colonial New England</w:t>
      </w:r>
      <w:r>
        <w:t>. Chapel Hill: University of North Carolina Press, 1991.</w:t>
      </w:r>
    </w:p>
    <w:p w14:paraId="5A51B03E" w14:textId="77777777" w:rsidR="004D65CE" w:rsidRDefault="004D65CE">
      <w:pPr>
        <w:spacing w:after="0"/>
        <w:ind w:left="720" w:hanging="720"/>
      </w:pPr>
      <w:r w:rsidRPr="004D65CE">
        <w:t xml:space="preserve">Williams, Roger. </w:t>
      </w:r>
      <w:r w:rsidRPr="004D65CE">
        <w:rPr>
          <w:i/>
          <w:iCs/>
        </w:rPr>
        <w:t>Experiments of Spiritual Life &amp; Health</w:t>
      </w:r>
      <w:r w:rsidRPr="004D65CE">
        <w:t>. 1652. Sidney S. Rider, 1863</w:t>
      </w:r>
    </w:p>
    <w:p w14:paraId="2AA7E1C7" w14:textId="4DF565DD" w:rsidR="00892728" w:rsidRDefault="004D65CE">
      <w:pPr>
        <w:spacing w:after="0"/>
        <w:ind w:left="720" w:hanging="720"/>
      </w:pPr>
      <w:r>
        <w:t xml:space="preserve">---. </w:t>
      </w:r>
      <w:r w:rsidR="00E157BB">
        <w:t xml:space="preserve">“Queries of Highest Consideration.” 1644. </w:t>
      </w:r>
      <w:r w:rsidR="00E157BB">
        <w:rPr>
          <w:i/>
        </w:rPr>
        <w:t>Complete Writings of Roger Williams</w:t>
      </w:r>
      <w:r w:rsidR="00E157BB">
        <w:t>. Vol. 2. Russell &amp; Russell, 1963. 241–275.</w:t>
      </w:r>
    </w:p>
    <w:p w14:paraId="1BC51D83" w14:textId="77777777" w:rsidR="00892728" w:rsidRDefault="00E157BB">
      <w:pPr>
        <w:spacing w:after="0"/>
        <w:ind w:left="720" w:hanging="720"/>
      </w:pPr>
      <w:r>
        <w:t xml:space="preserve">---. “The </w:t>
      </w:r>
      <w:proofErr w:type="spellStart"/>
      <w:r>
        <w:t>Bloudy</w:t>
      </w:r>
      <w:proofErr w:type="spellEnd"/>
      <w:r>
        <w:t xml:space="preserve"> </w:t>
      </w:r>
      <w:proofErr w:type="spellStart"/>
      <w:r>
        <w:t>Tenent</w:t>
      </w:r>
      <w:proofErr w:type="spellEnd"/>
      <w:r>
        <w:t xml:space="preserve"> of Persecution for Cause of Conscience Discussed in a Conference </w:t>
      </w:r>
      <w:proofErr w:type="spellStart"/>
      <w:r>
        <w:t>betweene</w:t>
      </w:r>
      <w:proofErr w:type="spellEnd"/>
      <w:r>
        <w:t xml:space="preserve"> Truth and Peace.” 1644. </w:t>
      </w:r>
      <w:r>
        <w:rPr>
          <w:i/>
        </w:rPr>
        <w:t>Complete Writings of Roger Williams</w:t>
      </w:r>
      <w:r>
        <w:t xml:space="preserve">. Vol. 3. Russell &amp; Russell, 1963. 1–425. </w:t>
      </w:r>
    </w:p>
    <w:p w14:paraId="39B5C28E" w14:textId="10DC287A" w:rsidR="00892728" w:rsidRDefault="00E157BB" w:rsidP="00F20437">
      <w:pPr>
        <w:spacing w:after="0"/>
        <w:ind w:left="720" w:hanging="720"/>
      </w:pPr>
      <w:r>
        <w:t xml:space="preserve">---. </w:t>
      </w:r>
      <w:r>
        <w:rPr>
          <w:i/>
        </w:rPr>
        <w:t>The Correspondence of Roger Williams in Two Volumes</w:t>
      </w:r>
      <w:r>
        <w:t xml:space="preserve">. Ed. Glenn W. </w:t>
      </w:r>
      <w:proofErr w:type="spellStart"/>
      <w:r>
        <w:t>LaFantasie</w:t>
      </w:r>
      <w:proofErr w:type="spellEnd"/>
      <w:r>
        <w:t>. Vol. 2. Providence, Rhode Island: Brown University Press, 1988.</w:t>
      </w:r>
    </w:p>
    <w:sectPr w:rsidR="00892728">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0C3CC" w14:textId="77777777" w:rsidR="002440FE" w:rsidRDefault="002440FE">
      <w:pPr>
        <w:spacing w:after="0" w:line="240" w:lineRule="auto"/>
      </w:pPr>
      <w:r>
        <w:separator/>
      </w:r>
    </w:p>
  </w:endnote>
  <w:endnote w:type="continuationSeparator" w:id="0">
    <w:p w14:paraId="700C6089" w14:textId="77777777" w:rsidR="002440FE" w:rsidRDefault="0024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9329E" w14:textId="77777777" w:rsidR="002440FE" w:rsidRDefault="002440FE">
      <w:pPr>
        <w:spacing w:after="0" w:line="240" w:lineRule="auto"/>
      </w:pPr>
      <w:r>
        <w:separator/>
      </w:r>
    </w:p>
  </w:footnote>
  <w:footnote w:type="continuationSeparator" w:id="0">
    <w:p w14:paraId="286163E2" w14:textId="77777777" w:rsidR="002440FE" w:rsidRDefault="002440FE">
      <w:pPr>
        <w:spacing w:after="0" w:line="240" w:lineRule="auto"/>
      </w:pPr>
      <w:r>
        <w:continuationSeparator/>
      </w:r>
    </w:p>
  </w:footnote>
  <w:footnote w:id="1">
    <w:p w14:paraId="30356E74" w14:textId="77777777" w:rsidR="00630A72" w:rsidRDefault="00630A72" w:rsidP="00CC60E1">
      <w:pPr>
        <w:spacing w:after="0" w:line="240" w:lineRule="auto"/>
        <w:rPr>
          <w:sz w:val="20"/>
          <w:szCs w:val="20"/>
        </w:rPr>
      </w:pPr>
      <w:r>
        <w:rPr>
          <w:vertAlign w:val="superscript"/>
        </w:rPr>
        <w:footnoteRef/>
      </w:r>
      <w:r>
        <w:rPr>
          <w:sz w:val="20"/>
          <w:szCs w:val="20"/>
        </w:rPr>
        <w:t xml:space="preserve"> The characters are not directly identified as sisters, but that is easily inferred from the general tone of the text, supported by concrete indications such as the feminine pronoun attached to Peace early in the text and a later reference to “Our Sister </w:t>
      </w:r>
      <w:r>
        <w:rPr>
          <w:i/>
          <w:sz w:val="20"/>
          <w:szCs w:val="20"/>
        </w:rPr>
        <w:t>Patience</w:t>
      </w:r>
      <w:r>
        <w:rPr>
          <w:sz w:val="20"/>
          <w:szCs w:val="20"/>
        </w:rPr>
        <w:t>” (</w:t>
      </w:r>
      <w:proofErr w:type="spellStart"/>
      <w:r>
        <w:rPr>
          <w:i/>
          <w:sz w:val="20"/>
          <w:szCs w:val="20"/>
        </w:rPr>
        <w:t>Bloudy</w:t>
      </w:r>
      <w:proofErr w:type="spellEnd"/>
      <w:r>
        <w:rPr>
          <w:i/>
          <w:sz w:val="20"/>
          <w:szCs w:val="20"/>
        </w:rPr>
        <w:t xml:space="preserve"> </w:t>
      </w:r>
      <w:proofErr w:type="spellStart"/>
      <w:r>
        <w:rPr>
          <w:i/>
          <w:sz w:val="20"/>
          <w:szCs w:val="20"/>
        </w:rPr>
        <w:t>Tenent</w:t>
      </w:r>
      <w:proofErr w:type="spellEnd"/>
      <w:r>
        <w:rPr>
          <w:sz w:val="20"/>
          <w:szCs w:val="20"/>
        </w:rPr>
        <w:t xml:space="preserve"> 55,424).</w:t>
      </w:r>
    </w:p>
  </w:footnote>
  <w:footnote w:id="2">
    <w:p w14:paraId="4BB7E32F" w14:textId="11D8CCEF" w:rsidR="00630A72" w:rsidRDefault="00630A72">
      <w:pPr>
        <w:pStyle w:val="FootnoteText"/>
      </w:pPr>
      <w:r>
        <w:rPr>
          <w:rStyle w:val="FootnoteReference"/>
        </w:rPr>
        <w:footnoteRef/>
      </w:r>
      <w:r>
        <w:t xml:space="preserve"> Technically only Williams’ side of the correspondence is available; however, Williams is generally prone to restating his interlocutors’ positions to such an extent that even his letters read as a dialog.</w:t>
      </w:r>
    </w:p>
  </w:footnote>
  <w:footnote w:id="3">
    <w:p w14:paraId="3BFB22BA" w14:textId="16F27DBE" w:rsidR="00630A72" w:rsidRPr="009905D2" w:rsidRDefault="00630A72">
      <w:pPr>
        <w:pStyle w:val="FootnoteText"/>
      </w:pPr>
      <w:r>
        <w:rPr>
          <w:rStyle w:val="FootnoteReference"/>
        </w:rPr>
        <w:footnoteRef/>
      </w:r>
      <w:r>
        <w:t xml:space="preserve"> Technically, </w:t>
      </w:r>
      <w:r>
        <w:rPr>
          <w:i/>
          <w:iCs/>
        </w:rPr>
        <w:t xml:space="preserve">The </w:t>
      </w:r>
      <w:proofErr w:type="spellStart"/>
      <w:r>
        <w:rPr>
          <w:i/>
          <w:iCs/>
        </w:rPr>
        <w:t>Bloudy</w:t>
      </w:r>
      <w:proofErr w:type="spellEnd"/>
      <w:r>
        <w:rPr>
          <w:i/>
          <w:iCs/>
        </w:rPr>
        <w:t xml:space="preserve"> </w:t>
      </w:r>
      <w:proofErr w:type="spellStart"/>
      <w:r>
        <w:rPr>
          <w:i/>
          <w:iCs/>
        </w:rPr>
        <w:t>Tenent</w:t>
      </w:r>
      <w:proofErr w:type="spellEnd"/>
      <w:r>
        <w:t xml:space="preserve"> </w:t>
      </w:r>
      <w:r w:rsidR="004B1D87">
        <w:t>was</w:t>
      </w:r>
      <w:r>
        <w:t xml:space="preserve"> published anonymously as well, but </w:t>
      </w:r>
      <w:r w:rsidR="004B1D87">
        <w:t>Williams’</w:t>
      </w:r>
      <w:r>
        <w:t xml:space="preserve"> identification of Cotton as his opponent made his identity an easy guess for anyone following the Bay Colony controversies.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254080"/>
      <w:docPartObj>
        <w:docPartGallery w:val="Page Numbers (Top of Page)"/>
        <w:docPartUnique/>
      </w:docPartObj>
    </w:sdtPr>
    <w:sdtEndPr>
      <w:rPr>
        <w:noProof/>
      </w:rPr>
    </w:sdtEndPr>
    <w:sdtContent>
      <w:p w14:paraId="6FBB5918" w14:textId="77777777" w:rsidR="00FF7C1F" w:rsidRDefault="00FF7C1F">
        <w:pPr>
          <w:pStyle w:val="Header"/>
          <w:jc w:val="right"/>
        </w:pPr>
      </w:p>
      <w:p w14:paraId="471E8DDB" w14:textId="6DBC2F8F" w:rsidR="00892BDD" w:rsidRDefault="00892BDD">
        <w:pPr>
          <w:pStyle w:val="Header"/>
          <w:jc w:val="right"/>
        </w:pPr>
        <w:r>
          <w:t xml:space="preserve">Povzner </w:t>
        </w:r>
        <w:r>
          <w:fldChar w:fldCharType="begin"/>
        </w:r>
        <w:r>
          <w:instrText xml:space="preserve"> PAGE   \* MERGEFORMAT </w:instrText>
        </w:r>
        <w:r>
          <w:fldChar w:fldCharType="separate"/>
        </w:r>
        <w:r w:rsidR="00D961A2">
          <w:rPr>
            <w:noProof/>
          </w:rPr>
          <w:t>1</w:t>
        </w:r>
        <w:r>
          <w:rPr>
            <w:noProof/>
          </w:rPr>
          <w:fldChar w:fldCharType="end"/>
        </w:r>
      </w:p>
    </w:sdtContent>
  </w:sdt>
  <w:p w14:paraId="3F5ED4C2" w14:textId="77777777" w:rsidR="00630A72" w:rsidRDefault="00630A7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28"/>
    <w:rsid w:val="00012A74"/>
    <w:rsid w:val="00096B24"/>
    <w:rsid w:val="000A7571"/>
    <w:rsid w:val="000C5EFF"/>
    <w:rsid w:val="000E1E73"/>
    <w:rsid w:val="00106A99"/>
    <w:rsid w:val="001117B6"/>
    <w:rsid w:val="00111FDE"/>
    <w:rsid w:val="001124FD"/>
    <w:rsid w:val="00144D7E"/>
    <w:rsid w:val="0015093F"/>
    <w:rsid w:val="001531AF"/>
    <w:rsid w:val="0016031D"/>
    <w:rsid w:val="00161A1E"/>
    <w:rsid w:val="0016379F"/>
    <w:rsid w:val="00186B51"/>
    <w:rsid w:val="0019619D"/>
    <w:rsid w:val="001B270B"/>
    <w:rsid w:val="001B38E9"/>
    <w:rsid w:val="001B3FFF"/>
    <w:rsid w:val="001B7AE9"/>
    <w:rsid w:val="001C2F68"/>
    <w:rsid w:val="001D5401"/>
    <w:rsid w:val="002440FE"/>
    <w:rsid w:val="002551C8"/>
    <w:rsid w:val="002678CD"/>
    <w:rsid w:val="00272991"/>
    <w:rsid w:val="0028382A"/>
    <w:rsid w:val="0029418F"/>
    <w:rsid w:val="0029552A"/>
    <w:rsid w:val="002A6A2C"/>
    <w:rsid w:val="002C5AF7"/>
    <w:rsid w:val="002D35AB"/>
    <w:rsid w:val="002E2169"/>
    <w:rsid w:val="003008A8"/>
    <w:rsid w:val="00306F2C"/>
    <w:rsid w:val="0032213C"/>
    <w:rsid w:val="0032239F"/>
    <w:rsid w:val="00324343"/>
    <w:rsid w:val="00334C14"/>
    <w:rsid w:val="003763C8"/>
    <w:rsid w:val="00376C34"/>
    <w:rsid w:val="00382ACD"/>
    <w:rsid w:val="003C5361"/>
    <w:rsid w:val="004131E7"/>
    <w:rsid w:val="00424A52"/>
    <w:rsid w:val="00487B50"/>
    <w:rsid w:val="004A7C85"/>
    <w:rsid w:val="004B1D87"/>
    <w:rsid w:val="004D007C"/>
    <w:rsid w:val="004D65CE"/>
    <w:rsid w:val="004D6C95"/>
    <w:rsid w:val="004D7811"/>
    <w:rsid w:val="004E4DCF"/>
    <w:rsid w:val="00515828"/>
    <w:rsid w:val="00520A4A"/>
    <w:rsid w:val="00540C4F"/>
    <w:rsid w:val="00544C25"/>
    <w:rsid w:val="00551528"/>
    <w:rsid w:val="005565B1"/>
    <w:rsid w:val="0057371F"/>
    <w:rsid w:val="00580137"/>
    <w:rsid w:val="00585D61"/>
    <w:rsid w:val="00612C64"/>
    <w:rsid w:val="00617DE5"/>
    <w:rsid w:val="00630A72"/>
    <w:rsid w:val="00644FD5"/>
    <w:rsid w:val="006472C9"/>
    <w:rsid w:val="00653562"/>
    <w:rsid w:val="006773F5"/>
    <w:rsid w:val="00691244"/>
    <w:rsid w:val="006D028B"/>
    <w:rsid w:val="006E24FA"/>
    <w:rsid w:val="006E44D2"/>
    <w:rsid w:val="006F08DA"/>
    <w:rsid w:val="00737F13"/>
    <w:rsid w:val="007A0C0E"/>
    <w:rsid w:val="007A0FCC"/>
    <w:rsid w:val="007E390A"/>
    <w:rsid w:val="007F119D"/>
    <w:rsid w:val="007F6F65"/>
    <w:rsid w:val="00827588"/>
    <w:rsid w:val="008341AB"/>
    <w:rsid w:val="008451A0"/>
    <w:rsid w:val="00852622"/>
    <w:rsid w:val="0087437D"/>
    <w:rsid w:val="008746BE"/>
    <w:rsid w:val="008757BA"/>
    <w:rsid w:val="00892728"/>
    <w:rsid w:val="00892BDD"/>
    <w:rsid w:val="008C6075"/>
    <w:rsid w:val="008C73DE"/>
    <w:rsid w:val="008D184C"/>
    <w:rsid w:val="008D64D3"/>
    <w:rsid w:val="009215DD"/>
    <w:rsid w:val="009538E0"/>
    <w:rsid w:val="009550A3"/>
    <w:rsid w:val="009905D2"/>
    <w:rsid w:val="009917A6"/>
    <w:rsid w:val="00996354"/>
    <w:rsid w:val="009B0454"/>
    <w:rsid w:val="009C4DC2"/>
    <w:rsid w:val="009D11D6"/>
    <w:rsid w:val="009D1AF6"/>
    <w:rsid w:val="009F088A"/>
    <w:rsid w:val="00A07E16"/>
    <w:rsid w:val="00A26022"/>
    <w:rsid w:val="00A61B03"/>
    <w:rsid w:val="00A666CE"/>
    <w:rsid w:val="00AA205A"/>
    <w:rsid w:val="00AE7426"/>
    <w:rsid w:val="00AF5991"/>
    <w:rsid w:val="00B224C3"/>
    <w:rsid w:val="00B44267"/>
    <w:rsid w:val="00B471FB"/>
    <w:rsid w:val="00B57A20"/>
    <w:rsid w:val="00B7613B"/>
    <w:rsid w:val="00B9243F"/>
    <w:rsid w:val="00BA00D0"/>
    <w:rsid w:val="00BC26B3"/>
    <w:rsid w:val="00BC4082"/>
    <w:rsid w:val="00BD32F4"/>
    <w:rsid w:val="00BE2833"/>
    <w:rsid w:val="00C13231"/>
    <w:rsid w:val="00C4476A"/>
    <w:rsid w:val="00C46267"/>
    <w:rsid w:val="00C56B37"/>
    <w:rsid w:val="00C63888"/>
    <w:rsid w:val="00CB0DF8"/>
    <w:rsid w:val="00CC60E1"/>
    <w:rsid w:val="00CF4EB4"/>
    <w:rsid w:val="00D05AE6"/>
    <w:rsid w:val="00D25F99"/>
    <w:rsid w:val="00D26B4D"/>
    <w:rsid w:val="00D316EE"/>
    <w:rsid w:val="00D32FAF"/>
    <w:rsid w:val="00D334BA"/>
    <w:rsid w:val="00D37A6C"/>
    <w:rsid w:val="00D5449C"/>
    <w:rsid w:val="00D57D45"/>
    <w:rsid w:val="00D65F68"/>
    <w:rsid w:val="00D846C4"/>
    <w:rsid w:val="00D961A2"/>
    <w:rsid w:val="00DA3F56"/>
    <w:rsid w:val="00DB2733"/>
    <w:rsid w:val="00DE169B"/>
    <w:rsid w:val="00DF08B4"/>
    <w:rsid w:val="00E12E08"/>
    <w:rsid w:val="00E140CE"/>
    <w:rsid w:val="00E157BB"/>
    <w:rsid w:val="00E22BA4"/>
    <w:rsid w:val="00E80165"/>
    <w:rsid w:val="00E82D70"/>
    <w:rsid w:val="00E861EF"/>
    <w:rsid w:val="00E945CA"/>
    <w:rsid w:val="00EA5CEC"/>
    <w:rsid w:val="00EB0E3C"/>
    <w:rsid w:val="00EC4315"/>
    <w:rsid w:val="00EE1A71"/>
    <w:rsid w:val="00EE25D1"/>
    <w:rsid w:val="00EE5C76"/>
    <w:rsid w:val="00F0241E"/>
    <w:rsid w:val="00F03E1C"/>
    <w:rsid w:val="00F06DCA"/>
    <w:rsid w:val="00F20437"/>
    <w:rsid w:val="00F24355"/>
    <w:rsid w:val="00F44763"/>
    <w:rsid w:val="00F559C0"/>
    <w:rsid w:val="00F90F6A"/>
    <w:rsid w:val="00F90F96"/>
    <w:rsid w:val="00FD5125"/>
    <w:rsid w:val="00FE31D2"/>
    <w:rsid w:val="00FF6674"/>
    <w:rsid w:val="00FF7C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7A34A"/>
  <w15:docId w15:val="{59908A5A-6A85-4CA3-BBA4-A59C70B84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he-IL"/>
      </w:rPr>
    </w:rPrDefault>
    <w:pPrDefault>
      <w:pPr>
        <w:pBdr>
          <w:top w:val="nil"/>
          <w:left w:val="nil"/>
          <w:bottom w:val="nil"/>
          <w:right w:val="nil"/>
          <w:between w:val="nil"/>
        </w:pBd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447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76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D35AB"/>
    <w:rPr>
      <w:b/>
      <w:bCs/>
    </w:rPr>
  </w:style>
  <w:style w:type="character" w:customStyle="1" w:styleId="CommentSubjectChar">
    <w:name w:val="Comment Subject Char"/>
    <w:basedOn w:val="CommentTextChar"/>
    <w:link w:val="CommentSubject"/>
    <w:uiPriority w:val="99"/>
    <w:semiHidden/>
    <w:rsid w:val="002D35AB"/>
    <w:rPr>
      <w:b/>
      <w:bCs/>
      <w:sz w:val="20"/>
      <w:szCs w:val="20"/>
    </w:rPr>
  </w:style>
  <w:style w:type="paragraph" w:styleId="FootnoteText">
    <w:name w:val="footnote text"/>
    <w:basedOn w:val="Normal"/>
    <w:link w:val="FootnoteTextChar"/>
    <w:uiPriority w:val="99"/>
    <w:semiHidden/>
    <w:unhideWhenUsed/>
    <w:rsid w:val="00E157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7BB"/>
    <w:rPr>
      <w:sz w:val="20"/>
      <w:szCs w:val="20"/>
    </w:rPr>
  </w:style>
  <w:style w:type="character" w:styleId="FootnoteReference">
    <w:name w:val="footnote reference"/>
    <w:basedOn w:val="DefaultParagraphFont"/>
    <w:uiPriority w:val="99"/>
    <w:semiHidden/>
    <w:unhideWhenUsed/>
    <w:rsid w:val="00E157BB"/>
    <w:rPr>
      <w:vertAlign w:val="superscript"/>
    </w:rPr>
  </w:style>
  <w:style w:type="paragraph" w:styleId="Header">
    <w:name w:val="header"/>
    <w:basedOn w:val="Normal"/>
    <w:link w:val="HeaderChar"/>
    <w:uiPriority w:val="99"/>
    <w:unhideWhenUsed/>
    <w:rsid w:val="00892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BDD"/>
  </w:style>
  <w:style w:type="paragraph" w:styleId="Footer">
    <w:name w:val="footer"/>
    <w:basedOn w:val="Normal"/>
    <w:link w:val="FooterChar"/>
    <w:uiPriority w:val="99"/>
    <w:unhideWhenUsed/>
    <w:rsid w:val="00892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487659">
      <w:bodyDiv w:val="1"/>
      <w:marLeft w:val="0"/>
      <w:marRight w:val="0"/>
      <w:marTop w:val="0"/>
      <w:marBottom w:val="0"/>
      <w:divBdr>
        <w:top w:val="none" w:sz="0" w:space="0" w:color="auto"/>
        <w:left w:val="none" w:sz="0" w:space="0" w:color="auto"/>
        <w:bottom w:val="none" w:sz="0" w:space="0" w:color="auto"/>
        <w:right w:val="none" w:sz="0" w:space="0" w:color="auto"/>
      </w:divBdr>
      <w:divsChild>
        <w:div w:id="896937908">
          <w:marLeft w:val="480"/>
          <w:marRight w:val="0"/>
          <w:marTop w:val="0"/>
          <w:marBottom w:val="0"/>
          <w:divBdr>
            <w:top w:val="none" w:sz="0" w:space="0" w:color="auto"/>
            <w:left w:val="none" w:sz="0" w:space="0" w:color="auto"/>
            <w:bottom w:val="none" w:sz="0" w:space="0" w:color="auto"/>
            <w:right w:val="none" w:sz="0" w:space="0" w:color="auto"/>
          </w:divBdr>
          <w:divsChild>
            <w:div w:id="12981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49373">
      <w:bodyDiv w:val="1"/>
      <w:marLeft w:val="0"/>
      <w:marRight w:val="0"/>
      <w:marTop w:val="0"/>
      <w:marBottom w:val="0"/>
      <w:divBdr>
        <w:top w:val="none" w:sz="0" w:space="0" w:color="auto"/>
        <w:left w:val="none" w:sz="0" w:space="0" w:color="auto"/>
        <w:bottom w:val="none" w:sz="0" w:space="0" w:color="auto"/>
        <w:right w:val="none" w:sz="0" w:space="0" w:color="auto"/>
      </w:divBdr>
      <w:divsChild>
        <w:div w:id="286931621">
          <w:marLeft w:val="480"/>
          <w:marRight w:val="0"/>
          <w:marTop w:val="0"/>
          <w:marBottom w:val="0"/>
          <w:divBdr>
            <w:top w:val="none" w:sz="0" w:space="0" w:color="auto"/>
            <w:left w:val="none" w:sz="0" w:space="0" w:color="auto"/>
            <w:bottom w:val="none" w:sz="0" w:space="0" w:color="auto"/>
            <w:right w:val="none" w:sz="0" w:space="0" w:color="auto"/>
          </w:divBdr>
          <w:divsChild>
            <w:div w:id="20291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dc:creator>
  <cp:keywords/>
  <dc:description/>
  <cp:lastModifiedBy>Anton p</cp:lastModifiedBy>
  <cp:revision>4</cp:revision>
  <cp:lastPrinted>2019-02-22T15:32:00Z</cp:lastPrinted>
  <dcterms:created xsi:type="dcterms:W3CDTF">2017-12-15T15:26:00Z</dcterms:created>
  <dcterms:modified xsi:type="dcterms:W3CDTF">2019-02-22T15:46:00Z</dcterms:modified>
</cp:coreProperties>
</file>