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187" w:rsidRPr="00376187" w:rsidRDefault="00376187" w:rsidP="00376187">
      <w:pPr>
        <w:pStyle w:val="NormalWeb"/>
        <w:shd w:val="clear" w:color="auto" w:fill="FFFFFF"/>
        <w:spacing w:before="120" w:beforeAutospacing="0" w:after="120" w:afterAutospacing="0"/>
      </w:pPr>
      <w:r w:rsidRPr="00376187">
        <w:rPr>
          <w:b/>
          <w:bCs/>
        </w:rPr>
        <w:t>Butano Karalystė</w:t>
      </w:r>
      <w:r w:rsidRPr="00376187">
        <w:t> (</w:t>
      </w:r>
      <w:r w:rsidRPr="00376187">
        <w:rPr>
          <w:b/>
          <w:bCs/>
        </w:rPr>
        <w:t>Butanas</w:t>
      </w:r>
      <w:r w:rsidRPr="00376187">
        <w:t>)</w:t>
      </w:r>
    </w:p>
    <w:p w:rsidR="00376187" w:rsidRPr="00376187" w:rsidRDefault="00376187" w:rsidP="00376187">
      <w:pPr>
        <w:pStyle w:val="NormalWeb"/>
        <w:shd w:val="clear" w:color="auto" w:fill="FFFFFF"/>
        <w:spacing w:before="120" w:beforeAutospacing="0" w:after="120" w:afterAutospacing="0"/>
      </w:pPr>
      <w:r w:rsidRPr="00376187">
        <w:t>Valstybė pietų Azijoje, Himalajuose. Ribojasi su Indija ir Kinija. Butaną nuo Nepalo vakaruose skiria Sikimo valstija Indijoje, nuo Bangladešo − Vakarų Bengalija. Butaniečiai savo šalį vadina </w:t>
      </w:r>
      <w:r w:rsidRPr="00376187">
        <w:rPr>
          <w:i/>
          <w:iCs/>
        </w:rPr>
        <w:t>Druk Yul</w:t>
      </w:r>
      <w:r w:rsidRPr="00376187">
        <w:t> (</w:t>
      </w:r>
      <w:r w:rsidRPr="0094447D">
        <w:t>bot.</w:t>
      </w:r>
      <w:r w:rsidRPr="00376187">
        <w:t> </w:t>
      </w:r>
      <w:r w:rsidRPr="00376187">
        <w:rPr>
          <w:rFonts w:ascii="Microsoft Himalaya" w:hAnsi="Microsoft Himalaya" w:cs="Microsoft Himalaya"/>
        </w:rPr>
        <w:t>འབྲུག་ཡུལ་</w:t>
      </w:r>
      <w:r w:rsidRPr="00376187">
        <w:t>), kas reiškia „Griaustinio drakono žemė“.</w:t>
      </w:r>
      <w:r w:rsidR="0094447D" w:rsidRPr="00376187">
        <w:t xml:space="preserve"> </w:t>
      </w:r>
    </w:p>
    <w:p w:rsidR="00376187" w:rsidRPr="00376187" w:rsidRDefault="00376187" w:rsidP="00376187">
      <w:pPr>
        <w:pStyle w:val="NormalWeb"/>
        <w:shd w:val="clear" w:color="auto" w:fill="FFFFFF"/>
        <w:spacing w:before="120" w:beforeAutospacing="0" w:after="120" w:afterAutospacing="0"/>
      </w:pPr>
      <w:r w:rsidRPr="00376187">
        <w:t>Butanas ilgą laiką buvo viena labiausiai izoliuotų pasaulio valstybių, tačiau naujovės, tokios kaip tiesioginiai tarptautiniai skrydžiai, </w:t>
      </w:r>
      <w:r w:rsidRPr="0094447D">
        <w:t>internetas</w:t>
      </w:r>
      <w:r w:rsidRPr="00376187">
        <w:t>, </w:t>
      </w:r>
      <w:r w:rsidRPr="0094447D">
        <w:t>mobilusis ryšys</w:t>
      </w:r>
      <w:r w:rsidRPr="00376187">
        <w:t> ir kabelinė televizija, ženkliai modernizavo šalies miestus. Butane tokią modernizaciją bandoma suderinti su senovinės kultūra ir tradicijomis, taikant </w:t>
      </w:r>
      <w:r w:rsidRPr="0094447D">
        <w:t>bendrosios nacionalinės laimės</w:t>
      </w:r>
      <w:r w:rsidRPr="00376187">
        <w:t> (BNL) filosofiją. Šalyje išvengta gamtos niokojimo. Vyriausybė imasi veiksmingų priemonių kultūros, </w:t>
      </w:r>
      <w:r w:rsidRPr="0094447D">
        <w:t>tapatumo</w:t>
      </w:r>
      <w:r w:rsidRPr="00376187">
        <w:t> ir aplinkos išsaugojimui. 2006 m. žurnalas „</w:t>
      </w:r>
      <w:r w:rsidRPr="0094447D">
        <w:t>Business week</w:t>
      </w:r>
      <w:r w:rsidRPr="00376187">
        <w:t>“, remdamasis tais pačiais metais </w:t>
      </w:r>
      <w:r w:rsidRPr="0094447D">
        <w:t>Lesterio universiteto</w:t>
      </w:r>
      <w:r w:rsidRPr="00376187">
        <w:t> atlikto tyrimo „Pasaulinis laimės žemėlapis“ duomenimis, Butaną įvertino kaip laimingiausią šalį Azijoje ir aštuntą laimingiausią pasaulyje.</w:t>
      </w:r>
      <w:r w:rsidR="0094447D" w:rsidRPr="00376187">
        <w:t xml:space="preserve"> </w:t>
      </w:r>
    </w:p>
    <w:p w:rsidR="00376187" w:rsidRPr="00376187" w:rsidRDefault="00376187" w:rsidP="00376187">
      <w:pPr>
        <w:pStyle w:val="NormalWeb"/>
        <w:shd w:val="clear" w:color="auto" w:fill="FFFFFF"/>
        <w:spacing w:before="120" w:beforeAutospacing="0" w:after="120" w:afterAutospacing="0"/>
      </w:pPr>
      <w:r w:rsidRPr="00376187">
        <w:t>Butano kraštovaizdis įvairauja nuo subtropinių lygumų pietuose iki šaltų zonų </w:t>
      </w:r>
      <w:r w:rsidRPr="0094447D">
        <w:t>Himalajų</w:t>
      </w:r>
      <w:r w:rsidRPr="00376187">
        <w:t> aukštikalnėse, kurių kai kurios viršija 7 000 metrų aukštį. </w:t>
      </w:r>
      <w:r w:rsidRPr="0094447D">
        <w:t>Valstybinė</w:t>
      </w:r>
      <w:r w:rsidRPr="00376187">
        <w:t> šalies religija yra </w:t>
      </w:r>
      <w:r w:rsidRPr="0094447D">
        <w:t>Vadžrajana budizmas</w:t>
      </w:r>
      <w:r w:rsidRPr="00376187">
        <w:t>. Budizmą išpažįsta 691 141 gyventojas, tuo tarpu </w:t>
      </w:r>
      <w:r w:rsidRPr="0094447D">
        <w:t>induizmas</w:t>
      </w:r>
      <w:r w:rsidRPr="00376187">
        <w:t> čia yra antra pagal tikinčiųjų skaičių religija. Po šimtmečius trukusio monarchinio valdymo 2008 m. kovą Butane įvyko pirmieji demokratiniai rinkimai. Valstybė yra 45 tarptautinių organizacijų, tarp jų </w:t>
      </w:r>
      <w:r w:rsidRPr="0094447D">
        <w:t>JT</w:t>
      </w:r>
      <w:r w:rsidRPr="00376187">
        <w:t> ir </w:t>
      </w:r>
      <w:r w:rsidRPr="0094447D">
        <w:t>Pietų Azijos regioni</w:t>
      </w:r>
      <w:bookmarkStart w:id="0" w:name="_GoBack"/>
      <w:bookmarkEnd w:id="0"/>
      <w:r w:rsidRPr="0094447D">
        <w:t>nio bendradarbiavimo asociacijos</w:t>
      </w:r>
      <w:r w:rsidRPr="00376187">
        <w:t>, narė.</w:t>
      </w:r>
    </w:p>
    <w:p w:rsidR="00376187" w:rsidRPr="00376187" w:rsidRDefault="00376187" w:rsidP="00376187">
      <w:pPr>
        <w:pStyle w:val="NormalWeb"/>
        <w:shd w:val="clear" w:color="auto" w:fill="FFFFFF"/>
        <w:spacing w:before="120" w:beforeAutospacing="0" w:after="120" w:afterAutospacing="0"/>
      </w:pPr>
    </w:p>
    <w:p w:rsidR="00376187" w:rsidRPr="00376187" w:rsidRDefault="00376187" w:rsidP="00376187">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sidRPr="00376187">
        <w:rPr>
          <w:rFonts w:ascii="Times New Roman" w:eastAsia="Times New Roman" w:hAnsi="Times New Roman" w:cs="Times New Roman"/>
          <w:b/>
          <w:bCs/>
          <w:sz w:val="24"/>
          <w:szCs w:val="24"/>
          <w:lang w:eastAsia="lt-LT"/>
        </w:rPr>
        <w:t>Pavadinimas</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 xml:space="preserve">Žodis „Butanas“ gali būti kilęs iš sanksrito žodžio </w:t>
      </w:r>
      <w:r w:rsidRPr="00376187">
        <w:rPr>
          <w:rFonts w:ascii="Times New Roman" w:eastAsia="Times New Roman" w:hAnsi="Times New Roman" w:cs="Times New Roman"/>
          <w:i/>
          <w:iCs/>
          <w:sz w:val="24"/>
          <w:szCs w:val="24"/>
          <w:lang w:eastAsia="lt-LT"/>
        </w:rPr>
        <w:t>Bhu-Utthan</w:t>
      </w:r>
      <w:r w:rsidRPr="00376187">
        <w:rPr>
          <w:rFonts w:ascii="Times New Roman" w:eastAsia="Times New Roman" w:hAnsi="Times New Roman" w:cs="Times New Roman"/>
          <w:sz w:val="24"/>
          <w:szCs w:val="24"/>
          <w:lang w:eastAsia="lt-LT"/>
        </w:rPr>
        <w:t xml:space="preserve"> (aukštumos). Pasak kitos sanskritizacijos teorijos, </w:t>
      </w:r>
      <w:r w:rsidRPr="00376187">
        <w:rPr>
          <w:rFonts w:ascii="Times New Roman" w:eastAsia="Times New Roman" w:hAnsi="Times New Roman" w:cs="Times New Roman"/>
          <w:i/>
          <w:iCs/>
          <w:sz w:val="24"/>
          <w:szCs w:val="24"/>
          <w:lang w:eastAsia="lt-LT"/>
        </w:rPr>
        <w:t>Bhoṭa-anta</w:t>
      </w:r>
      <w:r w:rsidRPr="00376187">
        <w:rPr>
          <w:rFonts w:ascii="Times New Roman" w:eastAsia="Times New Roman" w:hAnsi="Times New Roman" w:cs="Times New Roman"/>
          <w:sz w:val="24"/>
          <w:szCs w:val="24"/>
          <w:lang w:eastAsia="lt-LT"/>
        </w:rPr>
        <w:t xml:space="preserve"> reiškia „Tibeto gale“, o Butanas įsikūręs į pietus nuo Tibeto.</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 xml:space="preserve">Seniau Butanas buvo žinomas įvairiais pavadinimais: </w:t>
      </w:r>
      <w:r w:rsidRPr="00376187">
        <w:rPr>
          <w:rFonts w:ascii="Times New Roman" w:eastAsia="Times New Roman" w:hAnsi="Times New Roman" w:cs="Times New Roman"/>
          <w:i/>
          <w:iCs/>
          <w:sz w:val="24"/>
          <w:szCs w:val="24"/>
          <w:lang w:eastAsia="lt-LT"/>
        </w:rPr>
        <w:t>Lho Mon</w:t>
      </w:r>
      <w:r w:rsidRPr="00376187">
        <w:rPr>
          <w:rFonts w:ascii="Times New Roman" w:eastAsia="Times New Roman" w:hAnsi="Times New Roman" w:cs="Times New Roman"/>
          <w:sz w:val="24"/>
          <w:szCs w:val="24"/>
          <w:lang w:eastAsia="lt-LT"/>
        </w:rPr>
        <w:t xml:space="preserve"> (tamsos pietų žemė), </w:t>
      </w:r>
      <w:r w:rsidRPr="00376187">
        <w:rPr>
          <w:rFonts w:ascii="Times New Roman" w:eastAsia="Times New Roman" w:hAnsi="Times New Roman" w:cs="Times New Roman"/>
          <w:i/>
          <w:iCs/>
          <w:sz w:val="24"/>
          <w:szCs w:val="24"/>
          <w:lang w:eastAsia="lt-LT"/>
        </w:rPr>
        <w:t>Lho Tsendenjong</w:t>
      </w:r>
      <w:r w:rsidRPr="00376187">
        <w:rPr>
          <w:rFonts w:ascii="Times New Roman" w:eastAsia="Times New Roman" w:hAnsi="Times New Roman" w:cs="Times New Roman"/>
          <w:sz w:val="24"/>
          <w:szCs w:val="24"/>
          <w:lang w:eastAsia="lt-LT"/>
        </w:rPr>
        <w:t xml:space="preserve"> (</w:t>
      </w:r>
      <w:r w:rsidRPr="00376187">
        <w:rPr>
          <w:rFonts w:ascii="Times New Roman" w:eastAsia="Times New Roman" w:hAnsi="Times New Roman" w:cs="Times New Roman"/>
          <w:i/>
          <w:iCs/>
          <w:sz w:val="24"/>
          <w:szCs w:val="24"/>
          <w:lang w:eastAsia="lt-LT"/>
        </w:rPr>
        <w:t>Tsenden</w:t>
      </w:r>
      <w:r w:rsidRPr="00376187">
        <w:rPr>
          <w:rFonts w:ascii="Times New Roman" w:eastAsia="Times New Roman" w:hAnsi="Times New Roman" w:cs="Times New Roman"/>
          <w:sz w:val="24"/>
          <w:szCs w:val="24"/>
          <w:lang w:eastAsia="lt-LT"/>
        </w:rPr>
        <w:t xml:space="preserve"> kiparisų žemė), </w:t>
      </w:r>
      <w:r w:rsidRPr="00376187">
        <w:rPr>
          <w:rFonts w:ascii="Times New Roman" w:eastAsia="Times New Roman" w:hAnsi="Times New Roman" w:cs="Times New Roman"/>
          <w:i/>
          <w:iCs/>
          <w:sz w:val="24"/>
          <w:szCs w:val="24"/>
          <w:lang w:eastAsia="lt-LT"/>
        </w:rPr>
        <w:t>Lhomen Khazhi</w:t>
      </w:r>
      <w:r w:rsidRPr="00376187">
        <w:rPr>
          <w:rFonts w:ascii="Times New Roman" w:eastAsia="Times New Roman" w:hAnsi="Times New Roman" w:cs="Times New Roman"/>
          <w:sz w:val="24"/>
          <w:szCs w:val="24"/>
          <w:lang w:eastAsia="lt-LT"/>
        </w:rPr>
        <w:t xml:space="preserve"> (keturių kelių pietinė žemė) ir </w:t>
      </w:r>
      <w:r w:rsidRPr="00376187">
        <w:rPr>
          <w:rFonts w:ascii="Times New Roman" w:eastAsia="Times New Roman" w:hAnsi="Times New Roman" w:cs="Times New Roman"/>
          <w:i/>
          <w:iCs/>
          <w:sz w:val="24"/>
          <w:szCs w:val="24"/>
          <w:lang w:eastAsia="lt-LT"/>
        </w:rPr>
        <w:t>Lho Men Jong</w:t>
      </w:r>
      <w:r w:rsidRPr="00376187">
        <w:rPr>
          <w:rFonts w:ascii="Times New Roman" w:eastAsia="Times New Roman" w:hAnsi="Times New Roman" w:cs="Times New Roman"/>
          <w:sz w:val="24"/>
          <w:szCs w:val="24"/>
          <w:lang w:eastAsia="lt-LT"/>
        </w:rPr>
        <w:t xml:space="preserve"> (vaistinių augalų pietų žemė).</w:t>
      </w:r>
      <w:hyperlink r:id="rId5" w:anchor="cite_note-loc-1" w:history="1">
        <w:r w:rsidRPr="00376187">
          <w:rPr>
            <w:rFonts w:ascii="Times New Roman" w:eastAsia="Times New Roman" w:hAnsi="Times New Roman" w:cs="Times New Roman"/>
            <w:sz w:val="24"/>
            <w:szCs w:val="24"/>
            <w:vertAlign w:val="superscript"/>
            <w:lang w:eastAsia="lt-LT"/>
          </w:rPr>
          <w:t>[1]</w:t>
        </w:r>
      </w:hyperlink>
    </w:p>
    <w:p w:rsidR="00376187" w:rsidRPr="00376187" w:rsidRDefault="00376187" w:rsidP="00376187">
      <w:pPr>
        <w:pStyle w:val="NormalWeb"/>
        <w:shd w:val="clear" w:color="auto" w:fill="FFFFFF"/>
        <w:spacing w:before="120" w:beforeAutospacing="0" w:after="120" w:afterAutospacing="0"/>
      </w:pPr>
    </w:p>
    <w:p w:rsidR="00376187" w:rsidRPr="00376187" w:rsidRDefault="00376187" w:rsidP="00376187">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sidRPr="00376187">
        <w:rPr>
          <w:rFonts w:ascii="Times New Roman" w:eastAsia="Times New Roman" w:hAnsi="Times New Roman" w:cs="Times New Roman"/>
          <w:b/>
          <w:bCs/>
          <w:sz w:val="24"/>
          <w:szCs w:val="24"/>
          <w:lang w:eastAsia="lt-LT"/>
        </w:rPr>
        <w:t>Istorija</w:t>
      </w:r>
    </w:p>
    <w:p w:rsidR="00376187" w:rsidRPr="00376187" w:rsidRDefault="00376187" w:rsidP="00376187">
      <w:pPr>
        <w:spacing w:after="0" w:line="240" w:lineRule="auto"/>
        <w:ind w:left="720"/>
        <w:rPr>
          <w:rFonts w:ascii="Times New Roman" w:eastAsia="Times New Roman" w:hAnsi="Times New Roman" w:cs="Times New Roman"/>
          <w:sz w:val="24"/>
          <w:szCs w:val="24"/>
          <w:lang w:eastAsia="lt-LT"/>
        </w:rPr>
      </w:pPr>
      <w:r w:rsidRPr="00376187">
        <w:rPr>
          <w:rFonts w:ascii="Times New Roman" w:eastAsia="Times New Roman" w:hAnsi="Times New Roman" w:cs="Times New Roman"/>
          <w:i/>
          <w:iCs/>
          <w:sz w:val="24"/>
          <w:szCs w:val="24"/>
          <w:lang w:eastAsia="lt-LT"/>
        </w:rPr>
        <w:t>Pagrindinis straipsnis – Butano istorija.</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 xml:space="preserve">Akmeniniai įnagiai, ginklai, dramblių griaučiai ir didelių akmeninių struktūrų atskalos parodo, kad Butanas buvo apgyvendintas dar 2000 m. pr. m. e., nors apie tai nėra jokių išlikusių įrašų. Butano istorija artimai susijusi su gretimų Indijos valstijų Sikimo ir Arunačial Pradešo istorija. Butanas nuo seno buvo Tibeto civilizacijos ir valstybės periferija. Tibetietiški teritorijos pavadinimai </w:t>
      </w:r>
      <w:r w:rsidRPr="00376187">
        <w:rPr>
          <w:rFonts w:ascii="Times New Roman" w:eastAsia="Times New Roman" w:hAnsi="Times New Roman" w:cs="Times New Roman"/>
          <w:i/>
          <w:iCs/>
          <w:sz w:val="24"/>
          <w:szCs w:val="24"/>
          <w:lang w:eastAsia="lt-LT"/>
        </w:rPr>
        <w:t>Lhomon Tsendenjong</w:t>
      </w:r>
      <w:r w:rsidRPr="00376187">
        <w:rPr>
          <w:rFonts w:ascii="Times New Roman" w:eastAsia="Times New Roman" w:hAnsi="Times New Roman" w:cs="Times New Roman"/>
          <w:sz w:val="24"/>
          <w:szCs w:val="24"/>
          <w:lang w:eastAsia="lt-LT"/>
        </w:rPr>
        <w:t xml:space="preserve">, </w:t>
      </w:r>
      <w:r w:rsidRPr="00376187">
        <w:rPr>
          <w:rFonts w:ascii="Times New Roman" w:eastAsia="Times New Roman" w:hAnsi="Times New Roman" w:cs="Times New Roman"/>
          <w:i/>
          <w:iCs/>
          <w:sz w:val="24"/>
          <w:szCs w:val="24"/>
          <w:lang w:eastAsia="lt-LT"/>
        </w:rPr>
        <w:t>Lhomon Khashi</w:t>
      </w:r>
      <w:r w:rsidRPr="00376187">
        <w:rPr>
          <w:rFonts w:ascii="Times New Roman" w:eastAsia="Times New Roman" w:hAnsi="Times New Roman" w:cs="Times New Roman"/>
          <w:sz w:val="24"/>
          <w:szCs w:val="24"/>
          <w:lang w:eastAsia="lt-LT"/>
        </w:rPr>
        <w:t xml:space="preserve"> arba Pietų Mon (keturių kelių žemė) yra minimi senovinėse Tibeto ir Butano kronikose.</w:t>
      </w:r>
      <w:r w:rsidRPr="00376187">
        <w:rPr>
          <w:rFonts w:ascii="Times New Roman" w:eastAsia="Times New Roman" w:hAnsi="Times New Roman" w:cs="Times New Roman"/>
          <w:sz w:val="24"/>
          <w:szCs w:val="24"/>
          <w:vertAlign w:val="superscript"/>
          <w:lang w:eastAsia="lt-LT"/>
        </w:rPr>
        <w:t>[1</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 xml:space="preserve">Istorikai yra iškėlę teoriją, kad gentinė valstybė </w:t>
      </w:r>
      <w:r w:rsidRPr="00376187">
        <w:rPr>
          <w:rFonts w:ascii="Times New Roman" w:eastAsia="Times New Roman" w:hAnsi="Times New Roman" w:cs="Times New Roman"/>
          <w:i/>
          <w:iCs/>
          <w:sz w:val="24"/>
          <w:szCs w:val="24"/>
          <w:lang w:eastAsia="lt-LT"/>
        </w:rPr>
        <w:t>Lhomon</w:t>
      </w:r>
      <w:r w:rsidRPr="00376187">
        <w:rPr>
          <w:rFonts w:ascii="Times New Roman" w:eastAsia="Times New Roman" w:hAnsi="Times New Roman" w:cs="Times New Roman"/>
          <w:sz w:val="24"/>
          <w:szCs w:val="24"/>
          <w:lang w:eastAsia="lt-LT"/>
        </w:rPr>
        <w:t xml:space="preserve"> (pažodžiui „pietų tamsybė“) arba </w:t>
      </w:r>
      <w:r w:rsidRPr="00376187">
        <w:rPr>
          <w:rFonts w:ascii="Times New Roman" w:eastAsia="Times New Roman" w:hAnsi="Times New Roman" w:cs="Times New Roman"/>
          <w:i/>
          <w:iCs/>
          <w:sz w:val="24"/>
          <w:szCs w:val="24"/>
          <w:lang w:eastAsia="lt-LT"/>
        </w:rPr>
        <w:t>Monyul</w:t>
      </w:r>
      <w:r w:rsidRPr="00376187">
        <w:rPr>
          <w:rFonts w:ascii="Times New Roman" w:eastAsia="Times New Roman" w:hAnsi="Times New Roman" w:cs="Times New Roman"/>
          <w:sz w:val="24"/>
          <w:szCs w:val="24"/>
          <w:lang w:eastAsia="lt-LT"/>
        </w:rPr>
        <w:t xml:space="preserve"> („tamsos žemė“, reikšmė turi ryšį su monpais, Butano čiabuviais) veikiausiai egzistavo 500 m. pr. m. e.-600 m. rytiniame Butane. Ją VII a. užkariavus Tibeto imperijai, Butano kalnų slėniuose egzistavo daug smulkių valstybinių junginių, valdomų kunigaikščių, tituluojamų </w:t>
      </w:r>
      <w:r w:rsidRPr="00376187">
        <w:rPr>
          <w:rFonts w:ascii="Times New Roman" w:eastAsia="Times New Roman" w:hAnsi="Times New Roman" w:cs="Times New Roman"/>
          <w:i/>
          <w:iCs/>
          <w:sz w:val="24"/>
          <w:szCs w:val="24"/>
          <w:lang w:eastAsia="lt-LT"/>
        </w:rPr>
        <w:t>deb</w:t>
      </w:r>
      <w:r w:rsidRPr="00376187">
        <w:rPr>
          <w:rFonts w:ascii="Times New Roman" w:eastAsia="Times New Roman" w:hAnsi="Times New Roman" w:cs="Times New Roman"/>
          <w:sz w:val="24"/>
          <w:szCs w:val="24"/>
          <w:lang w:eastAsia="lt-LT"/>
        </w:rPr>
        <w:t>. Tuo metu Butano teritorijoje plito ankstyvasis Mahajanos budizmas, kurį vėliau pakeitė Vadžrajana (jos propaguotojas Tibete Padmasambhava lankėsi Butano teritorijoje ir įstaigė keletą vienuolynų).</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Nėra tiksliai žinoma, kokia tauta tuo metu buvo apgyvendinusi tuometinį Butaną, bet iš šiaurės plūstant Tibeto kultūrai, pamažėle kėlėsi ir tibetiečiai (bhotijai), pamažu suformavę dabartinę dzongkha kalba kalbančią tautą.</w:t>
      </w:r>
    </w:p>
    <w:p w:rsidR="00376187" w:rsidRPr="00376187" w:rsidRDefault="00376187" w:rsidP="00376187">
      <w:pPr>
        <w:spacing w:after="0"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 xml:space="preserve">Punakos, senosios Butano sostinės, tvirtovė Trongsos tvirtovė </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Butano, kaip vieningos valstybės, istorija prasideda XVII a, kuomet Tibeto Drukpa Kagyu sektos vadovas Ngavangas Namgijalas, persekiojamas savo šalyje, pabėgo į Butaną ir čia sukūrė vientisą valstybę, kurioje atidalintos religinė ir pasaulietinė vadžios. Butano sostine tapo Punaka, pradėtos statyti tibetietiško stiliaus pilys-šventyklos dzongai, įvestas rūbų, elgesio reglamentas (driglam namža), išlikęs iki dabar. Ngavangas Namgijalas įkūrė dvasinių lyderių šabdrungų dinastiją, kurių valdžia, kaip ir dalai lamų buvo paveldima remiantis reinkarnacijos sąvoka, per tulku („atgimėlių“) instituciją. Šabdrungų teokratija Butane išsilaikė iki XX a. pradžios.</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Iš karto po įsikūrimo ir per XVIII a. Butanas susidūrė su Tibeto ambicijomis susigrąžinti šias teritorijas į savo įtakos sferą. Nepaisant to, šalis atrėmė Tibeto antpuolius ir 1759 m. pasirašė su Tibetu paliaubas. Tuo pat metu Butanas plėtė savo interesus pietuose (duarų regione), okupavo nedidelę vietos valstybę Kuč Beharą. Tai sukėlė susidūrimą su tuo metu augančia Britų Indija, ir per XIX a. trintis tarp Britų imperijos ir Butano augo, kol prasiveržė kaip Duarų karas (1864–1865). Butanui jį pralaimėjus, šalis neteko pietinių teritorijų duaruose.</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Nusilpusią šalį XIX a. antroje pusėje siaubė vidaus neramumai, kurių nesugebėjo numalšinti silpna šabdrungų valdžia. Du gubernatoriai (Paro ir Trongsos) kovojo tarpusavyje, vienas remiamas Tibeto, o kitas – Britų imperijos. Galiausiai valdžią šalyje paėmė Tongsos gubernatorius Ugjenas Vangčukas, kuris 1907 m. šalyje įvykdė dideles reformas: jų metu panaikinta šabdrungų teokratija, įkurta monarchija, reformuota administracija, o šalies užsienio politika atiduota reguliuoti Britų imperijai. Pirmuoju Butano karaliumi tapo Vangčukas, įkurdamas Vangčukų dinastiją, kuri valdo iki dabar.</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1947 m. Indija tapus nepriklausoma, 1949 m. Butanas perrašė sutartį su šia valstybe, palikdamas jai teises administruoti savo užsienio politiką. Nepaisant to, Butanas išsaugojo nepriklausomybę ir tolimesnių karalių valdymo laikais modernizavosi. Tačiau šalyje stiprėjo ir etninės problemos, kadangi praktiškai nekontroliuojant migracijos, pietinėse teritorijose gausėjo daugiausia Nepalo kilmės ekonominių migrantų, vadinamų lhotsampais.</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Po 1970 m. ši problema ypač išryškėjo, kuomet gretimame Sikime lhotsampų dauguma nubalsavo karalystės prijungimą prie Indijos. Butane buvo suprasta, kad lhotsampų skaičius artėja prie pagrindinės valstybės etninės grupės (ngalopų) skaičiaus, ir tai sukėlė abipusius susidūrimus tarp etninių grupių, o galiausiai ir pabėgėlių problemą. Apie 100 tūkst. lhotsampų buvo išvaryti iš šalies, o Butanas buvo priverstas labai stipriai apriboti imigraciją. Taip pat sustiprinta šalies tapatybės stiprinimo politika, tapo privalomas tradicinis aprangos kodas driglam namža, valstybinės kalbos dzongkha mokėjimas ir pan. Butanas tapo viena uždariausių pasaulio valstybių, ribojančia turistų srautus, draudžianti televiziją, internetą.</w:t>
      </w:r>
    </w:p>
    <w:p w:rsidR="00376187" w:rsidRPr="00376187" w:rsidRDefault="00376187" w:rsidP="00376187">
      <w:pPr>
        <w:spacing w:before="100" w:beforeAutospacing="1" w:after="100" w:afterAutospacing="1" w:line="240" w:lineRule="auto"/>
        <w:rPr>
          <w:rFonts w:ascii="Times New Roman" w:eastAsia="Times New Roman" w:hAnsi="Times New Roman" w:cs="Times New Roman"/>
          <w:sz w:val="24"/>
          <w:szCs w:val="24"/>
          <w:lang w:eastAsia="lt-LT"/>
        </w:rPr>
      </w:pPr>
      <w:r w:rsidRPr="00376187">
        <w:rPr>
          <w:rFonts w:ascii="Times New Roman" w:eastAsia="Times New Roman" w:hAnsi="Times New Roman" w:cs="Times New Roman"/>
          <w:sz w:val="24"/>
          <w:szCs w:val="24"/>
          <w:lang w:eastAsia="lt-LT"/>
        </w:rPr>
        <w:t>1999 m. šalyje prasidėjo reformų ir modernizacijos laikotarpis, kuris tęsiasi iki dabar. Panaikinti draudimai, apribota karaliaus valdžia, 2005 m. priimta nauja konstitucija, o 2007 m. įvyko pirmieji demokratiniai parlamento rinkimai. 2008 m. karaliui Džigme Singje Vangčukui atsisakius sosto, naujuoju valdovu tapo jaunas Džigme Khesaras Namgjelis Vangčukas.</w:t>
      </w:r>
    </w:p>
    <w:p w:rsidR="00376187" w:rsidRDefault="00376187" w:rsidP="00376187">
      <w:pPr>
        <w:pStyle w:val="Heading3"/>
      </w:pPr>
      <w:r>
        <w:t>Miestai</w:t>
      </w:r>
    </w:p>
    <w:p w:rsidR="00376187" w:rsidRDefault="00376187" w:rsidP="00376187">
      <w:pPr>
        <w:numPr>
          <w:ilvl w:val="0"/>
          <w:numId w:val="1"/>
        </w:numPr>
        <w:spacing w:before="100" w:beforeAutospacing="1" w:after="100" w:afterAutospacing="1" w:line="240" w:lineRule="auto"/>
      </w:pPr>
      <w:r w:rsidRPr="00376187">
        <w:t>Džakaras</w:t>
      </w:r>
      <w:r>
        <w:t xml:space="preserve">, </w:t>
      </w:r>
      <w:r w:rsidRPr="00376187">
        <w:t>Bumtango rajono</w:t>
      </w:r>
      <w:r>
        <w:t xml:space="preserve"> administracinis centras.</w:t>
      </w:r>
    </w:p>
    <w:p w:rsidR="00376187" w:rsidRDefault="00376187" w:rsidP="00376187">
      <w:pPr>
        <w:numPr>
          <w:ilvl w:val="0"/>
          <w:numId w:val="1"/>
        </w:numPr>
        <w:spacing w:before="100" w:beforeAutospacing="1" w:after="100" w:afterAutospacing="1" w:line="240" w:lineRule="auto"/>
      </w:pPr>
      <w:r w:rsidRPr="00376187">
        <w:t>Mongaras</w:t>
      </w:r>
      <w:r>
        <w:t>, komercinis centras šalies rytuose.</w:t>
      </w:r>
    </w:p>
    <w:p w:rsidR="00376187" w:rsidRDefault="00376187" w:rsidP="00376187">
      <w:pPr>
        <w:numPr>
          <w:ilvl w:val="0"/>
          <w:numId w:val="1"/>
        </w:numPr>
        <w:spacing w:before="100" w:beforeAutospacing="1" w:after="100" w:afterAutospacing="1" w:line="240" w:lineRule="auto"/>
      </w:pPr>
      <w:r w:rsidRPr="00376187">
        <w:t>Paras</w:t>
      </w:r>
      <w:r>
        <w:t xml:space="preserve">, kuriame įskūręs </w:t>
      </w:r>
      <w:r w:rsidRPr="00376187">
        <w:t>tarptautinis oro uostas</w:t>
      </w:r>
      <w:r>
        <w:t>.</w:t>
      </w:r>
    </w:p>
    <w:p w:rsidR="00376187" w:rsidRDefault="00376187" w:rsidP="00376187">
      <w:pPr>
        <w:numPr>
          <w:ilvl w:val="0"/>
          <w:numId w:val="1"/>
        </w:numPr>
        <w:spacing w:before="100" w:beforeAutospacing="1" w:after="100" w:afterAutospacing="1" w:line="240" w:lineRule="auto"/>
      </w:pPr>
      <w:r w:rsidRPr="00376187">
        <w:t>Punčolingas</w:t>
      </w:r>
      <w:r>
        <w:t>, Butano komercinis centras.</w:t>
      </w:r>
    </w:p>
    <w:p w:rsidR="00376187" w:rsidRDefault="00376187" w:rsidP="00376187">
      <w:pPr>
        <w:numPr>
          <w:ilvl w:val="0"/>
          <w:numId w:val="1"/>
        </w:numPr>
        <w:spacing w:before="100" w:beforeAutospacing="1" w:after="100" w:afterAutospacing="1" w:line="240" w:lineRule="auto"/>
      </w:pPr>
      <w:r w:rsidRPr="00376187">
        <w:t>Punaka</w:t>
      </w:r>
      <w:r>
        <w:t>, senoji sostinė.</w:t>
      </w:r>
    </w:p>
    <w:p w:rsidR="00376187" w:rsidRDefault="00376187" w:rsidP="00376187">
      <w:pPr>
        <w:numPr>
          <w:ilvl w:val="0"/>
          <w:numId w:val="1"/>
        </w:numPr>
        <w:spacing w:before="100" w:beforeAutospacing="1" w:after="100" w:afterAutospacing="1" w:line="240" w:lineRule="auto"/>
      </w:pPr>
      <w:r w:rsidRPr="00376187">
        <w:t>Samdrup Džongkharas</w:t>
      </w:r>
    </w:p>
    <w:p w:rsidR="00376187" w:rsidRDefault="00376187" w:rsidP="00376187">
      <w:pPr>
        <w:numPr>
          <w:ilvl w:val="0"/>
          <w:numId w:val="1"/>
        </w:numPr>
        <w:spacing w:before="100" w:beforeAutospacing="1" w:after="100" w:afterAutospacing="1" w:line="240" w:lineRule="auto"/>
      </w:pPr>
      <w:r w:rsidRPr="00376187">
        <w:t>Timpu</w:t>
      </w:r>
      <w:r>
        <w:t>, Butano didžiausias miestas ir sostinė.</w:t>
      </w:r>
    </w:p>
    <w:p w:rsidR="00376187" w:rsidRDefault="00376187" w:rsidP="00376187">
      <w:pPr>
        <w:numPr>
          <w:ilvl w:val="0"/>
          <w:numId w:val="1"/>
        </w:numPr>
        <w:spacing w:before="100" w:beforeAutospacing="1" w:after="100" w:afterAutospacing="1" w:line="240" w:lineRule="auto"/>
      </w:pPr>
      <w:r w:rsidRPr="00376187">
        <w:t>Trašigangas</w:t>
      </w:r>
      <w:r>
        <w:t>, tankiausiai apgyvendintas Butano rajonas</w:t>
      </w:r>
    </w:p>
    <w:p w:rsidR="00376187" w:rsidRDefault="00376187" w:rsidP="00376187">
      <w:pPr>
        <w:numPr>
          <w:ilvl w:val="0"/>
          <w:numId w:val="1"/>
        </w:numPr>
        <w:spacing w:before="100" w:beforeAutospacing="1" w:after="100" w:afterAutospacing="1" w:line="240" w:lineRule="auto"/>
      </w:pPr>
      <w:r w:rsidRPr="00376187">
        <w:t>Trongsa</w:t>
      </w:r>
      <w:r>
        <w:t>, esantis šalies viduryje.</w:t>
      </w:r>
    </w:p>
    <w:p w:rsidR="00376187" w:rsidRDefault="00376187" w:rsidP="00376187">
      <w:pPr>
        <w:spacing w:before="100" w:beforeAutospacing="1" w:after="100" w:afterAutospacing="1" w:line="240" w:lineRule="auto"/>
      </w:pPr>
    </w:p>
    <w:p w:rsidR="00376187" w:rsidRDefault="00376187" w:rsidP="00376187">
      <w:pPr>
        <w:pStyle w:val="Heading2"/>
      </w:pPr>
      <w:r>
        <w:t>Kultūra</w:t>
      </w:r>
    </w:p>
    <w:p w:rsidR="00376187" w:rsidRDefault="00376187" w:rsidP="00376187">
      <w:pPr>
        <w:pStyle w:val="NormalWeb"/>
      </w:pPr>
      <w:r>
        <w:t xml:space="preserve">Butane valdžios iniciatyva yra imtasi sistemingų priemonių vykdyti </w:t>
      </w:r>
      <w:r w:rsidRPr="00376187">
        <w:t>bendrosios nacionalinės laimės</w:t>
      </w:r>
      <w:r>
        <w:t xml:space="preserve"> politiką, t. y. išlaikyti ir puoselėti gyventojų laimę. Šalyje mažai reklamos, ribojama televizija (nerodomos imtynės, </w:t>
      </w:r>
      <w:r w:rsidRPr="00376187">
        <w:t>MTV</w:t>
      </w:r>
      <w:r>
        <w:t xml:space="preserve">), uždraustas </w:t>
      </w:r>
      <w:r w:rsidRPr="00376187">
        <w:t>tabakas</w:t>
      </w:r>
      <w:r>
        <w:t xml:space="preserve"> ir plastikiniai maišeliai, įstatymai nukreipti gamtosaugos linkme. Tokios priemonės yra efektyvios iš esmės dėl to, kad šalis yra geografiškai izoliuota ir joje karalius turi daug galių.</w:t>
      </w:r>
    </w:p>
    <w:p w:rsidR="00376187" w:rsidRDefault="00376187" w:rsidP="00376187">
      <w:pPr>
        <w:spacing w:before="100" w:beforeAutospacing="1" w:after="100" w:afterAutospacing="1" w:line="240" w:lineRule="auto"/>
      </w:pPr>
    </w:p>
    <w:p w:rsidR="00D471D1" w:rsidRPr="00376187" w:rsidRDefault="00D471D1">
      <w:pPr>
        <w:rPr>
          <w:rFonts w:ascii="Times New Roman" w:hAnsi="Times New Roman" w:cs="Times New Roman"/>
          <w:sz w:val="24"/>
          <w:szCs w:val="24"/>
        </w:rPr>
      </w:pPr>
    </w:p>
    <w:p w:rsidR="00376187" w:rsidRPr="00376187" w:rsidRDefault="00376187">
      <w:pPr>
        <w:rPr>
          <w:rFonts w:ascii="Times New Roman" w:hAnsi="Times New Roman" w:cs="Times New Roman"/>
          <w:sz w:val="24"/>
          <w:szCs w:val="24"/>
        </w:rPr>
      </w:pPr>
    </w:p>
    <w:sectPr w:rsidR="00376187" w:rsidRPr="0037618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157D"/>
    <w:multiLevelType w:val="multilevel"/>
    <w:tmpl w:val="263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87"/>
    <w:rsid w:val="00376187"/>
    <w:rsid w:val="004B2F56"/>
    <w:rsid w:val="0094447D"/>
    <w:rsid w:val="00B47DA8"/>
    <w:rsid w:val="00D471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5604"/>
  <w15:chartTrackingRefBased/>
  <w15:docId w15:val="{FF6CD026-7FDA-41DA-BD25-1784B602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6187"/>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paragraph" w:styleId="Heading3">
    <w:name w:val="heading 3"/>
    <w:basedOn w:val="Normal"/>
    <w:next w:val="Normal"/>
    <w:link w:val="Heading3Char"/>
    <w:uiPriority w:val="9"/>
    <w:semiHidden/>
    <w:unhideWhenUsed/>
    <w:qFormat/>
    <w:rsid w:val="003761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18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semiHidden/>
    <w:unhideWhenUsed/>
    <w:rsid w:val="00376187"/>
    <w:rPr>
      <w:color w:val="0000FF"/>
      <w:u w:val="single"/>
    </w:rPr>
  </w:style>
  <w:style w:type="character" w:customStyle="1" w:styleId="Heading2Char">
    <w:name w:val="Heading 2 Char"/>
    <w:basedOn w:val="DefaultParagraphFont"/>
    <w:link w:val="Heading2"/>
    <w:uiPriority w:val="9"/>
    <w:rsid w:val="00376187"/>
    <w:rPr>
      <w:rFonts w:ascii="Times New Roman" w:eastAsia="Times New Roman" w:hAnsi="Times New Roman" w:cs="Times New Roman"/>
      <w:b/>
      <w:bCs/>
      <w:sz w:val="36"/>
      <w:szCs w:val="36"/>
      <w:lang w:eastAsia="lt-LT"/>
    </w:rPr>
  </w:style>
  <w:style w:type="character" w:customStyle="1" w:styleId="mw-reflink-text">
    <w:name w:val="mw-reflink-text"/>
    <w:basedOn w:val="DefaultParagraphFont"/>
    <w:rsid w:val="00376187"/>
  </w:style>
  <w:style w:type="character" w:customStyle="1" w:styleId="Heading3Char">
    <w:name w:val="Heading 3 Char"/>
    <w:basedOn w:val="DefaultParagraphFont"/>
    <w:link w:val="Heading3"/>
    <w:uiPriority w:val="9"/>
    <w:semiHidden/>
    <w:rsid w:val="003761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1142699496">
      <w:bodyDiv w:val="1"/>
      <w:marLeft w:val="0"/>
      <w:marRight w:val="0"/>
      <w:marTop w:val="0"/>
      <w:marBottom w:val="0"/>
      <w:divBdr>
        <w:top w:val="none" w:sz="0" w:space="0" w:color="auto"/>
        <w:left w:val="none" w:sz="0" w:space="0" w:color="auto"/>
        <w:bottom w:val="none" w:sz="0" w:space="0" w:color="auto"/>
        <w:right w:val="none" w:sz="0" w:space="0" w:color="auto"/>
      </w:divBdr>
      <w:divsChild>
        <w:div w:id="2125343645">
          <w:marLeft w:val="0"/>
          <w:marRight w:val="0"/>
          <w:marTop w:val="0"/>
          <w:marBottom w:val="0"/>
          <w:divBdr>
            <w:top w:val="none" w:sz="0" w:space="0" w:color="auto"/>
            <w:left w:val="none" w:sz="0" w:space="0" w:color="auto"/>
            <w:bottom w:val="none" w:sz="0" w:space="0" w:color="auto"/>
            <w:right w:val="none" w:sz="0" w:space="0" w:color="auto"/>
          </w:divBdr>
        </w:div>
      </w:divsChild>
    </w:div>
    <w:div w:id="1208179711">
      <w:bodyDiv w:val="1"/>
      <w:marLeft w:val="0"/>
      <w:marRight w:val="0"/>
      <w:marTop w:val="0"/>
      <w:marBottom w:val="0"/>
      <w:divBdr>
        <w:top w:val="none" w:sz="0" w:space="0" w:color="auto"/>
        <w:left w:val="none" w:sz="0" w:space="0" w:color="auto"/>
        <w:bottom w:val="none" w:sz="0" w:space="0" w:color="auto"/>
        <w:right w:val="none" w:sz="0" w:space="0" w:color="auto"/>
      </w:divBdr>
    </w:div>
    <w:div w:id="1903589973">
      <w:bodyDiv w:val="1"/>
      <w:marLeft w:val="0"/>
      <w:marRight w:val="0"/>
      <w:marTop w:val="0"/>
      <w:marBottom w:val="0"/>
      <w:divBdr>
        <w:top w:val="none" w:sz="0" w:space="0" w:color="auto"/>
        <w:left w:val="none" w:sz="0" w:space="0" w:color="auto"/>
        <w:bottom w:val="none" w:sz="0" w:space="0" w:color="auto"/>
        <w:right w:val="none" w:sz="0" w:space="0" w:color="auto"/>
      </w:divBdr>
      <w:divsChild>
        <w:div w:id="1069842367">
          <w:marLeft w:val="0"/>
          <w:marRight w:val="0"/>
          <w:marTop w:val="0"/>
          <w:marBottom w:val="0"/>
          <w:divBdr>
            <w:top w:val="none" w:sz="0" w:space="0" w:color="auto"/>
            <w:left w:val="none" w:sz="0" w:space="0" w:color="auto"/>
            <w:bottom w:val="none" w:sz="0" w:space="0" w:color="auto"/>
            <w:right w:val="none" w:sz="0" w:space="0" w:color="auto"/>
          </w:divBdr>
        </w:div>
      </w:divsChild>
    </w:div>
    <w:div w:id="19289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t.wikipedia.org/wiki/Butan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Donatas</dc:creator>
  <cp:keywords/>
  <dc:description/>
  <cp:lastModifiedBy>Vitas Gruzdas</cp:lastModifiedBy>
  <cp:revision>2</cp:revision>
  <dcterms:created xsi:type="dcterms:W3CDTF">2019-06-07T15:52:00Z</dcterms:created>
  <dcterms:modified xsi:type="dcterms:W3CDTF">2019-06-10T15:49:00Z</dcterms:modified>
</cp:coreProperties>
</file>