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0</wp:posOffset>
                </wp:positionV>
                <wp:extent cx="6438900" cy="1404188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438900" cy="1404188"/>
                          <a:chOff x="2055725" y="3036725"/>
                          <a:chExt cx="6580525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491" cy="1486535"/>
                            <a:chOff x="0" y="0"/>
                            <a:chExt cx="5903450" cy="148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993129" y="103017"/>
                              <a:ext cx="4878600" cy="95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Mapa Mental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34343"/>
                                    <w:sz w:val="22"/>
                                    <w:vertAlign w:val="baseline"/>
                                  </w:rPr>
                                  <w:t xml:space="preserve">Panorama general de conceptos del proyecto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40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34343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595959"/>
                                    <w:sz w:val="20"/>
                                    <w:vertAlign w:val="baseline"/>
                                  </w:rPr>
                                  <w:t xml:space="preserve">Sistema de Control y Seguimiento de Mantención de Vehículos de Emergencia de la Compañía de Bomberos de Talcahuano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0</wp:posOffset>
                </wp:positionV>
                <wp:extent cx="6438900" cy="1404188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404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left w:color="2e5fa3" w:space="6" w:sz="24" w:val="single"/>
        </w:pBdr>
        <w:spacing w:after="150" w:before="4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1. Diagrama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361950</wp:posOffset>
            </wp:positionV>
            <wp:extent cx="6925137" cy="3517372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1803" r="0" t="7120"/>
                    <a:stretch>
                      <a:fillRect/>
                    </a:stretch>
                  </pic:blipFill>
                  <pic:spPr>
                    <a:xfrm>
                      <a:off x="0" y="0"/>
                      <a:ext cx="6925137" cy="35173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jc w:val="left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2e5fa3" w:space="6" w:sz="24" w:val="single"/>
        </w:pBdr>
        <w:spacing w:after="150" w:before="4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2. Notas y 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rama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incorporó el actor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Central de Emergencias / Despacho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manteniendo consistencia con el Mapa de Actores.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rama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incorporó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Apoyar la labor de los funcionarios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para mantener consistencia con los objetivos específicos definidos en la Guía del Proyecto APT.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incorporó la temática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mantención preventiva y reactiva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dentro del contexto y las funcionalidades, debido a que corresponde al núcleo del problema abordado por el proyecto.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incorporó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y disponibilidad de vehículos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funcionalidad relevante, debido a que uno de los principales objetivos de la solución es facilitar el acceso oportuno a información sobre el estado de los vehículos de emergencia.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eliminó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Aplicación Web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la rama Contexto, debido a que corresponde a un componente tecnológico de la solución y se encuentra representado en la rama Tecnología.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reemplazó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de Georreferenciación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 / 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evitando incorporar funcionalidades que no forman parte del alcance actualmente definido del proyecto.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elementos identificados en el mapa mental corresponden a una representación inicial del dominio, usuarios, objetivos, funcionalidades, tecnología y metodología. Estos elementos serán profundizados y validados durante las siguientes etapas del proyecto.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Calibri" w:cs="Calibri" w:eastAsia="Calibri" w:hAnsi="Calibri"/>
          <w:i w:val="1"/>
          <w:iCs w:val="1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0" w:lineRule="auto"/>
        <w:rPr>
          <w:rFonts w:ascii="Calibri" w:cs="Calibri" w:eastAsia="Calibri" w:hAnsi="Calibri"/>
          <w:i w:val="1"/>
          <w:iCs w:val="1"/>
          <w:color w:val="595959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900" w:top="9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widowControl w:val="0"/>
      <w:spacing w:line="276" w:lineRule="auto"/>
      <w:rPr>
        <w:rFonts w:ascii="Calibri" w:cs="Calibri" w:eastAsia="Calibri" w:hAnsi="Calibri"/>
        <w:color w:val="595959"/>
      </w:rPr>
    </w:pPr>
    <w:r w:rsidDel="00000000" w:rsidR="00000000" w:rsidRPr="00000000">
      <w:rPr>
        <w:rFonts w:ascii="Calibri" w:cs="Calibri" w:eastAsia="Calibri" w:hAnsi="Calibri"/>
        <w:color w:val="595959"/>
      </w:rPr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margin">
            <wp:align>top</wp:align>
          </wp:positionV>
          <wp:extent cx="1996440" cy="428625"/>
          <wp:effectExtent b="0" l="0" r="0" t="0"/>
          <wp:wrapNone/>
          <wp:docPr descr="http://www.duoc.cl/normasgraficas/normasgraficas/marca-duoc/6logo-fondo-transparente/fondo-transparente.png" id="4" name="image2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"/>
      <w:tblW w:w="4216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216"/>
      <w:tblGridChange w:id="0">
        <w:tblGrid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14">
          <w:pPr>
            <w:spacing w:after="160" w:line="259" w:lineRule="auto"/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5">
    <w:pP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iaA0OKoAxI7zeRy58GRRf+micQ==">CgMxLjA4AHIhMVd3QU81Tk5OUTJVaXlONFNNaGM1LXYzUDczTDQ1TjVC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2026-08-18T23:06:27.455Z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