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rFonts w:ascii="Calibri" w:cs="Calibri" w:eastAsia="Calibri" w:hAnsi="Calibri"/>
          <w:b w:val="1"/>
          <w:bCs w:val="1"/>
          <w:color w:val="2e5fa3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fa3"/>
          <w:sz w:val="28"/>
          <w:szCs w:val="28"/>
        </w:rPr>
        <w:drawing>
          <wp:anchor allowOverlap="1" behindDoc="0" distB="228600" distT="228600" distL="228600" distR="228600" hidden="0" layoutInCell="1" locked="0" relativeHeight="0" simplePos="0">
            <wp:simplePos x="0" y="0"/>
            <wp:positionH relativeFrom="page">
              <wp:posOffset>4860925</wp:posOffset>
            </wp:positionH>
            <wp:positionV relativeFrom="page">
              <wp:posOffset>571500</wp:posOffset>
            </wp:positionV>
            <wp:extent cx="1996440" cy="428625"/>
            <wp:effectExtent b="0" l="0" r="0" t="0"/>
            <wp:wrapTopAndBottom distB="228600" distT="228600"/>
            <wp:docPr descr="http://www.duoc.cl/normasgraficas/normasgraficas/marca-duoc/6logo-fondo-transparente/fondo-transparente.png" id="3" name="image1.png"/>
            <a:graphic>
              <a:graphicData uri="http://schemas.openxmlformats.org/drawingml/2006/picture">
                <pic:pic>
                  <pic:nvPicPr>
                    <pic:cNvPr descr="http://www.duoc.cl/normasgraficas/normasgraficas/marca-duoc/6logo-fondo-transparente/fondo-transparent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-209387</wp:posOffset>
                </wp:positionH>
                <wp:positionV relativeFrom="paragraph">
                  <wp:posOffset>781050</wp:posOffset>
                </wp:positionV>
                <wp:extent cx="6581775" cy="1406079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5725" y="3036725"/>
                          <a:ext cx="6581775" cy="1406079"/>
                          <a:chOff x="2055725" y="3036725"/>
                          <a:chExt cx="6580525" cy="1486550"/>
                        </a:xfrm>
                      </wpg:grpSpPr>
                      <wpg:grpSp>
                        <wpg:cNvGrpSpPr/>
                        <wpg:grpSpPr>
                          <a:xfrm>
                            <a:off x="2055748" y="3036733"/>
                            <a:ext cx="6580491" cy="1486535"/>
                            <a:chOff x="0" y="0"/>
                            <a:chExt cx="5903450" cy="148689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993129" y="418020"/>
                              <a:ext cx="4878600" cy="1023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8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b3a6b"/>
                                    <w:sz w:val="40"/>
                                    <w:vertAlign w:val="baseline"/>
                                  </w:rPr>
                                  <w:t xml:space="preserve">Impact Mapping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0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04040"/>
                                    <w:sz w:val="22"/>
                                    <w:vertAlign w:val="baseline"/>
                                  </w:rPr>
                                  <w:t xml:space="preserve">Verificación del alcance a partir de la Visión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40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b3a6b"/>
                                    <w:sz w:val="4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595959"/>
                                    <w:sz w:val="20"/>
                                    <w:vertAlign w:val="baseline"/>
                                  </w:rPr>
                                  <w:t xml:space="preserve">Sistema de Control y Seguimiento de Mantención de Vehículos de Emergencia de la Compañía de Bomberos de Talcahuano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-209387</wp:posOffset>
                </wp:positionH>
                <wp:positionV relativeFrom="paragraph">
                  <wp:posOffset>781050</wp:posOffset>
                </wp:positionV>
                <wp:extent cx="6581775" cy="1406079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1775" cy="14060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rFonts w:ascii="Calibri" w:cs="Calibri" w:eastAsia="Calibri" w:hAnsi="Calibri"/>
          <w:b w:val="1"/>
          <w:bCs w:val="1"/>
          <w:color w:val="1b3a6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rFonts w:ascii="Calibri" w:cs="Calibri" w:eastAsia="Calibri" w:hAnsi="Calibri"/>
          <w:b w:val="1"/>
          <w:bCs w:val="1"/>
          <w:color w:val="1b3a6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rFonts w:ascii="Calibri" w:cs="Calibri" w:eastAsia="Calibri" w:hAnsi="Calibri"/>
          <w:b w:val="1"/>
          <w:bCs w:val="1"/>
          <w:color w:val="1b3a6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left w:color="2e5fa3" w:space="6" w:sz="24" w:val="single"/>
        </w:pBdr>
        <w:spacing w:after="150" w:before="40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24"/>
          <w:szCs w:val="24"/>
          <w:rtl w:val="0"/>
        </w:rPr>
        <w:t xml:space="preserve">1. ¿Qué es un Impact Map?</w:t>
      </w:r>
      <w:r w:rsidDel="00000000" w:rsidR="00000000" w:rsidRPr="00000000">
        <w:rPr>
          <w:rtl w:val="0"/>
        </w:rPr>
      </w:r>
    </w:p>
    <w:tbl>
      <w:tblPr>
        <w:tblStyle w:val="Table1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300"/>
        <w:tblGridChange w:id="0">
          <w:tblGrid>
            <w:gridCol w:w="1500"/>
            <w:gridCol w:w="8300"/>
          </w:tblGrid>
        </w:tblGridChange>
      </w:tblGrid>
      <w:tr>
        <w:trPr>
          <w:cantSplit w:val="0"/>
          <w:tblHeader w:val="0"/>
        </w:trPr>
        <w:tc>
          <w:tcPr>
            <w:shd w:fill="2e5fa3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fa3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El objetivo de negocio que se quiere lograr. Es el 'para qué'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Los actores cuyo comportamiento se busca influenciar para alcanzar el objetivo.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El impacto o cambio de comportamiento esperado en cada actor.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Los entregables o funcionalidades concretas que el equipo construirá para lograr ese impacto.</w:t>
            </w:r>
          </w:p>
        </w:tc>
      </w:tr>
    </w:tbl>
    <w:p w:rsidR="00000000" w:rsidDel="00000000" w:rsidP="00000000" w:rsidRDefault="00000000" w:rsidRPr="00000000" w14:paraId="00000011">
      <w:pPr>
        <w:pBdr>
          <w:left w:color="2e5fa3" w:space="6" w:sz="0" w:val="none"/>
        </w:pBdr>
        <w:spacing w:after="150" w:before="400" w:lineRule="auto"/>
        <w:ind w:left="12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2e5fa3" w:space="6" w:sz="0" w:val="none"/>
        </w:pBdr>
        <w:spacing w:after="150" w:before="400" w:lineRule="auto"/>
        <w:ind w:left="12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left w:color="2e5fa3" w:space="6" w:sz="0" w:val="none"/>
        </w:pBdr>
        <w:spacing w:after="150" w:before="400" w:lineRule="auto"/>
        <w:ind w:left="12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left w:color="2e5fa3" w:space="6" w:sz="0" w:val="none"/>
        </w:pBdr>
        <w:spacing w:after="150" w:before="400" w:lineRule="auto"/>
        <w:ind w:left="12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left w:color="2e5fa3" w:space="6" w:sz="0" w:val="none"/>
        </w:pBdr>
        <w:spacing w:after="150" w:before="400" w:lineRule="auto"/>
        <w:ind w:left="120" w:firstLine="0"/>
        <w:jc w:val="center"/>
        <w:rPr>
          <w:rFonts w:ascii="Arial" w:cs="Arial" w:eastAsia="Arial" w:hAnsi="Arial"/>
          <w:b w:val="1"/>
          <w:bCs w:val="1"/>
          <w:color w:val="fffff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rtl w:val="0"/>
        </w:rPr>
        <w:t xml:space="preserve">Ratio</w:t>
      </w:r>
    </w:p>
    <w:p w:rsidR="00000000" w:rsidDel="00000000" w:rsidP="00000000" w:rsidRDefault="00000000" w:rsidRPr="00000000" w14:paraId="00000016">
      <w:pPr>
        <w:pBdr>
          <w:left w:color="2e5fa3" w:space="6" w:sz="0" w:val="none"/>
        </w:pBdr>
        <w:spacing w:after="150" w:before="400" w:lineRule="auto"/>
        <w:ind w:left="12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left w:color="2e5fa3" w:space="6" w:sz="0" w:val="none"/>
        </w:pBdr>
        <w:spacing w:after="150" w:before="400" w:lineRule="auto"/>
        <w:ind w:left="12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left w:color="2e5fa3" w:space="6" w:sz="0" w:val="none"/>
        </w:pBdr>
        <w:spacing w:after="150" w:before="400" w:lineRule="auto"/>
        <w:ind w:left="12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left w:color="2e5fa3" w:space="6" w:sz="0" w:val="none"/>
        </w:pBdr>
        <w:spacing w:after="150" w:before="400" w:lineRule="auto"/>
        <w:ind w:left="12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left w:color="2e5fa3" w:space="6" w:sz="0" w:val="none"/>
        </w:pBdr>
        <w:spacing w:after="150" w:before="400" w:lineRule="auto"/>
        <w:ind w:left="12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2e5fa3" w:space="6" w:sz="0" w:val="none"/>
        </w:pBdr>
        <w:spacing w:after="150" w:before="400" w:lineRule="auto"/>
        <w:ind w:left="12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left w:color="2e5fa3" w:space="6" w:sz="0" w:val="none"/>
        </w:pBdr>
        <w:spacing w:after="150" w:before="400" w:lineRule="auto"/>
        <w:ind w:left="12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left w:color="2e5fa3" w:space="6" w:sz="0" w:val="none"/>
        </w:pBdr>
        <w:spacing w:after="150" w:before="400" w:lineRule="auto"/>
        <w:ind w:left="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left w:color="2e5fa3" w:space="6" w:sz="24" w:val="single"/>
        </w:pBdr>
        <w:spacing w:after="150" w:before="40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24"/>
          <w:szCs w:val="24"/>
          <w:rtl w:val="0"/>
        </w:rPr>
        <w:t xml:space="preserve">2. 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63000" cy="2984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30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63000" cy="2552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30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left w:color="2e5fa3" w:space="6" w:sz="24" w:val="single"/>
        </w:pBdr>
        <w:spacing w:after="150" w:before="40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24"/>
          <w:szCs w:val="24"/>
          <w:rtl w:val="0"/>
        </w:rPr>
        <w:t xml:space="preserve">3. Observaciones y Priorización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Impact Map se construye a partir de los actores identificados en el Mapa de Actores y de los objetivos definidos en la Visión del Proyecto. Su propósito es verificar que las funcionalidades propuestas respondan a una necesidad concreta y aporten al objetivo principal del proyecto.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Prioridad alta — Alcance principal del MVP: Las ramas correspondientes a Bombero / Conductor y Encargado de Mantención se consideran prioritarias, debido a que representan las interacciones directamente relacionadas con la consulta del estado y disponibilidad de los vehículos y con la gestión de sus mantenciones preventivas y reactivas.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Prioridad alta — Gestión y supervisión: Las ramas de Comandancia / Oficial a Cargo, Administrador del Sistema y Central de Emergencias / Despacho serán consideradas dentro del análisis del MVP, priorizando aquellas funcionalidades necesarias para consultar información, administrar los datos y apoyar la operación.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Prioridad futura: La interacción con Proveedores / Talleres Externos se considera inicialmente fuera del alcance del MVP y podrá ser evaluada como una integración futura, dependiendo de las necesidades identificadas durante el levantamiento.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priorización definitiva de las funcionalidades y su distribución en los Sprints será realizada posteriormente mediante la construcción y priorización del Product Backlog, considerando valor para el usuario, dependencia entre funcionalidades, esfuerzo y alcance disponible.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30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actores, impactos y funcionalidades identificados deberán ser validados durante el levantamiento con la Compañía de Bomberos de Talcahuano antes de considerarlos definitivos.</w:t>
      </w:r>
    </w:p>
    <w:p w:rsidR="00000000" w:rsidDel="00000000" w:rsidP="00000000" w:rsidRDefault="00000000" w:rsidRPr="00000000" w14:paraId="00000029">
      <w:pPr>
        <w:spacing w:after="3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900" w:top="9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L+NQiMt6DSxVrm5kk4Oud8Xdnw==">CgMxLjA4AHIhMWV4ZjVXZkc3MFNiWHNwU0dSbF8zcF80dnpfcU5CUmJs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2026-08-19T06:21:38.271Z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