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b w:val="1"/>
          <w:bCs w:val="1"/>
          <w:color w:val="2e5fa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a3"/>
          <w:sz w:val="28"/>
          <w:szCs w:val="2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996440" cy="428625"/>
            <wp:effectExtent b="0" l="0" r="0" t="0"/>
            <wp:wrapTopAndBottom distB="0" distT="0"/>
            <wp:docPr descr="http://www.duoc.cl/normasgraficas/normasgraficas/marca-duoc/6logo-fondo-transparente/fondo-transparente.png" id="3" name="image1.png"/>
            <a:graphic>
              <a:graphicData uri="http://schemas.openxmlformats.org/drawingml/2006/picture">
                <pic:pic>
                  <pic:nvPicPr>
                    <pic:cNvPr descr="http://www.duoc.cl/normasgraficas/normasgraficas/marca-duoc/6logo-fondo-transparente/fondo-transparent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b w:val="1"/>
          <w:bCs w:val="1"/>
          <w:color w:val="2e5fa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-209387</wp:posOffset>
                </wp:positionH>
                <wp:positionV relativeFrom="paragraph">
                  <wp:posOffset>3163</wp:posOffset>
                </wp:positionV>
                <wp:extent cx="6581775" cy="145165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1775" cy="1451657"/>
                          <a:chOff x="2055725" y="3036725"/>
                          <a:chExt cx="6580525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491" cy="1486535"/>
                            <a:chOff x="0" y="0"/>
                            <a:chExt cx="5903450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93129" y="418020"/>
                              <a:ext cx="4878600" cy="102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8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b3a6b"/>
                                    <w:sz w:val="40"/>
                                    <w:vertAlign w:val="baseline"/>
                                  </w:rPr>
                                  <w:t xml:space="preserve">Visión del Proyecto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04040"/>
                                    <w:sz w:val="22"/>
                                    <w:vertAlign w:val="baseline"/>
                                  </w:rPr>
                                  <w:t xml:space="preserve">Declaración de visión y sus cuatro pilares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4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b3a6b"/>
                                    <w:sz w:val="4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595959"/>
                                    <w:sz w:val="20"/>
                                    <w:vertAlign w:val="baseline"/>
                                  </w:rPr>
                                  <w:t xml:space="preserve">Sistema de Control y Seguimiento de Mantención de Vehículos de Emergencia de la Compañía de Bomberos de Talcahuano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-209387</wp:posOffset>
                </wp:positionH>
                <wp:positionV relativeFrom="paragraph">
                  <wp:posOffset>3163</wp:posOffset>
                </wp:positionV>
                <wp:extent cx="6581775" cy="145165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1775" cy="1451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1. Vision Box (Elevator Pitch)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00"/>
        <w:tblGridChange w:id="0">
          <w:tblGrid>
            <w:gridCol w:w="26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2e5fa3" w:val="clear"/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de la Compañía de Bomberos de Talcahuano, incluyendo bomberos/conductores, encargados de mantención, comandancia y administradores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5fa3" w:val="clear"/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Necesita acceder de manera oportuna, clara y confiable a información sobre el estado, disponibilidad e historial de mantención de sus vehículos de emergencia.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5fa3" w:val="clear"/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Control y Seguimiento de Mantención de Vehículos de Emergencia.</w:t>
            </w:r>
          </w:p>
        </w:tc>
      </w:tr>
      <w:tr>
        <w:trPr>
          <w:cantSplit w:val="0"/>
          <w:tblHeader w:val="0"/>
        </w:trPr>
        <w:tc>
          <w:tcPr>
            <w:shd w:fill="2e5fa3" w:val="clear"/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 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Solución tecnológica web y móvil para la gestión y seguimiento de vehículos de emergencia y sus procesos de mantención.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5fa3" w:val="clear"/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Permite reducir los tiempos asociados a la búsqueda de información, mejorar el control de las mantenciones y optimizar los recursos destinados a los vehículos de emergencia.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5fa3" w:val="clear"/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DIFERENCIA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mecanismos actuales de registro y consulta de información sobre los vehículos y sus mantenciones.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5fa3" w:val="clear"/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NUESTRO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Centraliza la información de los vehículos y sus mantenciones, facilitando su consulta, seguimiento y actualización, junto con el control de las tareas de mantenimiento y sus recursos asociados.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2. Declaración de la Visión — 4 Pilares</w:t>
      </w:r>
      <w:r w:rsidDel="00000000" w:rsidR="00000000" w:rsidRPr="00000000">
        <w:rPr>
          <w:rtl w:val="0"/>
        </w:rPr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100"/>
        <w:tblGridChange w:id="0">
          <w:tblGrid>
            <w:gridCol w:w="700"/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1b3a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8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rtl w:val="0"/>
              </w:rPr>
              <w:t xml:space="preserve">Pilar de Usuario /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07070"/>
                <w:rtl w:val="0"/>
              </w:rPr>
              <w:t xml:space="preserve">¿Para quién es el producto?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Personal de la Compañía de Bomberos de Talcahuano: bomberos/conductores, encargados de mantención (mecánicos), comandancia/oficiales a cargo y el administrador del sistema. </w:t>
            </w:r>
          </w:p>
        </w:tc>
      </w:tr>
    </w:tbl>
    <w:p w:rsidR="00000000" w:rsidDel="00000000" w:rsidP="00000000" w:rsidRDefault="00000000" w:rsidRPr="00000000" w14:paraId="00000025">
      <w:pPr>
        <w:spacing w:after="15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100"/>
        <w:tblGridChange w:id="0">
          <w:tblGrid>
            <w:gridCol w:w="700"/>
            <w:gridCol w:w="9100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shd w:fill="1b3a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8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rtl w:val="0"/>
              </w:rPr>
              <w:t xml:space="preserve">Pilar de Necesidad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07070"/>
                <w:rtl w:val="0"/>
              </w:rPr>
              <w:t xml:space="preserve">¿Qué problema o necesidad resuelve?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Necesidad de contar con información clara, centralizada y oportuna sobre el estado, disponibilidad e historial de las mantenciones preventivas y reactivas de los vehículos de emergencia, facilitando la consulta de información relevante antes de su utilización y despacho. </w:t>
            </w:r>
          </w:p>
        </w:tc>
      </w:tr>
    </w:tbl>
    <w:p w:rsidR="00000000" w:rsidDel="00000000" w:rsidP="00000000" w:rsidRDefault="00000000" w:rsidRPr="00000000" w14:paraId="0000002A">
      <w:pPr>
        <w:spacing w:after="15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228600" distT="228600" distL="228600" distR="22860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996440" cy="428625"/>
            <wp:effectExtent b="0" l="0" r="0" t="0"/>
            <wp:wrapTopAndBottom distB="228600" distT="228600"/>
            <wp:docPr descr="http://www.duoc.cl/normasgraficas/normasgraficas/marca-duoc/6logo-fondo-transparente/fondo-transparente.png" id="2" name="image1.png"/>
            <a:graphic>
              <a:graphicData uri="http://schemas.openxmlformats.org/drawingml/2006/picture">
                <pic:pic>
                  <pic:nvPicPr>
                    <pic:cNvPr descr="http://www.duoc.cl/normasgraficas/normasgraficas/marca-duoc/6logo-fondo-transparente/fondo-transparent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100"/>
        <w:tblGridChange w:id="0">
          <w:tblGrid>
            <w:gridCol w:w="700"/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1b3a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8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rtl w:val="0"/>
              </w:rPr>
              <w:t xml:space="preserve">Pilar de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07070"/>
                <w:rtl w:val="0"/>
              </w:rPr>
              <w:t xml:space="preserve">¿Qué es el producto y qué hace?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Solución web y móvil que centraliza el registro, consulta y seguimiento del estado y disponibilidad de los vehículos y de sus procesos de mantención preventiva y reactiva, incluyendo información asociada a materiales, insumos, mano de obra y costos. </w:t>
            </w:r>
          </w:p>
        </w:tc>
      </w:tr>
    </w:tbl>
    <w:p w:rsidR="00000000" w:rsidDel="00000000" w:rsidP="00000000" w:rsidRDefault="00000000" w:rsidRPr="00000000" w14:paraId="0000002F">
      <w:pPr>
        <w:spacing w:after="15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100"/>
        <w:tblGridChange w:id="0">
          <w:tblGrid>
            <w:gridCol w:w="700"/>
            <w:gridCol w:w="9100"/>
          </w:tblGrid>
        </w:tblGridChange>
      </w:tblGrid>
      <w:tr>
        <w:trPr>
          <w:cantSplit w:val="0"/>
          <w:tblHeader w:val="0"/>
        </w:trPr>
        <w:tc>
          <w:tcPr>
            <w:shd w:fill="1b3a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20.0" w:type="dxa"/>
              <w:left w:w="18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rtl w:val="0"/>
              </w:rPr>
              <w:t xml:space="preserve">Pilar de Valor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lineRule="auto"/>
              <w:rPr>
                <w:rFonts w:ascii="Calibri" w:cs="Calibri" w:eastAsia="Calibri" w:hAnsi="Calibri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07070"/>
                <w:rtl w:val="0"/>
              </w:rPr>
              <w:t xml:space="preserve">¿Qué valor o impacto genera?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Mejora el acceso y disponibilidad de información para la gestión de los vehículos, facilita el control de los gastos y procesos de mantención y contribuye a mejorar la eficiencia operativa de la compañía. </w:t>
            </w:r>
          </w:p>
        </w:tc>
      </w:tr>
    </w:tbl>
    <w:p w:rsidR="00000000" w:rsidDel="00000000" w:rsidP="00000000" w:rsidRDefault="00000000" w:rsidRPr="00000000" w14:paraId="00000034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3. Declaración de Visión Consolidada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una solución tecnológica web y móvil para la Compañía de Bomberos de Talcahuano que permita centralizar y gestionar de manera clara, oportuna y confiable la información sobre el estado, disponibilidad y mantención de sus vehículos de emergencia, facilitando el seguimiento de sus procesos, el control de recursos y la toma de decisiones operativas.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oQK8lmID6yV3QCB5wmsvsWanA==">CgMxLjA4AHIhMVZacnBWcXVsOGZmNWlrcC1FQWt2bUlXVXhKT2xkN2pt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2026-08-19T04:45:45.838Z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