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603C4" w14:textId="77777777" w:rsidR="002F0F52" w:rsidRPr="00FE6711" w:rsidRDefault="002F0F52" w:rsidP="00FE6711">
      <w:pPr>
        <w:pStyle w:val="Heading1"/>
        <w:jc w:val="center"/>
        <w:rPr>
          <w:rStyle w:val="Emphasis"/>
          <w:rFonts w:ascii="Roboto Bk" w:hAnsi="Roboto Bk"/>
          <w:b w:val="0"/>
          <w:iCs w:val="0"/>
          <w:color w:val="00843A"/>
        </w:rPr>
      </w:pPr>
      <w:r w:rsidRPr="00FE6711">
        <w:rPr>
          <w:rStyle w:val="Emphasis"/>
          <w:rFonts w:ascii="Roboto Bk" w:hAnsi="Roboto Bk"/>
          <w:b w:val="0"/>
          <w:iCs w:val="0"/>
          <w:color w:val="00843A"/>
        </w:rPr>
        <w:t>Green Deal Data Observatory</w:t>
      </w:r>
    </w:p>
    <w:p w14:paraId="25B892A0" w14:textId="77777777" w:rsidR="002F0F52" w:rsidRDefault="002F0F52" w:rsidP="00B03CD2">
      <w:pPr>
        <w:rPr>
          <w:rStyle w:val="Emphasis"/>
        </w:rPr>
      </w:pPr>
    </w:p>
    <w:p w14:paraId="386E6206" w14:textId="331AC9B2" w:rsidR="00731BEB" w:rsidRPr="00604725" w:rsidRDefault="00731BEB" w:rsidP="00B03CD2">
      <w:pPr>
        <w:rPr>
          <w:rStyle w:val="Emphasis"/>
        </w:rPr>
      </w:pPr>
      <w:r w:rsidRPr="00604725">
        <w:rPr>
          <w:rStyle w:val="Emphasis"/>
        </w:rPr>
        <w:t>Finding reliable historic and new data and information about climate change, as well as the impact of various European Green Deal policies that try to mitigate it is surprisingly hard to find if you are a scientific researcher. And it is even more hopeless if you work as a (data) journalist, a policy researcher in an NGO, or if you are responsible for the corporate social responsibility disclosures of a company that does not provide you with an army of (geo)statisticians, data engineers, and data scientists who can render various data into usable format, i.e. something that you can trust, quote, visualize, import, or copy &amp; paste.</w:t>
      </w:r>
    </w:p>
    <w:p w14:paraId="309ACAC9" w14:textId="35BAE779" w:rsidR="00892D78" w:rsidRDefault="00731BEB" w:rsidP="00892D78">
      <w:pPr>
        <w:rPr>
          <w:lang w:val="nl-NL"/>
        </w:rPr>
      </w:pPr>
      <w:r>
        <w:t>With the help of modern data science, and the new open data and open science regulations of the EU, we started to build solutions for these problems. We would like to find partners to build up a Green Deal Data Observatory that serves the needs of all stakeholders of the European Green Deal with far more practical information and data solutions than the Commissions</w:t>
      </w:r>
      <w:r>
        <w:rPr>
          <w:lang w:val="nl-NL"/>
        </w:rPr>
        <w:t>’ Taxonomy Compass.</w:t>
      </w:r>
    </w:p>
    <w:p w14:paraId="27992C0C" w14:textId="5219533A" w:rsidR="00731BEB" w:rsidRDefault="00B41BBE" w:rsidP="00892D78">
      <w:pPr>
        <w:jc w:val="center"/>
        <w:rPr>
          <w:lang w:val="nl-NL"/>
        </w:rPr>
      </w:pPr>
      <w:r>
        <w:rPr>
          <w:noProof/>
          <w:lang w:val="nl-NL"/>
        </w:rPr>
        <w:drawing>
          <wp:inline distT="0" distB="0" distL="0" distR="0" wp14:anchorId="06760BB4" wp14:editId="12312276">
            <wp:extent cx="5943600" cy="2741159"/>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9971" cy="2753321"/>
                    </a:xfrm>
                    <a:prstGeom prst="rect">
                      <a:avLst/>
                    </a:prstGeom>
                  </pic:spPr>
                </pic:pic>
              </a:graphicData>
            </a:graphic>
          </wp:inline>
        </w:drawing>
      </w:r>
    </w:p>
    <w:p w14:paraId="0095A8E1" w14:textId="77777777" w:rsidR="00172669" w:rsidRDefault="00BD6A35">
      <w:pPr>
        <w:rPr>
          <w:lang w:val="nl-NL"/>
        </w:rPr>
      </w:pPr>
      <w:r>
        <w:rPr>
          <w:lang w:val="nl-NL"/>
        </w:rPr>
        <w:t>Our aim is to provide a more comprehensive, more timely, and scientifically better validated data service than Eurostat’s intergovernmatal servic</w:t>
      </w:r>
      <w:r>
        <w:rPr>
          <w:lang w:val="nl-NL"/>
        </w:rPr>
        <w:t xml:space="preserve">e, because </w:t>
      </w:r>
      <w:r w:rsidR="00700823">
        <w:rPr>
          <w:lang w:val="nl-NL"/>
        </w:rPr>
        <w:t xml:space="preserve">putting the European Grean Deal into practice requires better data products, more user-friendly service, and </w:t>
      </w:r>
      <w:r w:rsidR="00892D78">
        <w:rPr>
          <w:lang w:val="nl-NL"/>
        </w:rPr>
        <w:t xml:space="preserve">quicker response. </w:t>
      </w:r>
      <w:r w:rsidR="00084B13">
        <w:rPr>
          <w:lang w:val="nl-NL"/>
        </w:rPr>
        <w:t>Our data observatory is based on open-source, peer-reviewed, scientific statistical software and open data</w:t>
      </w:r>
      <w:r w:rsidR="00892D78">
        <w:rPr>
          <w:lang w:val="nl-NL"/>
        </w:rPr>
        <w:t xml:space="preserve">, and we aim to provide a far better value-for-money for co-founders than any of the </w:t>
      </w:r>
      <w:r w:rsidR="00172669">
        <w:rPr>
          <w:lang w:val="nl-NL"/>
        </w:rPr>
        <w:t>60 obervatories recognized by the EU, OECD or UNESCO</w:t>
      </w:r>
      <w:r w:rsidR="00084B13">
        <w:rPr>
          <w:lang w:val="nl-NL"/>
        </w:rPr>
        <w:t>.</w:t>
      </w:r>
      <w:r w:rsidR="00172669">
        <w:rPr>
          <w:lang w:val="nl-NL"/>
        </w:rPr>
        <w:t xml:space="preserve"> </w:t>
      </w:r>
    </w:p>
    <w:p w14:paraId="567A097D" w14:textId="0138880F" w:rsidR="00B41BBE" w:rsidRPr="00C82295" w:rsidRDefault="00375754">
      <w:pPr>
        <w:rPr>
          <w:i/>
          <w:iCs/>
          <w:shd w:val="clear" w:color="auto" w:fill="FFFFFF"/>
        </w:rPr>
      </w:pPr>
      <w:r w:rsidRPr="00C82295">
        <w:rPr>
          <w:i/>
          <w:iCs/>
          <w:lang w:val="nl-NL"/>
        </w:rPr>
        <w:t>Following the best practice</w:t>
      </w:r>
      <w:r w:rsidR="00C82295" w:rsidRPr="00C82295">
        <w:rPr>
          <w:i/>
          <w:iCs/>
          <w:lang w:val="nl-NL"/>
        </w:rPr>
        <w:t>s</w:t>
      </w:r>
      <w:r w:rsidRPr="00C82295">
        <w:rPr>
          <w:i/>
          <w:iCs/>
          <w:lang w:val="nl-NL"/>
        </w:rPr>
        <w:t xml:space="preserve"> on openness </w:t>
      </w:r>
      <w:r w:rsidR="00C82295" w:rsidRPr="00C82295">
        <w:rPr>
          <w:i/>
          <w:iCs/>
          <w:lang w:val="nl-NL"/>
        </w:rPr>
        <w:t xml:space="preserve">to make our impact the best </w:t>
      </w:r>
      <w:r w:rsidRPr="00C82295">
        <w:rPr>
          <w:i/>
          <w:iCs/>
          <w:lang w:val="nl-NL"/>
        </w:rPr>
        <w:t xml:space="preserve">requires </w:t>
      </w:r>
      <w:r w:rsidR="00C82295" w:rsidRPr="00C82295">
        <w:rPr>
          <w:i/>
          <w:iCs/>
          <w:lang w:val="nl-NL"/>
        </w:rPr>
        <w:t xml:space="preserve">strong partners and </w:t>
      </w:r>
      <w:r w:rsidRPr="00C82295">
        <w:rPr>
          <w:i/>
          <w:iCs/>
          <w:lang w:val="nl-NL"/>
        </w:rPr>
        <w:t xml:space="preserve">a sustainable funding.  We are looking for organizations that </w:t>
      </w:r>
      <w:r w:rsidR="009E403A" w:rsidRPr="00C82295">
        <w:rPr>
          <w:i/>
          <w:iCs/>
          <w:lang w:val="nl-NL"/>
        </w:rPr>
        <w:t>would like to curate and develop this data service for the best policy and scientific impact</w:t>
      </w:r>
      <w:r w:rsidR="005C7151" w:rsidRPr="00C82295">
        <w:rPr>
          <w:i/>
          <w:iCs/>
          <w:lang w:val="nl-NL"/>
        </w:rPr>
        <w:t xml:space="preserve">, and would integrate the Green Deal Data Observatory and its data into their service offering. </w:t>
      </w:r>
      <w:r w:rsidR="00B41BBE" w:rsidRPr="00C82295">
        <w:rPr>
          <w:i/>
          <w:iCs/>
          <w:shd w:val="clear" w:color="auto" w:fill="FFFFFF"/>
        </w:rPr>
        <w:br w:type="page"/>
      </w:r>
    </w:p>
    <w:p w14:paraId="084F4041" w14:textId="7DCA83E2" w:rsidR="00B41BBE" w:rsidRDefault="00B41BBE" w:rsidP="00B41BBE">
      <w:pPr>
        <w:pStyle w:val="Heading2"/>
        <w:rPr>
          <w:shd w:val="clear" w:color="auto" w:fill="FFFFFF"/>
        </w:rPr>
      </w:pPr>
      <w:r>
        <w:rPr>
          <w:shd w:val="clear" w:color="auto" w:fill="FFFFFF"/>
        </w:rPr>
        <w:lastRenderedPageBreak/>
        <w:t xml:space="preserve">Bigger Better Faster More Data </w:t>
      </w:r>
    </w:p>
    <w:p w14:paraId="2445D47D" w14:textId="62778172" w:rsidR="00731BEB" w:rsidRPr="00604725" w:rsidRDefault="00B41BBE" w:rsidP="00B03CD2">
      <w:pPr>
        <w:rPr>
          <w:szCs w:val="24"/>
          <w:shd w:val="clear" w:color="auto" w:fill="FFFFFF"/>
        </w:rPr>
      </w:pPr>
      <w:r>
        <w:rPr>
          <w:b/>
          <w:iCs/>
          <w:noProof/>
        </w:rPr>
        <w:drawing>
          <wp:anchor distT="0" distB="0" distL="114300" distR="114300" simplePos="0" relativeHeight="251658240" behindDoc="1" locked="0" layoutInCell="1" allowOverlap="1" wp14:anchorId="1DADDDA4" wp14:editId="356F0401">
            <wp:simplePos x="0" y="0"/>
            <wp:positionH relativeFrom="column">
              <wp:posOffset>-4445</wp:posOffset>
            </wp:positionH>
            <wp:positionV relativeFrom="page">
              <wp:posOffset>1257300</wp:posOffset>
            </wp:positionV>
            <wp:extent cx="2160000" cy="1713600"/>
            <wp:effectExtent l="0" t="0" r="0" b="1270"/>
            <wp:wrapTight wrapText="bothSides">
              <wp:wrapPolygon edited="0">
                <wp:start x="0" y="0"/>
                <wp:lineTo x="0" y="21376"/>
                <wp:lineTo x="21340" y="21376"/>
                <wp:lineTo x="21340" y="0"/>
                <wp:lineTo x="0" y="0"/>
              </wp:wrapPolygon>
            </wp:wrapTight>
            <wp:docPr id="3" name="Picture 3" descr="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160000" cy="1713600"/>
                    </a:xfrm>
                    <a:prstGeom prst="rect">
                      <a:avLst/>
                    </a:prstGeom>
                  </pic:spPr>
                </pic:pic>
              </a:graphicData>
            </a:graphic>
            <wp14:sizeRelH relativeFrom="margin">
              <wp14:pctWidth>0</wp14:pctWidth>
            </wp14:sizeRelH>
            <wp14:sizeRelV relativeFrom="margin">
              <wp14:pctHeight>0</wp14:pctHeight>
            </wp14:sizeRelV>
          </wp:anchor>
        </w:drawing>
      </w:r>
      <w:r w:rsidR="00731BEB" w:rsidRPr="00B41BBE">
        <w:rPr>
          <w:rStyle w:val="Emphasis"/>
        </w:rPr>
        <w:t>Novel data products</w:t>
      </w:r>
      <w:r w:rsidR="00731BEB">
        <w:rPr>
          <w:shd w:val="clear" w:color="auto" w:fill="FFFFFF"/>
        </w:rPr>
        <w:t xml:space="preserve">: Official statistics at the national and European levels follow legal regulations, and in the EU, compromises between member states, which means that they create new products with 5 years’ delay after a problem arises. Not tied to these official procedures, but using the very same data and methodology, and different but equally thorough data quality procedures, we can produce indicators almost immediately.  We only need a short validation period when you can make sure that you and all users are happy with the information content, coverage, </w:t>
      </w:r>
      <w:r w:rsidR="00731BEB">
        <w:rPr>
          <w:shd w:val="clear" w:color="auto" w:fill="FFFFFF"/>
        </w:rPr>
        <w:t>timeliness,</w:t>
      </w:r>
      <w:r w:rsidR="00731BEB">
        <w:rPr>
          <w:shd w:val="clear" w:color="auto" w:fill="FFFFFF"/>
        </w:rPr>
        <w:t xml:space="preserve"> and data quality of our releases. See our example </w:t>
      </w:r>
      <w:hyperlink r:id="rId9" w:history="1">
        <w:r w:rsidR="00731BEB" w:rsidRPr="00604725">
          <w:rPr>
            <w:rStyle w:val="Hyperlink"/>
            <w:rFonts w:cs="Arial"/>
            <w:color w:val="1565C0"/>
            <w:szCs w:val="24"/>
            <w:shd w:val="clear" w:color="auto" w:fill="FFFFFF"/>
          </w:rPr>
          <w:t>100,000 Opinions on the Most Pressing Global Problem</w:t>
        </w:r>
      </w:hyperlink>
      <w:r w:rsidR="00731BEB" w:rsidRPr="00604725">
        <w:rPr>
          <w:szCs w:val="24"/>
          <w:shd w:val="clear" w:color="auto" w:fill="FFFFFF"/>
        </w:rPr>
        <w:t>.</w:t>
      </w:r>
    </w:p>
    <w:p w14:paraId="1D103F12" w14:textId="560BFE17" w:rsidR="00731BEB" w:rsidRPr="00604725" w:rsidRDefault="00731BEB" w:rsidP="00B03CD2">
      <w:pPr>
        <w:rPr>
          <w:szCs w:val="24"/>
          <w:lang w:val="en-US"/>
        </w:rPr>
      </w:pPr>
      <w:r w:rsidRPr="00B41BBE">
        <w:rPr>
          <w:rStyle w:val="Emphasis"/>
        </w:rPr>
        <w:t>Better data</w:t>
      </w:r>
      <w:r>
        <w:rPr>
          <w:shd w:val="clear" w:color="auto" w:fill="FFFFFF"/>
        </w:rPr>
        <w:t xml:space="preserve">: Statistical agencies, old fashioned observatories, and data providers often do not have the mandate, know-how or resources to improve data quality. Using peer-reviewed statistical software and hundreds of computational tests, we </w:t>
      </w:r>
      <w:r w:rsidR="00604725">
        <w:rPr>
          <w:shd w:val="clear" w:color="auto" w:fill="FFFFFF"/>
        </w:rPr>
        <w:t>can</w:t>
      </w:r>
      <w:r>
        <w:rPr>
          <w:shd w:val="clear" w:color="auto" w:fill="FFFFFF"/>
        </w:rPr>
        <w:t xml:space="preserve"> correct mistakes, impute missing data, </w:t>
      </w:r>
      <w:r w:rsidR="00B03CD2">
        <w:rPr>
          <w:shd w:val="clear" w:color="auto" w:fill="FFFFFF"/>
        </w:rPr>
        <w:t>generate forecasts</w:t>
      </w:r>
      <w:r>
        <w:rPr>
          <w:shd w:val="clear" w:color="auto" w:fill="FFFFFF"/>
        </w:rPr>
        <w:t xml:space="preserve">, and increase the information content of public data by 20-200% percent. This makes the data usable for NGOs, journalists, and visual artists—among other potential users—who do not have this statistical know-how to make incomplete, </w:t>
      </w:r>
      <w:r w:rsidR="00B03CD2">
        <w:rPr>
          <w:shd w:val="clear" w:color="auto" w:fill="FFFFFF"/>
        </w:rPr>
        <w:t>mislabelled,</w:t>
      </w:r>
      <w:r>
        <w:rPr>
          <w:shd w:val="clear" w:color="auto" w:fill="FFFFFF"/>
        </w:rPr>
        <w:t xml:space="preserve"> or </w:t>
      </w:r>
      <w:r>
        <w:rPr>
          <w:shd w:val="clear" w:color="auto" w:fill="FFFFFF"/>
        </w:rPr>
        <w:t>low-quality</w:t>
      </w:r>
      <w:r>
        <w:rPr>
          <w:shd w:val="clear" w:color="auto" w:fill="FFFFFF"/>
        </w:rPr>
        <w:t xml:space="preserve"> data usable for their needs and applications. See our example with the indicator </w:t>
      </w:r>
      <w:hyperlink r:id="rId10" w:history="1">
        <w:r w:rsidRPr="00604725">
          <w:rPr>
            <w:rStyle w:val="Hyperlink"/>
            <w:rFonts w:cs="Arial"/>
            <w:color w:val="1565C0"/>
            <w:szCs w:val="24"/>
            <w:shd w:val="clear" w:color="auto" w:fill="FFFFFF"/>
          </w:rPr>
          <w:t>Government Budget Allocations for R&amp;D in Environment</w:t>
        </w:r>
      </w:hyperlink>
    </w:p>
    <w:p w14:paraId="4F2F60D4" w14:textId="5F216418" w:rsidR="00F57535" w:rsidRDefault="00F57535" w:rsidP="00B03CD2">
      <w:pPr>
        <w:rPr>
          <w:shd w:val="clear" w:color="auto" w:fill="F9F9F9"/>
        </w:rPr>
      </w:pPr>
      <w:r>
        <w:rPr>
          <w:rFonts w:ascii="Roboto Bk" w:hAnsi="Roboto Bk" w:cs="Times New Roman"/>
          <w:b/>
          <w:bCs/>
          <w:noProof/>
          <w:szCs w:val="36"/>
          <w:lang w:val="en-US"/>
        </w:rPr>
        <w:drawing>
          <wp:anchor distT="0" distB="0" distL="114300" distR="114300" simplePos="0" relativeHeight="251658240" behindDoc="1" locked="0" layoutInCell="1" allowOverlap="1" wp14:anchorId="15ABD9CC" wp14:editId="69B00223">
            <wp:simplePos x="0" y="0"/>
            <wp:positionH relativeFrom="column">
              <wp:posOffset>-4445</wp:posOffset>
            </wp:positionH>
            <wp:positionV relativeFrom="paragraph">
              <wp:posOffset>0</wp:posOffset>
            </wp:positionV>
            <wp:extent cx="2160000" cy="1440000"/>
            <wp:effectExtent l="0" t="0" r="0" b="8255"/>
            <wp:wrapTight wrapText="bothSides">
              <wp:wrapPolygon edited="0">
                <wp:start x="0" y="0"/>
                <wp:lineTo x="0" y="21438"/>
                <wp:lineTo x="21340" y="21438"/>
                <wp:lineTo x="21340" y="0"/>
                <wp:lineTo x="0" y="0"/>
              </wp:wrapPolygon>
            </wp:wrapTight>
            <wp:docPr id="5" name="Picture 5" descr="A person holding a bucket of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holding a bucket of wate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14:sizeRelH relativeFrom="page">
              <wp14:pctWidth>0</wp14:pctWidth>
            </wp14:sizeRelH>
            <wp14:sizeRelV relativeFrom="page">
              <wp14:pctHeight>0</wp14:pctHeight>
            </wp14:sizeRelV>
          </wp:anchor>
        </w:drawing>
      </w:r>
      <w:r w:rsidR="00731BEB" w:rsidRPr="00F57535">
        <w:rPr>
          <w:rStyle w:val="Heading2Char"/>
          <w:rFonts w:eastAsiaTheme="minorHAnsi"/>
          <w:lang w:val="en-US"/>
        </w:rPr>
        <w:t>Never seen data</w:t>
      </w:r>
      <w:r w:rsidR="00731BEB" w:rsidRPr="00604725">
        <w:rPr>
          <w:lang w:val="en-US"/>
        </w:rPr>
        <w:t>: The</w:t>
      </w:r>
      <w:r w:rsidR="00731BEB">
        <w:rPr>
          <w:shd w:val="clear" w:color="auto" w:fill="F9F9F9"/>
        </w:rPr>
        <w:t xml:space="preserve"> </w:t>
      </w:r>
      <w:hyperlink r:id="rId12" w:history="1">
        <w:r w:rsidR="00731BEB" w:rsidRPr="00604725">
          <w:rPr>
            <w:rStyle w:val="Hyperlink"/>
            <w:color w:val="1565C0"/>
            <w:szCs w:val="24"/>
            <w:shd w:val="clear" w:color="auto" w:fill="FFFFFF"/>
          </w:rPr>
          <w:t>2019/1024 directive</w:t>
        </w:r>
      </w:hyperlink>
      <w:r w:rsidR="00731BEB">
        <w:rPr>
          <w:shd w:val="clear" w:color="auto" w:fill="F9F9F9"/>
        </w:rPr>
        <w:t xml:space="preserve"> </w:t>
      </w:r>
      <w:r w:rsidR="00731BEB" w:rsidRPr="00604725">
        <w:rPr>
          <w:lang w:val="en-US"/>
        </w:rPr>
        <w:t>on open data and the re-use of public sector information of the European Union (which is an extension and modernization of the earlier directives on re-use of public sector information since 2003) makes data gathered in EU institutions, national institutions, and municipalities, as well as state-owned companies legally available. According to the</w:t>
      </w:r>
      <w:r w:rsidR="00731BEB">
        <w:rPr>
          <w:shd w:val="clear" w:color="auto" w:fill="F9F9F9"/>
        </w:rPr>
        <w:t xml:space="preserve"> </w:t>
      </w:r>
      <w:hyperlink r:id="rId13" w:history="1">
        <w:r w:rsidR="00731BEB" w:rsidRPr="00604725">
          <w:rPr>
            <w:rStyle w:val="Hyperlink"/>
            <w:color w:val="1565C0"/>
            <w:szCs w:val="24"/>
            <w:shd w:val="clear" w:color="auto" w:fill="FFFFFF"/>
          </w:rPr>
          <w:t>European Data Portal</w:t>
        </w:r>
      </w:hyperlink>
      <w:r w:rsidR="00731BEB">
        <w:rPr>
          <w:shd w:val="clear" w:color="auto" w:fill="F9F9F9"/>
        </w:rPr>
        <w:t xml:space="preserve"> the estimated </w:t>
      </w:r>
      <w:r w:rsidR="00731BEB" w:rsidRPr="00604725">
        <w:rPr>
          <w:lang w:val="en-US"/>
        </w:rPr>
        <w:t xml:space="preserve">historical cost of the data released annually is in the billions of euros. But if this data is a gold mine, its full potential can only be unlocked by an experienced data mining partner like </w:t>
      </w:r>
      <w:proofErr w:type="spellStart"/>
      <w:r w:rsidR="00731BEB" w:rsidRPr="00604725">
        <w:rPr>
          <w:lang w:val="en-US"/>
        </w:rPr>
        <w:t>Reprex</w:t>
      </w:r>
      <w:proofErr w:type="spellEnd"/>
      <w:r w:rsidR="00731BEB" w:rsidRPr="00604725">
        <w:rPr>
          <w:lang w:val="en-US"/>
        </w:rPr>
        <w:t xml:space="preserve">. Here is why: data is not readily downloadable; it sits in various obsolete file formats in disorganized databases; it is documented in various languages, or not documented at all; it is plagued with various processing errors. We make the powerful promise </w:t>
      </w:r>
      <w:hyperlink r:id="rId14" w:history="1">
        <w:r w:rsidR="00731BEB" w:rsidRPr="00604725">
          <w:rPr>
            <w:rStyle w:val="Hyperlink"/>
            <w:color w:val="1565C0"/>
            <w:szCs w:val="24"/>
            <w:shd w:val="clear" w:color="auto" w:fill="FFFFFF"/>
          </w:rPr>
          <w:t>Government Budget Allocations for R&amp;D in Environment</w:t>
        </w:r>
      </w:hyperlink>
      <w:r w:rsidR="00731BEB">
        <w:rPr>
          <w:shd w:val="clear" w:color="auto" w:fill="F9F9F9"/>
        </w:rPr>
        <w:t xml:space="preserve"> of the EU legislation a reality in the field of the Green Deal policy context.</w:t>
      </w:r>
    </w:p>
    <w:p w14:paraId="1F09D3BF" w14:textId="77777777" w:rsidR="00F57535" w:rsidRDefault="00F57535">
      <w:pPr>
        <w:rPr>
          <w:shd w:val="clear" w:color="auto" w:fill="F9F9F9"/>
        </w:rPr>
      </w:pPr>
      <w:r>
        <w:rPr>
          <w:shd w:val="clear" w:color="auto" w:fill="F9F9F9"/>
        </w:rPr>
        <w:br w:type="page"/>
      </w:r>
    </w:p>
    <w:p w14:paraId="1ED4A742" w14:textId="77777777" w:rsidR="00731BEB" w:rsidRDefault="00731BEB" w:rsidP="00B03CD2">
      <w:pPr>
        <w:rPr>
          <w:shd w:val="clear" w:color="auto" w:fill="F9F9F9"/>
        </w:rPr>
      </w:pPr>
    </w:p>
    <w:p w14:paraId="2B025213" w14:textId="35ADBE9F" w:rsidR="00C81DB7" w:rsidRPr="00C81DB7" w:rsidRDefault="00C81DB7" w:rsidP="00604725">
      <w:pPr>
        <w:pStyle w:val="Heading2"/>
        <w:rPr>
          <w:rFonts w:ascii="Times New Roman" w:hAnsi="Times New Roman"/>
          <w:sz w:val="36"/>
        </w:rPr>
      </w:pPr>
      <w:r w:rsidRPr="00C81DB7">
        <w:t>Increase Your Impact, Avoid Old Mistakes</w:t>
      </w:r>
    </w:p>
    <w:p w14:paraId="131369A3" w14:textId="7262F77F" w:rsidR="00C81DB7" w:rsidRPr="00C81DB7" w:rsidRDefault="00C81DB7" w:rsidP="00B03CD2">
      <w:pPr>
        <w:rPr>
          <w:rFonts w:ascii="Times New Roman" w:hAnsi="Times New Roman" w:cs="Times New Roman"/>
          <w:szCs w:val="24"/>
          <w:lang w:val="en-US"/>
        </w:rPr>
      </w:pPr>
      <w:proofErr w:type="spellStart"/>
      <w:r w:rsidRPr="00C81DB7">
        <w:rPr>
          <w:lang w:val="en-US"/>
        </w:rPr>
        <w:t>Reprex</w:t>
      </w:r>
      <w:proofErr w:type="spellEnd"/>
      <w:r w:rsidRPr="00C81DB7">
        <w:rPr>
          <w:lang w:val="en-US"/>
        </w:rPr>
        <w:t xml:space="preserve"> helps its policy, business, and scientific partners by providing efficient solutions for necessary data engineering, data processing and statistical tasks that are as complex as they are tedious to perform. We deploy validated, open-source, peer-reviewed scientific software to create up-to-date, reliable, high-quality, and immediately usable data and visualizations. Our partners can leave the burden of this task, share the cost of data processing, and concentrate on what they do best: disseminating and advocating, researching, or setting sustainable business or underwriting indicators and creating early warning systems.</w:t>
      </w:r>
    </w:p>
    <w:p w14:paraId="43491D58" w14:textId="6576A1D7" w:rsidR="00C81DB7" w:rsidRDefault="00F57535" w:rsidP="00B03CD2">
      <w:pPr>
        <w:rPr>
          <w:b/>
          <w:bCs/>
          <w:shd w:val="clear" w:color="auto" w:fill="FFFFFF"/>
        </w:rPr>
      </w:pPr>
      <w:r>
        <w:rPr>
          <w:noProof/>
          <w:shd w:val="clear" w:color="auto" w:fill="FFFFFF"/>
        </w:rPr>
        <w:drawing>
          <wp:anchor distT="0" distB="0" distL="114300" distR="114300" simplePos="0" relativeHeight="251656192" behindDoc="1" locked="0" layoutInCell="1" allowOverlap="1" wp14:anchorId="5BB7FCEA" wp14:editId="132BAB45">
            <wp:simplePos x="0" y="0"/>
            <wp:positionH relativeFrom="margin">
              <wp:align>right</wp:align>
            </wp:positionH>
            <wp:positionV relativeFrom="paragraph">
              <wp:posOffset>25400</wp:posOffset>
            </wp:positionV>
            <wp:extent cx="2160000" cy="1213200"/>
            <wp:effectExtent l="0" t="0" r="0" b="6350"/>
            <wp:wrapTight wrapText="bothSides">
              <wp:wrapPolygon edited="0">
                <wp:start x="0" y="0"/>
                <wp:lineTo x="0" y="21374"/>
                <wp:lineTo x="21340" y="21374"/>
                <wp:lineTo x="21340" y="0"/>
                <wp:lineTo x="0" y="0"/>
              </wp:wrapPolygon>
            </wp:wrapTight>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0000" cy="1213200"/>
                    </a:xfrm>
                    <a:prstGeom prst="rect">
                      <a:avLst/>
                    </a:prstGeom>
                  </pic:spPr>
                </pic:pic>
              </a:graphicData>
            </a:graphic>
            <wp14:sizeRelH relativeFrom="page">
              <wp14:pctWidth>0</wp14:pctWidth>
            </wp14:sizeRelH>
            <wp14:sizeRelV relativeFrom="page">
              <wp14:pctHeight>0</wp14:pctHeight>
            </wp14:sizeRelV>
          </wp:anchor>
        </w:drawing>
      </w:r>
      <w:r w:rsidRPr="00F57535">
        <w:rPr>
          <w:rStyle w:val="Emphasis"/>
        </w:rPr>
        <w:t>Increase i</w:t>
      </w:r>
      <w:r w:rsidR="00C81DB7" w:rsidRPr="00F57535">
        <w:rPr>
          <w:rStyle w:val="Emphasis"/>
        </w:rPr>
        <w:t>mpact</w:t>
      </w:r>
      <w:r w:rsidR="00C81DB7">
        <w:rPr>
          <w:shd w:val="clear" w:color="auto" w:fill="FFFFFF"/>
        </w:rPr>
        <w:t xml:space="preserve">: We publish the data in a way that it is easy to find—as a separate data publication with a DOI, full library metadata, and place it in open science repositories. Our data is more findable than 99% of the open science data, and therefore makes far bigger impact. See our data on the European open science repository </w:t>
      </w:r>
      <w:hyperlink r:id="rId16" w:anchor=".YbM_K73MLIU" w:history="1">
        <w:proofErr w:type="spellStart"/>
        <w:r w:rsidR="00C81DB7" w:rsidRPr="00604725">
          <w:rPr>
            <w:rStyle w:val="Hyperlink"/>
            <w:rFonts w:cs="Arial"/>
            <w:color w:val="1565C0"/>
            <w:szCs w:val="24"/>
            <w:shd w:val="clear" w:color="auto" w:fill="FFFFFF"/>
          </w:rPr>
          <w:t>Zenodo</w:t>
        </w:r>
        <w:proofErr w:type="spellEnd"/>
      </w:hyperlink>
      <w:r w:rsidR="00C81DB7">
        <w:rPr>
          <w:shd w:val="clear" w:color="auto" w:fill="FFFFFF"/>
        </w:rPr>
        <w:t>, managed by CERN (the European Organization for Nuclear Research)</w:t>
      </w:r>
      <w:r w:rsidR="00C81DB7">
        <w:rPr>
          <w:b/>
          <w:bCs/>
          <w:shd w:val="clear" w:color="auto" w:fill="FFFFFF"/>
        </w:rPr>
        <w:t>.</w:t>
      </w:r>
    </w:p>
    <w:p w14:paraId="4909113C" w14:textId="51B4EE49" w:rsidR="00C81DB7" w:rsidRDefault="00F57535" w:rsidP="00B03CD2">
      <w:pPr>
        <w:rPr>
          <w:lang w:val="en-US"/>
        </w:rPr>
      </w:pPr>
      <w:r>
        <w:rPr>
          <w:b/>
          <w:iCs/>
          <w:noProof/>
        </w:rPr>
        <w:drawing>
          <wp:anchor distT="0" distB="0" distL="114300" distR="114300" simplePos="0" relativeHeight="251661312" behindDoc="1" locked="0" layoutInCell="1" allowOverlap="1" wp14:anchorId="25264E26" wp14:editId="3919A6D0">
            <wp:simplePos x="0" y="0"/>
            <wp:positionH relativeFrom="column">
              <wp:posOffset>-4445</wp:posOffset>
            </wp:positionH>
            <wp:positionV relativeFrom="paragraph">
              <wp:posOffset>-3810</wp:posOffset>
            </wp:positionV>
            <wp:extent cx="2160000" cy="1440000"/>
            <wp:effectExtent l="0" t="0" r="0" b="8255"/>
            <wp:wrapTight wrapText="bothSides">
              <wp:wrapPolygon edited="0">
                <wp:start x="0" y="0"/>
                <wp:lineTo x="0" y="21438"/>
                <wp:lineTo x="21340" y="21438"/>
                <wp:lineTo x="21340" y="0"/>
                <wp:lineTo x="0" y="0"/>
              </wp:wrapPolygon>
            </wp:wrapTight>
            <wp:docPr id="6" name="Picture 6" descr="A picture containing text, indoor, old,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indoor, old, picture fr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anchor>
        </w:drawing>
      </w:r>
      <w:r w:rsidR="00C81DB7" w:rsidRPr="00F57535">
        <w:rPr>
          <w:rStyle w:val="Emphasis"/>
        </w:rPr>
        <w:t>Easy-to-use data</w:t>
      </w:r>
      <w:r w:rsidR="00C81DB7" w:rsidRPr="00B03CD2">
        <w:t>: Our data follows the</w:t>
      </w:r>
      <w:r w:rsidR="00C81DB7">
        <w:rPr>
          <w:rFonts w:ascii="Arial" w:hAnsi="Arial" w:cs="Arial"/>
          <w:color w:val="000000"/>
          <w:sz w:val="32"/>
          <w:szCs w:val="32"/>
          <w:shd w:val="clear" w:color="auto" w:fill="FFFFFF"/>
        </w:rPr>
        <w:t xml:space="preserve"> </w:t>
      </w:r>
      <w:hyperlink r:id="rId18" w:history="1">
        <w:r w:rsidR="00C81DB7" w:rsidRPr="00604725">
          <w:rPr>
            <w:rStyle w:val="Hyperlink"/>
            <w:rFonts w:cs="Arial"/>
            <w:color w:val="1155CC"/>
            <w:szCs w:val="24"/>
            <w:shd w:val="clear" w:color="auto" w:fill="FFFFFF"/>
          </w:rPr>
          <w:t>tidy data principle</w:t>
        </w:r>
      </w:hyperlink>
      <w:r w:rsidR="00C81DB7">
        <w:rPr>
          <w:rFonts w:ascii="Arial" w:hAnsi="Arial" w:cs="Arial"/>
          <w:color w:val="000000"/>
          <w:sz w:val="32"/>
          <w:szCs w:val="32"/>
          <w:shd w:val="clear" w:color="auto" w:fill="FFFFFF"/>
        </w:rPr>
        <w:t xml:space="preserve"> </w:t>
      </w:r>
      <w:r w:rsidR="00C81DB7" w:rsidRPr="00B03CD2">
        <w:t>and comes with all the recommended</w:t>
      </w:r>
      <w:r w:rsidR="00C81DB7">
        <w:rPr>
          <w:rFonts w:ascii="Arial" w:hAnsi="Arial" w:cs="Arial"/>
          <w:color w:val="000000"/>
          <w:sz w:val="32"/>
          <w:szCs w:val="32"/>
          <w:shd w:val="clear" w:color="auto" w:fill="FFFFFF"/>
        </w:rPr>
        <w:t xml:space="preserve"> </w:t>
      </w:r>
      <w:hyperlink r:id="rId19" w:history="1">
        <w:r w:rsidR="00C81DB7" w:rsidRPr="00604725">
          <w:rPr>
            <w:rStyle w:val="Hyperlink"/>
            <w:rFonts w:cs="Arial"/>
            <w:color w:val="1155CC"/>
            <w:szCs w:val="24"/>
            <w:shd w:val="clear" w:color="auto" w:fill="FFFFFF"/>
          </w:rPr>
          <w:t>Dublin Core</w:t>
        </w:r>
      </w:hyperlink>
      <w:r w:rsidR="00C81DB7" w:rsidRPr="00B03CD2">
        <w:t xml:space="preserve"> and</w:t>
      </w:r>
      <w:r w:rsidR="00C81DB7">
        <w:rPr>
          <w:rFonts w:ascii="Arial" w:hAnsi="Arial" w:cs="Arial"/>
          <w:color w:val="000000"/>
          <w:sz w:val="32"/>
          <w:szCs w:val="32"/>
          <w:shd w:val="clear" w:color="auto" w:fill="FFFFFF"/>
        </w:rPr>
        <w:t xml:space="preserve"> </w:t>
      </w:r>
      <w:hyperlink r:id="rId20" w:history="1">
        <w:proofErr w:type="spellStart"/>
        <w:r w:rsidR="00C81DB7" w:rsidRPr="00604725">
          <w:rPr>
            <w:rStyle w:val="Hyperlink"/>
            <w:rFonts w:cs="Arial"/>
            <w:color w:val="1155CC"/>
            <w:szCs w:val="24"/>
            <w:shd w:val="clear" w:color="auto" w:fill="FFFFFF"/>
          </w:rPr>
          <w:t>DataCite</w:t>
        </w:r>
        <w:proofErr w:type="spellEnd"/>
      </w:hyperlink>
      <w:r w:rsidR="00C81DB7">
        <w:rPr>
          <w:rFonts w:ascii="Arial" w:hAnsi="Arial" w:cs="Arial"/>
          <w:color w:val="000000"/>
          <w:sz w:val="32"/>
          <w:szCs w:val="32"/>
          <w:shd w:val="clear" w:color="auto" w:fill="FFFFFF"/>
        </w:rPr>
        <w:t xml:space="preserve"> </w:t>
      </w:r>
      <w:r w:rsidR="00C81DB7" w:rsidRPr="00B03CD2">
        <w:t xml:space="preserve">metadata. This increases our data compatibility, allowing </w:t>
      </w:r>
      <w:r w:rsidR="00B03CD2" w:rsidRPr="00B03CD2">
        <w:t>users to</w:t>
      </w:r>
      <w:r w:rsidR="00C81DB7" w:rsidRPr="00B03CD2">
        <w:t xml:space="preserve"> open it in any spreadsheet application or import into their databases. We publish the data in tabular form, and in JSON form through our API, enabling automatic retrieval for frequent users. We not only increase compatibility: our statistical software with hundreds of built-in checks makes those individually simple, but manually error-prone steps, like converting thousand euros to million euros, removing the % sign, converting kilograms to tons, or dollar amounts at the correct exchange rate to euros that manual processing so often gets wrong.  See our blogpost on the</w:t>
      </w:r>
      <w:r w:rsidR="00C81DB7">
        <w:rPr>
          <w:rFonts w:ascii="Arial" w:hAnsi="Arial" w:cs="Arial"/>
          <w:color w:val="000000"/>
          <w:sz w:val="32"/>
          <w:szCs w:val="32"/>
          <w:shd w:val="clear" w:color="auto" w:fill="FFFFFF"/>
        </w:rPr>
        <w:t xml:space="preserve"> </w:t>
      </w:r>
      <w:hyperlink r:id="rId21" w:history="1">
        <w:r w:rsidR="00C81DB7" w:rsidRPr="00604725">
          <w:rPr>
            <w:rStyle w:val="Hyperlink"/>
            <w:rFonts w:cs="Arial"/>
            <w:color w:val="1565C0"/>
            <w:szCs w:val="24"/>
            <w:shd w:val="clear" w:color="auto" w:fill="FFFFFF"/>
          </w:rPr>
          <w:t>data Sisyphus</w:t>
        </w:r>
      </w:hyperlink>
      <w:r w:rsidR="00C81DB7" w:rsidRPr="00F57535">
        <w:t>.</w:t>
      </w:r>
    </w:p>
    <w:p w14:paraId="6B4EC075" w14:textId="77777777" w:rsidR="009729C5" w:rsidRDefault="009729C5">
      <w:pPr>
        <w:rPr>
          <w:rFonts w:ascii="Roboto Bk" w:eastAsia="Times New Roman" w:hAnsi="Roboto Bk" w:cs="Times New Roman"/>
          <w:b/>
          <w:bCs/>
          <w:szCs w:val="24"/>
          <w:lang w:val="en-US"/>
        </w:rPr>
      </w:pPr>
      <w:r>
        <w:rPr>
          <w:szCs w:val="24"/>
        </w:rPr>
        <w:br w:type="page"/>
      </w:r>
    </w:p>
    <w:p w14:paraId="45F1E21D" w14:textId="35B491EB" w:rsidR="00BB5B98" w:rsidRPr="00604725" w:rsidRDefault="00C81DB7" w:rsidP="00604725">
      <w:pPr>
        <w:pStyle w:val="Heading2"/>
        <w:rPr>
          <w:szCs w:val="24"/>
        </w:rPr>
      </w:pPr>
      <w:r w:rsidRPr="00604725">
        <w:rPr>
          <w:szCs w:val="24"/>
        </w:rPr>
        <w:lastRenderedPageBreak/>
        <w:t>From Data to Solution</w:t>
      </w:r>
      <w:r w:rsidR="00B41BBE">
        <w:rPr>
          <w:szCs w:val="24"/>
        </w:rPr>
        <w:t>s</w:t>
      </w:r>
    </w:p>
    <w:p w14:paraId="6DF13213" w14:textId="2C48EC54" w:rsidR="00C81DB7" w:rsidRDefault="0014243D" w:rsidP="00B03CD2">
      <w:pPr>
        <w:rPr>
          <w:shd w:val="clear" w:color="auto" w:fill="FFFFFF"/>
        </w:rPr>
      </w:pPr>
      <w:r>
        <w:rPr>
          <w:noProof/>
          <w:shd w:val="clear" w:color="auto" w:fill="FFFFFF"/>
        </w:rPr>
        <w:drawing>
          <wp:anchor distT="0" distB="0" distL="114300" distR="114300" simplePos="0" relativeHeight="251659264" behindDoc="0" locked="0" layoutInCell="1" allowOverlap="1" wp14:anchorId="06D0B5E6" wp14:editId="3BC8E3A9">
            <wp:simplePos x="0" y="0"/>
            <wp:positionH relativeFrom="column">
              <wp:posOffset>-4445</wp:posOffset>
            </wp:positionH>
            <wp:positionV relativeFrom="paragraph">
              <wp:posOffset>-3175</wp:posOffset>
            </wp:positionV>
            <wp:extent cx="2160000" cy="1216800"/>
            <wp:effectExtent l="0" t="0" r="0" b="254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60000" cy="1216800"/>
                    </a:xfrm>
                    <a:prstGeom prst="rect">
                      <a:avLst/>
                    </a:prstGeom>
                  </pic:spPr>
                </pic:pic>
              </a:graphicData>
            </a:graphic>
            <wp14:sizeRelH relativeFrom="page">
              <wp14:pctWidth>0</wp14:pctWidth>
            </wp14:sizeRelH>
            <wp14:sizeRelV relativeFrom="page">
              <wp14:pctHeight>0</wp14:pctHeight>
            </wp14:sizeRelV>
          </wp:anchor>
        </w:drawing>
      </w:r>
      <w:r w:rsidR="00C81DB7">
        <w:rPr>
          <w:shd w:val="clear" w:color="auto" w:fill="FFFFFF"/>
        </w:rPr>
        <w:t xml:space="preserve">With our new software-as-service product we want to show that the open, scientific, peer-reviewed software that we develop and the enhanced open data that our Green Deal Data Observatory provides can create significant, tangible user value. Our new </w:t>
      </w:r>
      <w:proofErr w:type="spellStart"/>
      <w:r w:rsidR="00C81DB7">
        <w:rPr>
          <w:shd w:val="clear" w:color="auto" w:fill="FFFFFF"/>
        </w:rPr>
        <w:t>Eviota</w:t>
      </w:r>
      <w:proofErr w:type="spellEnd"/>
      <w:r w:rsidR="00C81DB7">
        <w:rPr>
          <w:shd w:val="clear" w:color="auto" w:fill="FFFFFF"/>
        </w:rPr>
        <w:t xml:space="preserve"> service prepares financial institutions, large companies to report the total sustainability impact on their entire value chain, from suppliers to buyers. </w:t>
      </w:r>
      <w:r w:rsidR="00B03CD2">
        <w:rPr>
          <w:shd w:val="clear" w:color="auto" w:fill="FFFFFF"/>
        </w:rPr>
        <w:t>According to the impact assessment of the EU sustainable finance pact, preparations to the implementation will cost for large companies on average 25,000 euros, and compliance will cost on average 75,000 euros annually. We want to show that using open science and open data, the sustainability oversight and management of the entire supply chain can be made more reliable and cheaper. In fact, so cheap that SMEs and non-profits, who need not comply with the CSRD Directive and apply the EU Taxonomy Regulation can choose to follow this best practice in a very cost-effective way.</w:t>
      </w:r>
      <w:r w:rsidR="00E649E1">
        <w:rPr>
          <w:shd w:val="clear" w:color="auto" w:fill="FFFFFF"/>
        </w:rPr>
        <w:t xml:space="preserve"> See our offering to </w:t>
      </w:r>
      <w:hyperlink r:id="rId23" w:history="1">
        <w:r w:rsidR="00EC3ED8" w:rsidRPr="0042083E">
          <w:rPr>
            <w:rStyle w:val="Hyperlink"/>
            <w:shd w:val="clear" w:color="auto" w:fill="FFFFFF"/>
          </w:rPr>
          <w:t>large corporations</w:t>
        </w:r>
      </w:hyperlink>
      <w:r w:rsidR="00EC3ED8">
        <w:rPr>
          <w:shd w:val="clear" w:color="auto" w:fill="FFFFFF"/>
        </w:rPr>
        <w:t xml:space="preserve"> that must comply with the CSRD directive, for </w:t>
      </w:r>
      <w:hyperlink r:id="rId24" w:history="1">
        <w:r w:rsidR="00EC3ED8" w:rsidRPr="0042083E">
          <w:rPr>
            <w:rStyle w:val="Hyperlink"/>
            <w:shd w:val="clear" w:color="auto" w:fill="FFFFFF"/>
          </w:rPr>
          <w:t>financial institutions</w:t>
        </w:r>
      </w:hyperlink>
      <w:r w:rsidR="00EC3ED8">
        <w:rPr>
          <w:shd w:val="clear" w:color="auto" w:fill="FFFFFF"/>
        </w:rPr>
        <w:t xml:space="preserve">, and for </w:t>
      </w:r>
      <w:hyperlink r:id="rId25" w:history="1">
        <w:r w:rsidR="00EC3ED8" w:rsidRPr="0042083E">
          <w:rPr>
            <w:rStyle w:val="Hyperlink"/>
            <w:shd w:val="clear" w:color="auto" w:fill="FFFFFF"/>
          </w:rPr>
          <w:t xml:space="preserve">SMEs </w:t>
        </w:r>
        <w:r w:rsidR="0042083E" w:rsidRPr="0042083E">
          <w:rPr>
            <w:rStyle w:val="Hyperlink"/>
            <w:shd w:val="clear" w:color="auto" w:fill="FFFFFF"/>
          </w:rPr>
          <w:t xml:space="preserve">and </w:t>
        </w:r>
        <w:proofErr w:type="spellStart"/>
        <w:r w:rsidR="0042083E" w:rsidRPr="0042083E">
          <w:rPr>
            <w:rStyle w:val="Hyperlink"/>
            <w:shd w:val="clear" w:color="auto" w:fill="FFFFFF"/>
          </w:rPr>
          <w:t>nonprofits</w:t>
        </w:r>
        <w:proofErr w:type="spellEnd"/>
      </w:hyperlink>
      <w:r w:rsidR="0042083E">
        <w:rPr>
          <w:shd w:val="clear" w:color="auto" w:fill="FFFFFF"/>
        </w:rPr>
        <w:t xml:space="preserve"> </w:t>
      </w:r>
      <w:r w:rsidR="00EC3ED8">
        <w:rPr>
          <w:shd w:val="clear" w:color="auto" w:fill="FFFFFF"/>
        </w:rPr>
        <w:t>that want to embrace the total impact assessment of their value chain in a cost-effective way.</w:t>
      </w:r>
    </w:p>
    <w:p w14:paraId="11D3EA7C" w14:textId="0203C2B7" w:rsidR="00892D78" w:rsidRDefault="00892D78" w:rsidP="00B03CD2">
      <w:pPr>
        <w:rPr>
          <w:shd w:val="clear" w:color="auto" w:fill="FFFFFF"/>
        </w:rPr>
      </w:pPr>
    </w:p>
    <w:p w14:paraId="6ECBBDA9" w14:textId="5CE9B293" w:rsidR="004754B3" w:rsidRDefault="00C33B18" w:rsidP="00BC4547">
      <w:pPr>
        <w:rPr>
          <w:rStyle w:val="Emphasis"/>
        </w:rPr>
      </w:pPr>
      <w:r>
        <w:rPr>
          <w:noProof/>
          <w:shd w:val="clear" w:color="auto" w:fill="FFFFFF"/>
        </w:rPr>
        <w:drawing>
          <wp:anchor distT="0" distB="0" distL="114300" distR="114300" simplePos="0" relativeHeight="251662336" behindDoc="1" locked="0" layoutInCell="1" allowOverlap="1" wp14:anchorId="22CEB3F9" wp14:editId="7E8F73ED">
            <wp:simplePos x="0" y="0"/>
            <wp:positionH relativeFrom="column">
              <wp:posOffset>0</wp:posOffset>
            </wp:positionH>
            <wp:positionV relativeFrom="paragraph">
              <wp:posOffset>-4445</wp:posOffset>
            </wp:positionV>
            <wp:extent cx="2160000" cy="1440000"/>
            <wp:effectExtent l="0" t="0" r="0" b="8255"/>
            <wp:wrapTight wrapText="bothSides">
              <wp:wrapPolygon edited="0">
                <wp:start x="0" y="0"/>
                <wp:lineTo x="0" y="21438"/>
                <wp:lineTo x="21340" y="21438"/>
                <wp:lineTo x="21340"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14:sizeRelH relativeFrom="margin">
              <wp14:pctWidth>0</wp14:pctWidth>
            </wp14:sizeRelH>
            <wp14:sizeRelV relativeFrom="margin">
              <wp14:pctHeight>0</wp14:pctHeight>
            </wp14:sizeRelV>
          </wp:anchor>
        </w:drawing>
      </w:r>
      <w:r>
        <w:rPr>
          <w:rStyle w:val="Emphasis"/>
        </w:rPr>
        <w:t>Get in touch with us:</w:t>
      </w:r>
    </w:p>
    <w:p w14:paraId="0C74A552" w14:textId="77777777" w:rsidR="00B5247B" w:rsidRDefault="00B5247B" w:rsidP="00BC4547">
      <w:pPr>
        <w:rPr>
          <w:rStyle w:val="Emphasis"/>
        </w:rPr>
      </w:pPr>
    </w:p>
    <w:p w14:paraId="440F87BB" w14:textId="0AAF3D74" w:rsidR="006B5B54" w:rsidRPr="00B5247B" w:rsidRDefault="006B5B54" w:rsidP="00B5247B">
      <w:pPr>
        <w:pStyle w:val="ListParagraph"/>
        <w:numPr>
          <w:ilvl w:val="0"/>
          <w:numId w:val="1"/>
        </w:numPr>
        <w:rPr>
          <w:shd w:val="clear" w:color="auto" w:fill="FFFFFF"/>
        </w:rPr>
      </w:pPr>
      <w:r w:rsidRPr="00B5247B">
        <w:rPr>
          <w:shd w:val="clear" w:color="auto" w:fill="FFFFFF"/>
        </w:rPr>
        <w:t xml:space="preserve">Green Deal Data Observatory on </w:t>
      </w:r>
      <w:hyperlink r:id="rId27" w:history="1">
        <w:r w:rsidRPr="00B5247B">
          <w:rPr>
            <w:rStyle w:val="Hyperlink"/>
            <w:shd w:val="clear" w:color="auto" w:fill="FFFFFF"/>
          </w:rPr>
          <w:t>LinkedIn</w:t>
        </w:r>
      </w:hyperlink>
      <w:r w:rsidR="00C82295">
        <w:rPr>
          <w:shd w:val="clear" w:color="auto" w:fill="FFFFFF"/>
        </w:rPr>
        <w:t>.</w:t>
      </w:r>
    </w:p>
    <w:p w14:paraId="5F1706E8" w14:textId="16C7D125" w:rsidR="006B5B54" w:rsidRPr="00B5247B" w:rsidRDefault="006B5B54" w:rsidP="00B5247B">
      <w:pPr>
        <w:pStyle w:val="ListParagraph"/>
        <w:numPr>
          <w:ilvl w:val="0"/>
          <w:numId w:val="1"/>
        </w:numPr>
        <w:rPr>
          <w:shd w:val="clear" w:color="auto" w:fill="FFFFFF"/>
        </w:rPr>
      </w:pPr>
      <w:r w:rsidRPr="00B5247B">
        <w:rPr>
          <w:shd w:val="clear" w:color="auto" w:fill="FFFFFF"/>
        </w:rPr>
        <w:t xml:space="preserve">Green Deal Data Observatory on </w:t>
      </w:r>
      <w:hyperlink r:id="rId28" w:history="1">
        <w:r w:rsidRPr="00B3202E">
          <w:rPr>
            <w:rStyle w:val="Hyperlink"/>
            <w:shd w:val="clear" w:color="auto" w:fill="FFFFFF"/>
          </w:rPr>
          <w:t>Twitter</w:t>
        </w:r>
      </w:hyperlink>
      <w:r w:rsidR="00C82295">
        <w:rPr>
          <w:shd w:val="clear" w:color="auto" w:fill="FFFFFF"/>
        </w:rPr>
        <w:t>.</w:t>
      </w:r>
    </w:p>
    <w:p w14:paraId="19169CEF" w14:textId="404AF5E3" w:rsidR="006B5B54" w:rsidRPr="00B5247B" w:rsidRDefault="006B5B54" w:rsidP="00B5247B">
      <w:pPr>
        <w:pStyle w:val="ListParagraph"/>
        <w:numPr>
          <w:ilvl w:val="0"/>
          <w:numId w:val="1"/>
        </w:numPr>
        <w:rPr>
          <w:b/>
          <w:iCs/>
        </w:rPr>
      </w:pPr>
      <w:r w:rsidRPr="00B5247B">
        <w:rPr>
          <w:shd w:val="clear" w:color="auto" w:fill="FFFFFF"/>
        </w:rPr>
        <w:t>Daniel Antal, co-founder</w:t>
      </w:r>
      <w:r w:rsidR="00B5247B" w:rsidRPr="00B5247B">
        <w:rPr>
          <w:shd w:val="clear" w:color="auto" w:fill="FFFFFF"/>
        </w:rPr>
        <w:t xml:space="preserve">, </w:t>
      </w:r>
      <w:hyperlink r:id="rId29" w:history="1">
        <w:proofErr w:type="spellStart"/>
        <w:r w:rsidR="00B5247B" w:rsidRPr="00C82295">
          <w:rPr>
            <w:rStyle w:val="Hyperlink"/>
            <w:shd w:val="clear" w:color="auto" w:fill="FFFFFF"/>
          </w:rPr>
          <w:t>LinkedIn</w:t>
        </w:r>
      </w:hyperlink>
      <w:r w:rsidR="00C82295">
        <w:rPr>
          <w:shd w:val="clear" w:color="auto" w:fill="FFFFFF"/>
        </w:rPr>
        <w:t>v</w:t>
      </w:r>
      <w:proofErr w:type="spellEnd"/>
      <w:r w:rsidR="00B5247B" w:rsidRPr="00B5247B">
        <w:rPr>
          <w:shd w:val="clear" w:color="auto" w:fill="FFFFFF"/>
        </w:rPr>
        <w:t xml:space="preserve"> or </w:t>
      </w:r>
      <w:hyperlink r:id="rId30" w:anchor="contact" w:history="1">
        <w:r w:rsidR="00B5247B" w:rsidRPr="00C82295">
          <w:rPr>
            <w:rStyle w:val="Hyperlink"/>
            <w:shd w:val="clear" w:color="auto" w:fill="FFFFFF"/>
          </w:rPr>
          <w:t>Email</w:t>
        </w:r>
      </w:hyperlink>
      <w:r w:rsidR="00C82295">
        <w:rPr>
          <w:shd w:val="clear" w:color="auto" w:fill="FFFFFF"/>
        </w:rPr>
        <w:t>.</w:t>
      </w:r>
    </w:p>
    <w:sectPr w:rsidR="006B5B54" w:rsidRPr="00B5247B" w:rsidSect="0017266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FE8B5" w14:textId="77777777" w:rsidR="00D200A6" w:rsidRDefault="00D200A6" w:rsidP="00B03CD2">
      <w:pPr>
        <w:spacing w:after="0" w:line="240" w:lineRule="auto"/>
      </w:pPr>
      <w:r>
        <w:separator/>
      </w:r>
    </w:p>
  </w:endnote>
  <w:endnote w:type="continuationSeparator" w:id="0">
    <w:p w14:paraId="3509D046" w14:textId="77777777" w:rsidR="00D200A6" w:rsidRDefault="00D200A6" w:rsidP="00B0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Lt">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 w:name="Roboto Bk">
    <w:panose1 w:val="00000000000000000000"/>
    <w:charset w:val="EE"/>
    <w:family w:val="auto"/>
    <w:pitch w:val="variable"/>
    <w:sig w:usb0="E00002EF" w:usb1="5000205B" w:usb2="0000002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09605" w14:textId="77777777" w:rsidR="00D200A6" w:rsidRDefault="00D200A6" w:rsidP="00B03CD2">
      <w:pPr>
        <w:spacing w:after="0" w:line="240" w:lineRule="auto"/>
      </w:pPr>
      <w:r>
        <w:separator/>
      </w:r>
    </w:p>
  </w:footnote>
  <w:footnote w:type="continuationSeparator" w:id="0">
    <w:p w14:paraId="45CFA883" w14:textId="77777777" w:rsidR="00D200A6" w:rsidRDefault="00D200A6" w:rsidP="00B0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933"/>
    <w:multiLevelType w:val="hybridMultilevel"/>
    <w:tmpl w:val="A262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EB"/>
    <w:rsid w:val="00014A65"/>
    <w:rsid w:val="00084B13"/>
    <w:rsid w:val="001169BC"/>
    <w:rsid w:val="0014243D"/>
    <w:rsid w:val="00172669"/>
    <w:rsid w:val="002F0F52"/>
    <w:rsid w:val="00375754"/>
    <w:rsid w:val="0042083E"/>
    <w:rsid w:val="004754B3"/>
    <w:rsid w:val="005C7151"/>
    <w:rsid w:val="00604725"/>
    <w:rsid w:val="006B5B54"/>
    <w:rsid w:val="00700823"/>
    <w:rsid w:val="007213CA"/>
    <w:rsid w:val="00731BEB"/>
    <w:rsid w:val="00765580"/>
    <w:rsid w:val="0080658B"/>
    <w:rsid w:val="00892D78"/>
    <w:rsid w:val="008D1481"/>
    <w:rsid w:val="009729C5"/>
    <w:rsid w:val="009E403A"/>
    <w:rsid w:val="00AA3CD8"/>
    <w:rsid w:val="00B03CD2"/>
    <w:rsid w:val="00B12004"/>
    <w:rsid w:val="00B3202E"/>
    <w:rsid w:val="00B41BBE"/>
    <w:rsid w:val="00B5247B"/>
    <w:rsid w:val="00B8249C"/>
    <w:rsid w:val="00BC4547"/>
    <w:rsid w:val="00BD6A35"/>
    <w:rsid w:val="00C33B18"/>
    <w:rsid w:val="00C422BE"/>
    <w:rsid w:val="00C81DB7"/>
    <w:rsid w:val="00C82295"/>
    <w:rsid w:val="00D16A9B"/>
    <w:rsid w:val="00D200A6"/>
    <w:rsid w:val="00E649E1"/>
    <w:rsid w:val="00E93A68"/>
    <w:rsid w:val="00EC3ED8"/>
    <w:rsid w:val="00F57535"/>
    <w:rsid w:val="00FE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0C9D"/>
  <w15:chartTrackingRefBased/>
  <w15:docId w15:val="{6AC2AA61-AB5A-4139-8EC7-C1FA7F44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D78"/>
    <w:pPr>
      <w:jc w:val="both"/>
    </w:pPr>
    <w:rPr>
      <w:rFonts w:ascii="Roboto Lt" w:hAnsi="Roboto Lt"/>
      <w:sz w:val="24"/>
      <w:lang w:val="en-GB"/>
    </w:rPr>
  </w:style>
  <w:style w:type="paragraph" w:styleId="Heading1">
    <w:name w:val="heading 1"/>
    <w:basedOn w:val="Normal"/>
    <w:next w:val="Normal"/>
    <w:link w:val="Heading1Char"/>
    <w:uiPriority w:val="9"/>
    <w:qFormat/>
    <w:rsid w:val="00C42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725"/>
    <w:pPr>
      <w:spacing w:before="100" w:beforeAutospacing="1" w:after="100" w:afterAutospacing="1" w:line="240" w:lineRule="auto"/>
      <w:jc w:val="center"/>
      <w:outlineLvl w:val="1"/>
    </w:pPr>
    <w:rPr>
      <w:rFonts w:ascii="Roboto Bk" w:eastAsia="Times New Roman" w:hAnsi="Roboto Bk" w:cs="Times New Roman"/>
      <w:b/>
      <w:bCs/>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BEB"/>
    <w:pPr>
      <w:spacing w:before="100" w:beforeAutospacing="1" w:after="100" w:afterAutospacing="1" w:line="240" w:lineRule="auto"/>
    </w:pPr>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731BEB"/>
    <w:rPr>
      <w:color w:val="0000FF"/>
      <w:u w:val="single"/>
    </w:rPr>
  </w:style>
  <w:style w:type="character" w:customStyle="1" w:styleId="Heading2Char">
    <w:name w:val="Heading 2 Char"/>
    <w:basedOn w:val="DefaultParagraphFont"/>
    <w:link w:val="Heading2"/>
    <w:uiPriority w:val="9"/>
    <w:rsid w:val="00604725"/>
    <w:rPr>
      <w:rFonts w:ascii="Roboto Bk" w:eastAsia="Times New Roman" w:hAnsi="Roboto Bk" w:cs="Times New Roman"/>
      <w:b/>
      <w:bCs/>
      <w:sz w:val="24"/>
      <w:szCs w:val="36"/>
    </w:rPr>
  </w:style>
  <w:style w:type="paragraph" w:styleId="Header">
    <w:name w:val="header"/>
    <w:basedOn w:val="Normal"/>
    <w:link w:val="HeaderChar"/>
    <w:uiPriority w:val="99"/>
    <w:unhideWhenUsed/>
    <w:rsid w:val="00B03CD2"/>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3CD2"/>
    <w:rPr>
      <w:lang w:val="en-GB"/>
    </w:rPr>
  </w:style>
  <w:style w:type="paragraph" w:styleId="Footer">
    <w:name w:val="footer"/>
    <w:basedOn w:val="Normal"/>
    <w:link w:val="FooterChar"/>
    <w:uiPriority w:val="99"/>
    <w:unhideWhenUsed/>
    <w:rsid w:val="00B03CD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3CD2"/>
    <w:rPr>
      <w:lang w:val="en-GB"/>
    </w:rPr>
  </w:style>
  <w:style w:type="character" w:styleId="Emphasis">
    <w:name w:val="Emphasis"/>
    <w:basedOn w:val="DefaultParagraphFont"/>
    <w:uiPriority w:val="20"/>
    <w:qFormat/>
    <w:rsid w:val="00604725"/>
    <w:rPr>
      <w:b/>
      <w:i w:val="0"/>
      <w:iCs/>
    </w:rPr>
  </w:style>
  <w:style w:type="character" w:customStyle="1" w:styleId="Heading1Char">
    <w:name w:val="Heading 1 Char"/>
    <w:basedOn w:val="DefaultParagraphFont"/>
    <w:link w:val="Heading1"/>
    <w:uiPriority w:val="9"/>
    <w:rsid w:val="00C422BE"/>
    <w:rPr>
      <w:rFonts w:asciiTheme="majorHAnsi" w:eastAsiaTheme="majorEastAsia" w:hAnsiTheme="majorHAnsi" w:cstheme="majorBidi"/>
      <w:color w:val="2F5496" w:themeColor="accent1" w:themeShade="BF"/>
      <w:sz w:val="32"/>
      <w:szCs w:val="32"/>
      <w:lang w:val="en-GB"/>
    </w:rPr>
  </w:style>
  <w:style w:type="character" w:styleId="UnresolvedMention">
    <w:name w:val="Unresolved Mention"/>
    <w:basedOn w:val="DefaultParagraphFont"/>
    <w:uiPriority w:val="99"/>
    <w:semiHidden/>
    <w:unhideWhenUsed/>
    <w:rsid w:val="0042083E"/>
    <w:rPr>
      <w:color w:val="605E5C"/>
      <w:shd w:val="clear" w:color="auto" w:fill="E1DFDD"/>
    </w:rPr>
  </w:style>
  <w:style w:type="paragraph" w:styleId="ListParagraph">
    <w:name w:val="List Paragraph"/>
    <w:basedOn w:val="Normal"/>
    <w:uiPriority w:val="34"/>
    <w:qFormat/>
    <w:rsid w:val="00B52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932874">
      <w:bodyDiv w:val="1"/>
      <w:marLeft w:val="0"/>
      <w:marRight w:val="0"/>
      <w:marTop w:val="0"/>
      <w:marBottom w:val="0"/>
      <w:divBdr>
        <w:top w:val="none" w:sz="0" w:space="0" w:color="auto"/>
        <w:left w:val="none" w:sz="0" w:space="0" w:color="auto"/>
        <w:bottom w:val="none" w:sz="0" w:space="0" w:color="auto"/>
        <w:right w:val="none" w:sz="0" w:space="0" w:color="auto"/>
      </w:divBdr>
    </w:div>
    <w:div w:id="1396004079">
      <w:bodyDiv w:val="1"/>
      <w:marLeft w:val="0"/>
      <w:marRight w:val="0"/>
      <w:marTop w:val="0"/>
      <w:marBottom w:val="0"/>
      <w:divBdr>
        <w:top w:val="none" w:sz="0" w:space="0" w:color="auto"/>
        <w:left w:val="none" w:sz="0" w:space="0" w:color="auto"/>
        <w:bottom w:val="none" w:sz="0" w:space="0" w:color="auto"/>
        <w:right w:val="none" w:sz="0" w:space="0" w:color="auto"/>
      </w:divBdr>
    </w:div>
    <w:div w:id="1676565358">
      <w:bodyDiv w:val="1"/>
      <w:marLeft w:val="0"/>
      <w:marRight w:val="0"/>
      <w:marTop w:val="0"/>
      <w:marBottom w:val="0"/>
      <w:divBdr>
        <w:top w:val="none" w:sz="0" w:space="0" w:color="auto"/>
        <w:left w:val="none" w:sz="0" w:space="0" w:color="auto"/>
        <w:bottom w:val="none" w:sz="0" w:space="0" w:color="auto"/>
        <w:right w:val="none" w:sz="0" w:space="0" w:color="auto"/>
      </w:divBdr>
    </w:div>
    <w:div w:id="178888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europa.eu/sites/default/files/edp_creating_value_through_open_data_0.pdf" TargetMode="External"/><Relationship Id="rId18" Type="http://schemas.openxmlformats.org/officeDocument/2006/relationships/hyperlink" Target="https://cran.r-project.org/web/packages/tidyr/vignettes/tidy-data.html"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greendeal.dataobservatory.eu/post/2021-07-08-data-sisyphus/" TargetMode="External"/><Relationship Id="rId7" Type="http://schemas.openxmlformats.org/officeDocument/2006/relationships/image" Target="media/image1.png"/><Relationship Id="rId12" Type="http://schemas.openxmlformats.org/officeDocument/2006/relationships/hyperlink" Target="https://eur-lex.europa.eu/eli/dir/2019/1024/oj" TargetMode="External"/><Relationship Id="rId17" Type="http://schemas.openxmlformats.org/officeDocument/2006/relationships/image" Target="media/image5.jpeg"/><Relationship Id="rId25" Type="http://schemas.openxmlformats.org/officeDocument/2006/relationships/hyperlink" Target="https://eviota.nl/services/total-impact/" TargetMode="External"/><Relationship Id="rId2" Type="http://schemas.openxmlformats.org/officeDocument/2006/relationships/styles" Target="styles.xml"/><Relationship Id="rId16" Type="http://schemas.openxmlformats.org/officeDocument/2006/relationships/hyperlink" Target="https://zenodo.org/record/5658849" TargetMode="External"/><Relationship Id="rId20" Type="http://schemas.openxmlformats.org/officeDocument/2006/relationships/hyperlink" Target="https://datacite.org/" TargetMode="External"/><Relationship Id="rId29" Type="http://schemas.openxmlformats.org/officeDocument/2006/relationships/hyperlink" Target="https://www.linkedin.com/in/antaldani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eviota.nl/services/financia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viota.nl/services/allocation/" TargetMode="External"/><Relationship Id="rId28" Type="http://schemas.openxmlformats.org/officeDocument/2006/relationships/hyperlink" Target="https://twitter.com/GreenDealObs" TargetMode="External"/><Relationship Id="rId10" Type="http://schemas.openxmlformats.org/officeDocument/2006/relationships/hyperlink" Target="https://greendeal.dataobservatory.eu/post/2021-11-08-indicator_value_added/" TargetMode="External"/><Relationship Id="rId19" Type="http://schemas.openxmlformats.org/officeDocument/2006/relationships/hyperlink" Target="https://dublincore.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eendeal.dataobservatory.eu/post/2021-11-19_global_problem/" TargetMode="External"/><Relationship Id="rId14" Type="http://schemas.openxmlformats.org/officeDocument/2006/relationships/hyperlink" Target="http://dataobservatory.eu/post/2021-06-18-gold-without-rush/" TargetMode="External"/><Relationship Id="rId22" Type="http://schemas.openxmlformats.org/officeDocument/2006/relationships/image" Target="media/image6.png"/><Relationship Id="rId27" Type="http://schemas.openxmlformats.org/officeDocument/2006/relationships/hyperlink" Target="https://www.linkedin.com/company/greendeal-data-observatory/" TargetMode="External"/><Relationship Id="rId30" Type="http://schemas.openxmlformats.org/officeDocument/2006/relationships/hyperlink" Target="https://reprex.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Green Deal Data Observatory</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Deal Data Observatory</dc:title>
  <dc:subject/>
  <dc:creator>Daniel Antal</dc:creator>
  <cp:keywords>open data, open science, sustainability</cp:keywords>
  <dc:description>Call for an open collaboration</dc:description>
  <cp:lastModifiedBy>Daniel Antal</cp:lastModifiedBy>
  <cp:revision>4</cp:revision>
  <cp:lastPrinted>2021-12-30T11:38:00Z</cp:lastPrinted>
  <dcterms:created xsi:type="dcterms:W3CDTF">2021-12-30T11:37:00Z</dcterms:created>
  <dcterms:modified xsi:type="dcterms:W3CDTF">2021-12-30T12:56:00Z</dcterms:modified>
</cp:coreProperties>
</file>