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95C" w14:textId="77777777"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RPr="00AA1C19" w14:paraId="24461DDB" w14:textId="77777777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14:paraId="0A7D3A10" w14:textId="40026E2F" w:rsidR="00A4766C" w:rsidRPr="00A4766C" w:rsidRDefault="00A4766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40"/>
                <w:szCs w:val="40"/>
                <w:lang w:val="en-US"/>
              </w:rPr>
            </w:pPr>
            <w:r w:rsidRPr="00A4766C">
              <w:rPr>
                <w:rFonts w:ascii="Arial Black" w:hAnsi="Arial Black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3266EC2" wp14:editId="1473C0F0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6B9B" w:rsidRPr="00116B9B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 xml:space="preserve">Economy of </w:t>
            </w:r>
            <w:r w:rsidR="00116B9B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M</w:t>
            </w:r>
            <w:r w:rsidR="00116B9B" w:rsidRPr="00116B9B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usic in Europe: Novel data collection methods and indicators</w:t>
            </w:r>
          </w:p>
          <w:p w14:paraId="012930E9" w14:textId="2643DB06"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7BD78B7" wp14:editId="7ACCC52E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CB55CD1" wp14:editId="74B66F00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music.dataobservatory.eu  –  DOI: </w:t>
            </w:r>
            <w:r w:rsidR="00116B9B" w:rsidRPr="00116B9B">
              <w:rPr>
                <w:rFonts w:ascii="Arial Nova Light" w:hAnsi="Arial Nova Light"/>
                <w:sz w:val="24"/>
                <w:szCs w:val="24"/>
                <w:lang w:val="en-US"/>
              </w:rPr>
              <w:t>10.5281/zenodo.6464990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14:paraId="30F431C7" w14:textId="77777777"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A4766C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676B" w14:textId="77777777" w:rsidR="00A9127E" w:rsidRDefault="00A9127E" w:rsidP="00EC71AE">
      <w:pPr>
        <w:spacing w:after="0" w:line="240" w:lineRule="auto"/>
      </w:pPr>
      <w:r>
        <w:separator/>
      </w:r>
    </w:p>
  </w:endnote>
  <w:endnote w:type="continuationSeparator" w:id="0">
    <w:p w14:paraId="6B960A94" w14:textId="77777777" w:rsidR="00A9127E" w:rsidRDefault="00A9127E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F5AB" w14:textId="77777777" w:rsidR="00A9127E" w:rsidRDefault="00A9127E" w:rsidP="00EC71AE">
      <w:pPr>
        <w:spacing w:after="0" w:line="240" w:lineRule="auto"/>
      </w:pPr>
      <w:r>
        <w:separator/>
      </w:r>
    </w:p>
  </w:footnote>
  <w:footnote w:type="continuationSeparator" w:id="0">
    <w:p w14:paraId="3F5F9C75" w14:textId="77777777" w:rsidR="00A9127E" w:rsidRDefault="00A9127E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25DF0"/>
    <w:rsid w:val="0003478E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95E0C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16B9B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A72EC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43F7E"/>
    <w:rsid w:val="005673F6"/>
    <w:rsid w:val="00571F5B"/>
    <w:rsid w:val="0057381B"/>
    <w:rsid w:val="005744F8"/>
    <w:rsid w:val="00576DDA"/>
    <w:rsid w:val="005845A2"/>
    <w:rsid w:val="00587959"/>
    <w:rsid w:val="0059613B"/>
    <w:rsid w:val="005A1AF4"/>
    <w:rsid w:val="005A7121"/>
    <w:rsid w:val="005B3709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06C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127E"/>
    <w:rsid w:val="00A93962"/>
    <w:rsid w:val="00A93D51"/>
    <w:rsid w:val="00AA09A5"/>
    <w:rsid w:val="00AA1C19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57FA"/>
    <w:rsid w:val="00D21065"/>
    <w:rsid w:val="00D25210"/>
    <w:rsid w:val="00D253F5"/>
    <w:rsid w:val="00D27143"/>
    <w:rsid w:val="00D43164"/>
    <w:rsid w:val="00D43A1E"/>
    <w:rsid w:val="00D51568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F44A2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17F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3</cp:revision>
  <dcterms:created xsi:type="dcterms:W3CDTF">2023-07-20T10:34:00Z</dcterms:created>
  <dcterms:modified xsi:type="dcterms:W3CDTF">2023-07-20T10:36:00Z</dcterms:modified>
</cp:coreProperties>
</file>