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C0" w:rsidRDefault="001C2AA8" w:rsidP="001C2AA8">
      <w:pPr>
        <w:jc w:val="center"/>
        <w:rPr>
          <w:rFonts w:ascii="Times New Roman" w:hAnsi="Times New Roman" w:cs="Times New Roman"/>
          <w:sz w:val="44"/>
        </w:rPr>
      </w:pPr>
      <w:r w:rsidRPr="001C2AA8">
        <w:rPr>
          <w:rFonts w:ascii="Times New Roman" w:hAnsi="Times New Roman" w:cs="Times New Roman"/>
          <w:sz w:val="44"/>
        </w:rPr>
        <w:t>Méter Mérési Jegyzőkönyv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 w:rsidRPr="001C2AA8">
        <w:rPr>
          <w:rFonts w:ascii="Times New Roman" w:hAnsi="Times New Roman" w:cs="Times New Roman"/>
        </w:rPr>
        <w:t>Antal Mátyás</w:t>
      </w:r>
      <w:r w:rsidR="00044F7D">
        <w:rPr>
          <w:rFonts w:ascii="Times New Roman" w:hAnsi="Times New Roman" w:cs="Times New Roman"/>
        </w:rPr>
        <w:t>, Gonda Gréta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(Laborvezető: Tihanyi Attila)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Pázmány Péter Catholic University, Faculty of Information Technology and Bionics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50/a Práter street, 1083 Budapest, Hungary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</w:p>
    <w:p w:rsidR="001C2AA8" w:rsidRDefault="001C2AA8" w:rsidP="001C2AA8">
      <w:pPr>
        <w:spacing w:after="0"/>
        <w:rPr>
          <w:rFonts w:ascii="Times New Roman" w:hAnsi="Times New Roman" w:cs="Times New Roman"/>
        </w:rPr>
        <w:sectPr w:rsidR="001C2A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2AA8" w:rsidRPr="001C2AA8" w:rsidRDefault="001C2AA8" w:rsidP="001C2AA8">
      <w:pPr>
        <w:pStyle w:val="NormalWeb"/>
        <w:spacing w:before="120" w:beforeAutospacing="0" w:after="120" w:afterAutospacing="0"/>
        <w:jc w:val="center"/>
        <w:rPr>
          <w:smallCaps/>
          <w:sz w:val="22"/>
        </w:rPr>
      </w:pPr>
      <w:r w:rsidRPr="001C2AA8">
        <w:rPr>
          <w:smallCaps/>
          <w:sz w:val="22"/>
        </w:rPr>
        <w:lastRenderedPageBreak/>
        <w:t>I. A mérés célja</w:t>
      </w:r>
    </w:p>
    <w:p w:rsidR="001C2AA8" w:rsidRPr="001C2AA8" w:rsidRDefault="001C2AA8" w:rsidP="001C2AA8">
      <w:pPr>
        <w:pStyle w:val="NormalWeb"/>
        <w:spacing w:before="0" w:beforeAutospacing="0" w:after="0" w:afterAutospacing="0"/>
        <w:jc w:val="both"/>
        <w:rPr>
          <w:sz w:val="22"/>
        </w:rPr>
      </w:pPr>
      <w:r w:rsidRPr="001C2AA8">
        <w:rPr>
          <w:sz w:val="22"/>
        </w:rPr>
        <w:t xml:space="preserve">A mérés célja volt ismerkedni a méréstechnika alapfogalmaival és az Si mértékrendszerrel. Feladatunk volt meghatározni a méréstechnikai alapfogalmakat, valamint alapvető méréseket végezni, ezzel is közelebb kerülve a tárgyhoz. </w:t>
      </w:r>
    </w:p>
    <w:p w:rsidR="001814B1" w:rsidRDefault="001814B1" w:rsidP="001C2AA8">
      <w:pPr>
        <w:spacing w:after="0"/>
        <w:jc w:val="both"/>
        <w:rPr>
          <w:rFonts w:ascii="Times New Roman" w:hAnsi="Times New Roman" w:cs="Times New Roman"/>
        </w:rPr>
      </w:pPr>
    </w:p>
    <w:p w:rsidR="001814B1" w:rsidRPr="001C2AA8" w:rsidRDefault="001814B1" w:rsidP="001814B1">
      <w:pPr>
        <w:pStyle w:val="NormalWeb"/>
        <w:spacing w:before="120" w:beforeAutospacing="0" w:after="120" w:afterAutospacing="0"/>
        <w:jc w:val="center"/>
        <w:rPr>
          <w:smallCaps/>
          <w:sz w:val="22"/>
        </w:rPr>
      </w:pPr>
      <w:r w:rsidRPr="001C2AA8">
        <w:rPr>
          <w:smallCaps/>
          <w:sz w:val="22"/>
        </w:rPr>
        <w:t>I</w:t>
      </w:r>
      <w:r w:rsidR="00621F29">
        <w:rPr>
          <w:smallCaps/>
          <w:sz w:val="22"/>
        </w:rPr>
        <w:t>I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Az Si mértékrendszer</w:t>
      </w:r>
    </w:p>
    <w:p w:rsidR="001814B1" w:rsidRPr="001814B1" w:rsidRDefault="001814B1" w:rsidP="001814B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1814B1">
        <w:rPr>
          <w:rFonts w:ascii="Times New Roman" w:eastAsia="Times New Roman" w:hAnsi="Times New Roman" w:cs="Times New Roman"/>
          <w:szCs w:val="24"/>
          <w:lang w:eastAsia="hu-HU"/>
        </w:rPr>
        <w:t>A Mértékegységek Nemzetközi Rendszere, röviden SI (Système International d’Unités) egy 1960-ban a 11. Általános Súly- és Mértékügyi Konferencia (General Conference on Weights and Measures) által elfogadott mértékegység rends</w:t>
      </w:r>
      <w:r>
        <w:rPr>
          <w:rFonts w:ascii="Times New Roman" w:eastAsia="Times New Roman" w:hAnsi="Times New Roman" w:cs="Times New Roman"/>
          <w:szCs w:val="24"/>
          <w:lang w:eastAsia="hu-HU"/>
        </w:rPr>
        <w:t>z</w:t>
      </w:r>
      <w:r w:rsidRPr="001814B1">
        <w:rPr>
          <w:rFonts w:ascii="Times New Roman" w:eastAsia="Times New Roman" w:hAnsi="Times New Roman" w:cs="Times New Roman"/>
          <w:szCs w:val="24"/>
          <w:lang w:eastAsia="hu-HU"/>
        </w:rPr>
        <w:t>er. Hazánkban az 1991. évi XLV. Törvény szabályozza.</w:t>
      </w:r>
    </w:p>
    <w:p w:rsidR="001814B1" w:rsidRDefault="001814B1" w:rsidP="001814B1">
      <w:pPr>
        <w:spacing w:after="0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1814B1">
        <w:rPr>
          <w:rFonts w:ascii="Times New Roman" w:eastAsia="Times New Roman" w:hAnsi="Times New Roman" w:cs="Times New Roman"/>
          <w:szCs w:val="24"/>
          <w:lang w:eastAsia="hu-HU"/>
        </w:rPr>
        <w:t>Az Si alap- és származtatott mértékegységekből áll. Az alapegységek 7 tagjáról az alábbi táblázat szolgál információval.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</w:p>
    <w:tbl>
      <w:tblPr>
        <w:tblW w:w="4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1183"/>
        <w:gridCol w:w="2548"/>
      </w:tblGrid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14B1">
              <w:rPr>
                <w:rFonts w:ascii="Times New Roman" w:hAnsi="Times New Roman" w:cs="Times New Roman"/>
                <w:b/>
              </w:rPr>
              <w:t>Név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14B1">
              <w:rPr>
                <w:rFonts w:ascii="Times New Roman" w:hAnsi="Times New Roman" w:cs="Times New Roman"/>
                <w:b/>
              </w:rPr>
              <w:t>Szimbólum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14B1">
              <w:rPr>
                <w:rFonts w:ascii="Times New Roman" w:hAnsi="Times New Roman" w:cs="Times New Roman"/>
                <w:b/>
              </w:rPr>
              <w:t>Mennyiség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Méter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hossz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Kilogramm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tömeg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Másodperc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idő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Amper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Vilamos áramerősség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Kelvin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Termodinamika</w:t>
            </w:r>
          </w:p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hőmérséklet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Mól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Mol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anyagmennyiség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kandela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fényerősség</w:t>
            </w:r>
          </w:p>
        </w:tc>
      </w:tr>
      <w:tr w:rsidR="000B1434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0B1434" w:rsidRPr="001814B1" w:rsidRDefault="000B1434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1434" w:rsidRPr="001814B1" w:rsidRDefault="000B1434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0B1434" w:rsidRPr="001814B1" w:rsidRDefault="00F20B93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Gyorsító erő</w:t>
            </w:r>
          </w:p>
        </w:tc>
      </w:tr>
      <w:tr w:rsidR="000B1434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0B1434" w:rsidRPr="001814B1" w:rsidRDefault="000B1434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Hertz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1434" w:rsidRPr="001814B1" w:rsidRDefault="000B1434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0B1434" w:rsidRPr="001814B1" w:rsidRDefault="00F20B93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Frekvencia</w:t>
            </w:r>
          </w:p>
        </w:tc>
      </w:tr>
      <w:tr w:rsidR="000B1434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0B1434" w:rsidRPr="001814B1" w:rsidRDefault="000B1434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Joule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1434" w:rsidRPr="001814B1" w:rsidRDefault="000B1434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0B1434" w:rsidRPr="001814B1" w:rsidRDefault="00F20B93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Munka/hőmennyiség/energia</w:t>
            </w:r>
          </w:p>
        </w:tc>
      </w:tr>
    </w:tbl>
    <w:p w:rsidR="001814B1" w:rsidRDefault="001814B1" w:rsidP="001814B1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335611" w:rsidRPr="00335611" w:rsidRDefault="00335611" w:rsidP="00335611">
      <w:pPr>
        <w:jc w:val="both"/>
        <w:rPr>
          <w:rFonts w:ascii="Times New Roman" w:hAnsi="Times New Roman" w:cs="Times New Roman"/>
        </w:rPr>
      </w:pPr>
      <w:r w:rsidRPr="00335611">
        <w:rPr>
          <w:rFonts w:ascii="Times New Roman" w:hAnsi="Times New Roman" w:cs="Times New Roman"/>
        </w:rPr>
        <w:t xml:space="preserve">A származtatott egységei az SI-alapegységek hatványainak szorzataként vagy hányadosaként képezhetők a megfelelő mennyiségekre vonatkozó fizikai egyenletek alapján. 1995 óta ide sorolják a korábban kiegészítő egységeknek nevezett egységeket is.  </w:t>
      </w:r>
    </w:p>
    <w:p w:rsidR="00335611" w:rsidRDefault="00335611" w:rsidP="00335611">
      <w:pPr>
        <w:jc w:val="both"/>
        <w:rPr>
          <w:rFonts w:ascii="Times New Roman" w:hAnsi="Times New Roman" w:cs="Times New Roman"/>
        </w:rPr>
      </w:pPr>
      <w:r w:rsidRPr="00335611">
        <w:rPr>
          <w:rFonts w:ascii="Times New Roman" w:hAnsi="Times New Roman" w:cs="Times New Roman"/>
        </w:rPr>
        <w:t xml:space="preserve">A származtatott egységek alcsoportja a kiegészítő egységek, melyek a törvény szerint „dimenziótlan származtatott egységek, melyek további származtatott </w:t>
      </w:r>
      <w:r w:rsidRPr="00335611">
        <w:rPr>
          <w:rFonts w:ascii="Times New Roman" w:hAnsi="Times New Roman" w:cs="Times New Roman"/>
        </w:rPr>
        <w:lastRenderedPageBreak/>
        <w:t xml:space="preserve">egységek kifejezésére használhatók abból a célból, hogy az azonos dimenziójú, de különböző fajtájú mennyiségek mértékegységei egymástól megkülönböztethetőek legyenek.” Ez a két mértékegység a rad és az sr. </w:t>
      </w:r>
      <w:sdt>
        <w:sdtPr>
          <w:rPr>
            <w:rFonts w:ascii="Times New Roman" w:hAnsi="Times New Roman" w:cs="Times New Roman"/>
          </w:rPr>
          <w:id w:val="-1964102613"/>
          <w:citation/>
        </w:sdtPr>
        <w:sdtContent>
          <w:r w:rsidR="0024460F">
            <w:rPr>
              <w:rFonts w:ascii="Times New Roman" w:hAnsi="Times New Roman" w:cs="Times New Roman"/>
            </w:rPr>
            <w:fldChar w:fldCharType="begin"/>
          </w:r>
          <w:r w:rsidR="0024460F">
            <w:rPr>
              <w:rFonts w:ascii="Times New Roman" w:hAnsi="Times New Roman" w:cs="Times New Roman"/>
            </w:rPr>
            <w:instrText xml:space="preserve"> CITATION Web \l 1038 </w:instrText>
          </w:r>
          <w:r w:rsidR="0024460F">
            <w:rPr>
              <w:rFonts w:ascii="Times New Roman" w:hAnsi="Times New Roman" w:cs="Times New Roman"/>
            </w:rPr>
            <w:fldChar w:fldCharType="separate"/>
          </w:r>
          <w:r w:rsidR="00A41B94" w:rsidRPr="00A41B94">
            <w:rPr>
              <w:rFonts w:ascii="Times New Roman" w:hAnsi="Times New Roman" w:cs="Times New Roman"/>
              <w:noProof/>
            </w:rPr>
            <w:t>[1]</w:t>
          </w:r>
          <w:r w:rsidR="0024460F">
            <w:rPr>
              <w:rFonts w:ascii="Times New Roman" w:hAnsi="Times New Roman" w:cs="Times New Roman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</w:rPr>
          <w:id w:val="-680510675"/>
          <w:citation/>
        </w:sdtPr>
        <w:sdtContent>
          <w:r w:rsidR="0024460F">
            <w:rPr>
              <w:rFonts w:ascii="Times New Roman" w:hAnsi="Times New Roman" w:cs="Times New Roman"/>
            </w:rPr>
            <w:fldChar w:fldCharType="begin"/>
          </w:r>
          <w:r w:rsidR="0024460F">
            <w:rPr>
              <w:rFonts w:ascii="Times New Roman" w:hAnsi="Times New Roman" w:cs="Times New Roman"/>
            </w:rPr>
            <w:instrText xml:space="preserve"> CITATION Bud \l 1038 </w:instrText>
          </w:r>
          <w:r w:rsidR="0024460F">
            <w:rPr>
              <w:rFonts w:ascii="Times New Roman" w:hAnsi="Times New Roman" w:cs="Times New Roman"/>
            </w:rPr>
            <w:fldChar w:fldCharType="separate"/>
          </w:r>
          <w:r w:rsidR="00A41B94">
            <w:rPr>
              <w:rFonts w:ascii="Times New Roman" w:hAnsi="Times New Roman" w:cs="Times New Roman"/>
              <w:noProof/>
            </w:rPr>
            <w:t xml:space="preserve"> </w:t>
          </w:r>
          <w:r w:rsidR="00A41B94" w:rsidRPr="00A41B94">
            <w:rPr>
              <w:rFonts w:ascii="Times New Roman" w:hAnsi="Times New Roman" w:cs="Times New Roman"/>
              <w:noProof/>
            </w:rPr>
            <w:t>[2]</w:t>
          </w:r>
          <w:r w:rsidR="0024460F">
            <w:rPr>
              <w:rFonts w:ascii="Times New Roman" w:hAnsi="Times New Roman" w:cs="Times New Roman"/>
            </w:rPr>
            <w:fldChar w:fldCharType="end"/>
          </w:r>
        </w:sdtContent>
      </w:sdt>
    </w:p>
    <w:p w:rsidR="00B8762D" w:rsidRDefault="00B8762D" w:rsidP="003356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Prefixumok: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802"/>
        <w:gridCol w:w="1670"/>
        <w:gridCol w:w="1426"/>
      </w:tblGrid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Előtag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Jele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Szorzó(hatvány)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Szorzó(szám)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Tera-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12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Billió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Giga-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Milliárt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Mega-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Millió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Kilo-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Ezer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Hekto-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Száz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Deka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dk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Tíz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Tized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Centi-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Század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Milli-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Ezred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Mikro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µ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Milliomod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Nano-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-9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Milliárdod</w:t>
            </w:r>
          </w:p>
        </w:tc>
      </w:tr>
      <w:tr w:rsidR="009F6231" w:rsidTr="009F6231">
        <w:trPr>
          <w:jc w:val="center"/>
        </w:trPr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Piko-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17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231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  <w:tc>
          <w:tcPr>
            <w:tcW w:w="1218" w:type="dxa"/>
            <w:vAlign w:val="center"/>
          </w:tcPr>
          <w:p w:rsidR="009F6231" w:rsidRDefault="009F6231" w:rsidP="009F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Billiomod</w:t>
            </w:r>
          </w:p>
        </w:tc>
      </w:tr>
    </w:tbl>
    <w:p w:rsidR="009F6231" w:rsidRPr="00335611" w:rsidRDefault="009F6231" w:rsidP="00335611">
      <w:pPr>
        <w:jc w:val="both"/>
        <w:rPr>
          <w:rFonts w:ascii="Times New Roman" w:hAnsi="Times New Roman" w:cs="Times New Roman"/>
        </w:rPr>
      </w:pPr>
    </w:p>
    <w:p w:rsidR="00335611" w:rsidRPr="001C2AA8" w:rsidRDefault="00621F29" w:rsidP="00335611">
      <w:pPr>
        <w:pStyle w:val="NormalWeb"/>
        <w:spacing w:before="12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III</w:t>
      </w:r>
      <w:r w:rsidR="00335611" w:rsidRPr="001C2AA8">
        <w:rPr>
          <w:smallCaps/>
          <w:sz w:val="22"/>
        </w:rPr>
        <w:t xml:space="preserve">. </w:t>
      </w:r>
      <w:r w:rsidR="00335611">
        <w:rPr>
          <w:smallCaps/>
          <w:sz w:val="22"/>
        </w:rPr>
        <w:t>Mérési alapfogalmak</w:t>
      </w:r>
    </w:p>
    <w:p w:rsidR="00335611" w:rsidRPr="00335611" w:rsidRDefault="00335611" w:rsidP="00335611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Mérés</w:t>
      </w:r>
      <w:sdt>
        <w:sdtPr>
          <w:rPr>
            <w:rFonts w:ascii="Times New Roman" w:hAnsi="Times New Roman" w:cs="Times New Roman"/>
            <w:b/>
            <w:sz w:val="22"/>
          </w:rPr>
          <w:id w:val="1646940148"/>
          <w:citation/>
        </w:sdtPr>
        <w:sdtContent>
          <w:r w:rsidR="0024460F" w:rsidRPr="0024460F">
            <w:rPr>
              <w:rFonts w:ascii="Times New Roman" w:hAnsi="Times New Roman" w:cs="Times New Roman"/>
              <w:b/>
              <w:sz w:val="22"/>
              <w:vertAlign w:val="superscript"/>
            </w:rPr>
            <w:fldChar w:fldCharType="begin"/>
          </w:r>
          <w:r w:rsidR="0024460F" w:rsidRPr="0024460F">
            <w:rPr>
              <w:rFonts w:ascii="Times New Roman" w:hAnsi="Times New Roman" w:cs="Times New Roman"/>
              <w:b/>
              <w:sz w:val="22"/>
              <w:vertAlign w:val="superscript"/>
            </w:rPr>
            <w:instrText xml:space="preserve"> CITATION Pog \l 1038 </w:instrText>
          </w:r>
          <w:r w:rsidR="0024460F" w:rsidRPr="0024460F">
            <w:rPr>
              <w:rFonts w:ascii="Times New Roman" w:hAnsi="Times New Roman" w:cs="Times New Roman"/>
              <w:b/>
              <w:sz w:val="22"/>
              <w:vertAlign w:val="superscript"/>
            </w:rPr>
            <w:fldChar w:fldCharType="separate"/>
          </w:r>
          <w:r w:rsidR="00A41B94">
            <w:rPr>
              <w:rFonts w:ascii="Times New Roman" w:hAnsi="Times New Roman" w:cs="Times New Roman"/>
              <w:b/>
              <w:noProof/>
              <w:sz w:val="22"/>
              <w:vertAlign w:val="superscript"/>
            </w:rPr>
            <w:t xml:space="preserve"> </w:t>
          </w:r>
          <w:r w:rsidR="00A41B94" w:rsidRPr="00A41B94">
            <w:rPr>
              <w:rFonts w:ascii="Times New Roman" w:hAnsi="Times New Roman" w:cs="Times New Roman"/>
              <w:noProof/>
              <w:sz w:val="22"/>
            </w:rPr>
            <w:t>[3]</w:t>
          </w:r>
          <w:r w:rsidR="0024460F" w:rsidRPr="0024460F">
            <w:rPr>
              <w:rFonts w:ascii="Times New Roman" w:hAnsi="Times New Roman" w:cs="Times New Roman"/>
              <w:b/>
              <w:sz w:val="22"/>
              <w:vertAlign w:val="superscript"/>
            </w:rPr>
            <w:fldChar w:fldCharType="end"/>
          </w:r>
        </w:sdtContent>
      </w:sdt>
      <w:r w:rsidRPr="00335611">
        <w:rPr>
          <w:rFonts w:ascii="Times New Roman" w:hAnsi="Times New Roman" w:cs="Times New Roman"/>
          <w:sz w:val="22"/>
        </w:rPr>
        <w:t xml:space="preserve">: </w:t>
      </w:r>
      <w:r w:rsidR="001A0D39">
        <w:rPr>
          <w:rFonts w:ascii="Times New Roman" w:hAnsi="Times New Roman" w:cs="Times New Roman"/>
          <w:sz w:val="22"/>
        </w:rPr>
        <w:t xml:space="preserve">A mérés összehasonlító tevékenység, melyek sorána vizsgált anyag, munkadarab valameéy mérendő fizikai jellemzőjét valamilyen – erre alkalmas, általában szabványosított – fizikai alapmennyiséggel hasonlítják össze, hogy megkapják a mérőszámot. </w:t>
      </w:r>
    </w:p>
    <w:p w:rsidR="00335611" w:rsidRPr="00335611" w:rsidRDefault="00335611" w:rsidP="00335611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Etalon</w:t>
      </w:r>
      <w:sdt>
        <w:sdtPr>
          <w:rPr>
            <w:rFonts w:ascii="Times New Roman" w:hAnsi="Times New Roman" w:cs="Times New Roman"/>
            <w:b/>
            <w:sz w:val="22"/>
          </w:rPr>
          <w:id w:val="1241750108"/>
          <w:citation/>
        </w:sdtPr>
        <w:sdtContent>
          <w:r w:rsidR="00A41B94">
            <w:rPr>
              <w:rFonts w:ascii="Times New Roman" w:hAnsi="Times New Roman" w:cs="Times New Roman"/>
              <w:b/>
              <w:sz w:val="22"/>
            </w:rPr>
            <w:fldChar w:fldCharType="begin"/>
          </w:r>
          <w:r w:rsidR="00A41B94">
            <w:rPr>
              <w:rFonts w:ascii="Times New Roman" w:hAnsi="Times New Roman" w:cs="Times New Roman"/>
              <w:b/>
              <w:sz w:val="22"/>
            </w:rPr>
            <w:instrText xml:space="preserve"> CITATION Web1 \l 1038 </w:instrText>
          </w:r>
          <w:r w:rsidR="00A41B94">
            <w:rPr>
              <w:rFonts w:ascii="Times New Roman" w:hAnsi="Times New Roman" w:cs="Times New Roman"/>
              <w:b/>
              <w:sz w:val="22"/>
            </w:rPr>
            <w:fldChar w:fldCharType="separate"/>
          </w:r>
          <w:r w:rsidR="00A41B94">
            <w:rPr>
              <w:rFonts w:ascii="Times New Roman" w:hAnsi="Times New Roman" w:cs="Times New Roman"/>
              <w:b/>
              <w:noProof/>
              <w:sz w:val="22"/>
            </w:rPr>
            <w:t xml:space="preserve"> </w:t>
          </w:r>
          <w:r w:rsidR="00A41B94" w:rsidRPr="00A41B94">
            <w:rPr>
              <w:rFonts w:ascii="Times New Roman" w:hAnsi="Times New Roman" w:cs="Times New Roman"/>
              <w:noProof/>
              <w:sz w:val="22"/>
            </w:rPr>
            <w:t>[4]</w:t>
          </w:r>
          <w:r w:rsidR="00A41B94">
            <w:rPr>
              <w:rFonts w:ascii="Times New Roman" w:hAnsi="Times New Roman" w:cs="Times New Roman"/>
              <w:b/>
              <w:sz w:val="22"/>
            </w:rPr>
            <w:fldChar w:fldCharType="end"/>
          </w:r>
        </w:sdtContent>
      </w:sdt>
      <w:r w:rsidRPr="006A0016">
        <w:rPr>
          <w:rFonts w:ascii="Times New Roman" w:hAnsi="Times New Roman" w:cs="Times New Roman"/>
          <w:b/>
          <w:sz w:val="22"/>
        </w:rPr>
        <w:t>:</w:t>
      </w:r>
      <w:r w:rsidR="006A0016">
        <w:rPr>
          <w:rFonts w:ascii="Times New Roman" w:hAnsi="Times New Roman" w:cs="Times New Roman"/>
          <w:sz w:val="22"/>
        </w:rPr>
        <w:t xml:space="preserve"> </w:t>
      </w:r>
      <w:r w:rsidR="00A41B94">
        <w:rPr>
          <w:rFonts w:ascii="Times New Roman" w:hAnsi="Times New Roman" w:cs="Times New Roman"/>
          <w:sz w:val="22"/>
        </w:rPr>
        <w:t xml:space="preserve">Valamely mennyiség mértékegységét reprodukálható módon megtestesítő mérőeszköz. </w:t>
      </w:r>
    </w:p>
    <w:p w:rsidR="00335611" w:rsidRPr="00335611" w:rsidRDefault="00335611" w:rsidP="00335611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Mértékegység:</w:t>
      </w:r>
      <w:r w:rsidRPr="00335611">
        <w:rPr>
          <w:rFonts w:ascii="Times New Roman" w:hAnsi="Times New Roman" w:cs="Times New Roman"/>
          <w:sz w:val="22"/>
        </w:rPr>
        <w:t xml:space="preserve"> valamely fizikai mennyiség méréséhez szolgáló, általában nemzetközileg elfogadott viszonyítási alap. </w:t>
      </w:r>
    </w:p>
    <w:p w:rsidR="00AA535A" w:rsidRDefault="00335611" w:rsidP="00AA535A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Mérőszám:</w:t>
      </w:r>
      <w:r w:rsidRPr="00335611">
        <w:rPr>
          <w:rFonts w:ascii="Times New Roman" w:hAnsi="Times New Roman" w:cs="Times New Roman"/>
          <w:sz w:val="22"/>
        </w:rPr>
        <w:t xml:space="preserve"> megmutatja hányszorosa a mértékegységnek a mért anyag</w:t>
      </w:r>
    </w:p>
    <w:p w:rsidR="00AA535A" w:rsidRPr="00AA535A" w:rsidRDefault="00621F29" w:rsidP="00AA535A">
      <w:pPr>
        <w:pStyle w:val="Default"/>
        <w:spacing w:after="120"/>
        <w:ind w:left="360"/>
        <w:jc w:val="center"/>
        <w:rPr>
          <w:rFonts w:ascii="Times New Roman" w:hAnsi="Times New Roman" w:cs="Times New Roman"/>
          <w:smallCaps/>
          <w:sz w:val="22"/>
        </w:rPr>
      </w:pPr>
      <w:r>
        <w:rPr>
          <w:rFonts w:ascii="Times New Roman" w:hAnsi="Times New Roman" w:cs="Times New Roman"/>
          <w:smallCaps/>
          <w:sz w:val="22"/>
        </w:rPr>
        <w:t>I</w:t>
      </w:r>
      <w:r w:rsidR="00AA535A" w:rsidRPr="00AA535A">
        <w:rPr>
          <w:rFonts w:ascii="Times New Roman" w:hAnsi="Times New Roman" w:cs="Times New Roman"/>
          <w:smallCaps/>
          <w:sz w:val="22"/>
        </w:rPr>
        <w:t>V. Folyosó hosszának mérése</w:t>
      </w:r>
    </w:p>
    <w:p w:rsidR="00470D68" w:rsidRDefault="00470D68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Mérendő objektum: 4. emeleti folyosó</w:t>
      </w:r>
    </w:p>
    <w:p w:rsidR="00470D68" w:rsidRDefault="00470D68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Mérőeszköz: ’B</w:t>
      </w:r>
      <w:r w:rsidR="00995769"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/>
          <w:sz w:val="22"/>
        </w:rPr>
        <w:t xml:space="preserve"> jelzésű méterrúd</w:t>
      </w:r>
    </w:p>
    <w:p w:rsidR="000D0A1C" w:rsidRDefault="00AA535A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A mérés során a</w:t>
      </w:r>
      <w:r w:rsidR="000D0A1C">
        <w:rPr>
          <w:rFonts w:ascii="Times New Roman" w:hAnsi="Times New Roman" w:cs="Times New Roman"/>
          <w:sz w:val="22"/>
        </w:rPr>
        <w:t xml:space="preserve"> ’B’ jelű méterrúddal, azt ismételten odébbhelyezve, az ujjunkkal jelölve az előző méréskor a méterrúd végét</w:t>
      </w:r>
      <w:r>
        <w:rPr>
          <w:rFonts w:ascii="Times New Roman" w:hAnsi="Times New Roman" w:cs="Times New Roman"/>
          <w:sz w:val="22"/>
        </w:rPr>
        <w:t>.</w:t>
      </w:r>
      <w:r w:rsidR="000D0A1C">
        <w:rPr>
          <w:rFonts w:ascii="Times New Roman" w:hAnsi="Times New Roman" w:cs="Times New Roman"/>
          <w:sz w:val="22"/>
        </w:rPr>
        <w:t xml:space="preserve"> A méterrudat 34 alkalommal helyeztük át, megmaradt továbbá a folyosó végén a méterrúddal 64cm-nek meghatározott hossz. </w:t>
      </w:r>
    </w:p>
    <w:p w:rsidR="000D0A1C" w:rsidRDefault="000D0A1C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folyosó hosszának meghatározásához a következő képletet használtuk:</w:t>
      </w:r>
    </w:p>
    <w:p w:rsidR="00AA535A" w:rsidRDefault="000D0A1C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Jelölje </w:t>
      </w:r>
      <w:r>
        <w:rPr>
          <w:rFonts w:ascii="Times New Roman" w:hAnsi="Times New Roman" w:cs="Times New Roman"/>
          <w:i/>
          <w:sz w:val="22"/>
        </w:rPr>
        <w:t>l</w:t>
      </w:r>
      <w:r>
        <w:rPr>
          <w:rFonts w:ascii="Times New Roman" w:hAnsi="Times New Roman" w:cs="Times New Roman"/>
          <w:sz w:val="22"/>
        </w:rPr>
        <w:t xml:space="preserve"> a méterrúd hosszát, hiszen aboszlút mérési bizonytalanság a méterrúd esetleges eltérése az 1m-es hossztól</w:t>
      </w:r>
      <w:r w:rsidR="002B5ED0">
        <w:rPr>
          <w:rFonts w:ascii="Times New Roman" w:hAnsi="Times New Roman" w:cs="Times New Roman"/>
          <w:sz w:val="22"/>
        </w:rPr>
        <w:t xml:space="preserve">, ezt jelölje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</w:rPr>
              <m:t>la</m:t>
            </m:r>
          </m:e>
        </m:nary>
      </m:oMath>
      <w:r>
        <w:rPr>
          <w:rFonts w:ascii="Times New Roman" w:hAnsi="Times New Roman" w:cs="Times New Roman"/>
          <w:sz w:val="22"/>
        </w:rPr>
        <w:t xml:space="preserve">. Vegyük ezen felül számításba, hogy minden áthelyezéskor felmerülhet emberi hibából adódó mérési hiba, ezt a relatív mérési bizonytalanságot, mivel az ujjunkkal jelöltük a méterrúd végét, </w:t>
      </w:r>
      <w:r>
        <w:rPr>
          <w:rFonts w:ascii="Times New Roman" w:hAnsi="Times New Roman" w:cs="Times New Roman"/>
          <w:i/>
          <w:sz w:val="22"/>
        </w:rPr>
        <w:t>h</w:t>
      </w:r>
      <w:r>
        <w:rPr>
          <w:rFonts w:ascii="Times New Roman" w:hAnsi="Times New Roman" w:cs="Times New Roman"/>
          <w:sz w:val="22"/>
        </w:rPr>
        <w:t xml:space="preserve">-val jelöljük ezt az esetleges hibát, mely minden áthelyezéskor felmerül, és az ujjunkból adódóan -0.5 cm és +0.5 cm közé esik. </w:t>
      </w:r>
      <w:r w:rsidR="002B5ED0">
        <w:rPr>
          <w:rFonts w:ascii="Times New Roman" w:hAnsi="Times New Roman" w:cs="Times New Roman"/>
          <w:sz w:val="22"/>
        </w:rPr>
        <w:t xml:space="preserve">Ezeknek összegével számolunk, legyen: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</w:rPr>
              <m:t>h</m:t>
            </m:r>
          </m:e>
        </m:nary>
      </m:oMath>
      <w:r w:rsidR="002B5ED0">
        <w:rPr>
          <w:rFonts w:ascii="Times New Roman" w:hAnsi="Times New Roman" w:cs="Times New Roman"/>
          <w:sz w:val="22"/>
        </w:rPr>
        <w:t xml:space="preserve">. </w:t>
      </w:r>
    </w:p>
    <w:p w:rsidR="002B5ED0" w:rsidRPr="002B5ED0" w:rsidRDefault="002B5ED0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Az általános képlet felírásához legyen a méterrúd áthelyezésének száma, tehát a feltételezett érték méterben: A. </w:t>
      </w:r>
    </w:p>
    <w:p w:rsidR="000D0A1C" w:rsidRDefault="000D0A1C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képlet tehát:</w:t>
      </w:r>
    </w:p>
    <w:p w:rsidR="000D0A1C" w:rsidRPr="000D0A1C" w:rsidRDefault="002B5ED0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A*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l+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2"/>
                    </w:rPr>
                    <m:t>la</m:t>
                  </m:r>
                </m:e>
              </m:nary>
            </m:e>
          </m:d>
          <m:r>
            <w:rPr>
              <w:rFonts w:ascii="Cambria Math" w:hAnsi="Cambria Math" w:cs="Times New Roman"/>
              <w:sz w:val="22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2"/>
                </w:rPr>
                <m:t>h</m:t>
              </m:r>
            </m:e>
          </m:nary>
        </m:oMath>
      </m:oMathPara>
    </w:p>
    <w:p w:rsidR="00E21819" w:rsidRDefault="00E21819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1%-os hibával számolva az eredmény 40.791*0.99=40.38309 és 40.791*1.01=4.83891 közötti értéket vesz fel. </w:t>
      </w:r>
    </w:p>
    <w:p w:rsidR="00E21819" w:rsidRPr="001C2AA8" w:rsidRDefault="00621F29" w:rsidP="00E21819">
      <w:pPr>
        <w:pStyle w:val="NormalWeb"/>
        <w:spacing w:before="12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V</w:t>
      </w:r>
      <w:r w:rsidR="00E21819" w:rsidRPr="001C2AA8">
        <w:rPr>
          <w:smallCaps/>
          <w:sz w:val="22"/>
        </w:rPr>
        <w:t xml:space="preserve">. </w:t>
      </w:r>
      <w:r w:rsidR="00E21819">
        <w:rPr>
          <w:smallCaps/>
          <w:sz w:val="22"/>
        </w:rPr>
        <w:t xml:space="preserve">Az </w:t>
      </w:r>
      <w:r w:rsidR="00044F7D">
        <w:rPr>
          <w:smallCaps/>
          <w:sz w:val="22"/>
        </w:rPr>
        <w:t>atomóra</w:t>
      </w:r>
    </w:p>
    <w:p w:rsidR="00E21819" w:rsidRDefault="00EB4B8B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1122735477"/>
          <w:citation/>
        </w:sdtPr>
        <w:sdtContent>
          <w:r>
            <w:rPr>
              <w:rFonts w:ascii="Times New Roman" w:hAnsi="Times New Roman" w:cs="Times New Roman"/>
              <w:sz w:val="22"/>
            </w:rPr>
            <w:fldChar w:fldCharType="begin"/>
          </w:r>
          <w:r>
            <w:rPr>
              <w:rFonts w:ascii="Times New Roman" w:hAnsi="Times New Roman" w:cs="Times New Roman"/>
              <w:sz w:val="22"/>
            </w:rPr>
            <w:instrText xml:space="preserve"> CITATION Wik1 \l 1038 </w:instrText>
          </w:r>
          <w:r>
            <w:rPr>
              <w:rFonts w:ascii="Times New Roman" w:hAnsi="Times New Roman" w:cs="Times New Roman"/>
              <w:sz w:val="22"/>
            </w:rPr>
            <w:fldChar w:fldCharType="separate"/>
          </w:r>
          <w:r w:rsidR="00A41B94" w:rsidRPr="00A41B94">
            <w:rPr>
              <w:rFonts w:ascii="Times New Roman" w:hAnsi="Times New Roman" w:cs="Times New Roman"/>
              <w:noProof/>
              <w:sz w:val="22"/>
            </w:rPr>
            <w:t>[5]</w:t>
          </w:r>
          <w:r>
            <w:rPr>
              <w:rFonts w:ascii="Times New Roman" w:hAnsi="Times New Roman" w:cs="Times New Roman"/>
              <w:sz w:val="22"/>
            </w:rPr>
            <w:fldChar w:fldCharType="end"/>
          </w:r>
        </w:sdtContent>
      </w:sdt>
      <w:r w:rsidR="00044F7D">
        <w:rPr>
          <w:rFonts w:ascii="Times New Roman" w:hAnsi="Times New Roman" w:cs="Times New Roman"/>
          <w:sz w:val="22"/>
        </w:rPr>
        <w:t xml:space="preserve">Az atomóra működésekor </w:t>
      </w:r>
      <w:r w:rsidR="00044F7D" w:rsidRPr="00044F7D">
        <w:rPr>
          <w:rFonts w:ascii="Times New Roman" w:hAnsi="Times New Roman" w:cs="Times New Roman"/>
          <w:sz w:val="22"/>
        </w:rPr>
        <w:t>az idő mérésére az atomok rezgésszámát használják fel, ezzel egy pontos frekvenciát előállítva. Az adott frekvencia adja ki a másodperceket, majd ebből származtatják a nagyobb időegységeket.</w:t>
      </w:r>
      <w:r w:rsidR="00044F7D">
        <w:rPr>
          <w:rFonts w:ascii="Times New Roman" w:hAnsi="Times New Roman" w:cs="Times New Roman"/>
          <w:sz w:val="22"/>
        </w:rPr>
        <w:t xml:space="preserve">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>Ammóniagázt egy kis kamrába zárnak, melynek egyik oldalán mikrohullámú gerjesz</w:t>
      </w:r>
      <w:r>
        <w:rPr>
          <w:rFonts w:ascii="Times New Roman" w:hAnsi="Times New Roman" w:cs="Times New Roman"/>
        </w:rPr>
        <w:t>t</w:t>
      </w:r>
      <w:r w:rsidRPr="00044F7D">
        <w:rPr>
          <w:rFonts w:ascii="Times New Roman" w:hAnsi="Times New Roman" w:cs="Times New Roman"/>
        </w:rPr>
        <w:t xml:space="preserve">ő készülék található, a másik oldalán pedig egy mérőeszköz a gáz, a gerjesztésből adódó rezgésére reagál. A mikrohullámú frekvencia változtatásával egy adott frekvencián az atomok rezgésbe jönnek. Amikor a legnagyobb jelet kapják, a használt frekvencia az ammónia sajátfrekvenciája.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 xml:space="preserve">Mérési hibát okozhat, hogy az ammóniamolekulák egymással és a kamra falával is ütközhetnek, ettől a frekvencia módosulhat. Szintén problémát jelenthet, hogy az atomok egyszer a műszer felé, máskor viszont az ellenkező irányba mozognak, ez pedig a Doppler-effektus miatt szintén a frekvencia megváltozását eredményezi.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 xml:space="preserve">Ennek megoldására használnak céziumot, mely esetében ezek a problémák nem lépnek fel. A mérés során a céziumot légüres csőbe vezetik és felhevítik. Az atomok egymás mellett haladnak, így az ammóniával ellentétben nem ütközhetnek. Az atomok a haladás során egy mágneses térhez érnek, melynek iránya </w:t>
      </w:r>
      <w:r w:rsidRPr="00044F7D">
        <w:rPr>
          <w:rFonts w:ascii="Times New Roman" w:hAnsi="Times New Roman" w:cs="Times New Roman"/>
        </w:rPr>
        <w:lastRenderedPageBreak/>
        <w:t>ellentétes az atomok haladási irányával, ezért az atomok közül csak az azonos energiaállapotúak haladnak tovább a csőben. A tovább</w:t>
      </w:r>
      <w:r>
        <w:rPr>
          <w:rFonts w:ascii="Times New Roman" w:hAnsi="Times New Roman" w:cs="Times New Roman"/>
        </w:rPr>
        <w:t xml:space="preserve"> </w:t>
      </w:r>
      <w:r w:rsidRPr="00044F7D">
        <w:rPr>
          <w:rFonts w:ascii="Times New Roman" w:hAnsi="Times New Roman" w:cs="Times New Roman"/>
        </w:rPr>
        <w:t xml:space="preserve">haladó atomokat mikrohullámmal gerjesztik. Az atomok ezután egy másik mágneses mezővel találkoznak, mely csak azokat az atomokat téríti el, melyek nem változtatták meg az energiaállapotukat. Ezután egy érzékelőszonda a belé ütköző atomok számával arányos jelet ad mi magából. Ezt a frekvenciát visszavezetik, ezzel beállítva a gerjesztőfrekvenciát, úgy, hogy minél nagyobb számú atom érkezzen az érzékelőbe. Ekkor a beállított frekvencia meg fog egyezni az atomok saját rezonanciafrekvenciájával.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>A legjobb atomóra pontossága 5x10</w:t>
      </w:r>
      <w:r w:rsidRPr="00044F7D">
        <w:rPr>
          <w:rFonts w:ascii="Times New Roman" w:hAnsi="Times New Roman" w:cs="Times New Roman"/>
          <w:vertAlign w:val="superscript"/>
        </w:rPr>
        <w:t>-19</w:t>
      </w:r>
      <w:r w:rsidRPr="00044F7D">
        <w:rPr>
          <w:rFonts w:ascii="Times New Roman" w:hAnsi="Times New Roman" w:cs="Times New Roman"/>
        </w:rPr>
        <w:t xml:space="preserve"> nagyságrendű, 1 órás átlagolással, tehát a pontossága igen magas. A pontosság nem csak az időmérésre való felhasználásban fontos, hanem GPS mérésekben vagy tudományos mértékegységek meghatározásában is.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 xml:space="preserve">Az atomóra pontosságának javításán folyamatosan dolgoznak. Egyik ilyen a mikrohullámú gerjesztés felcserélése fényre. A fény magasabb frekvenciája stabil lézerrendszerrel együtt nagyobb frekvenciastabilitást tesz lehetővé. </w:t>
      </w:r>
    </w:p>
    <w:p w:rsidR="00044F7D" w:rsidRPr="001C2AA8" w:rsidRDefault="00621F29" w:rsidP="00044F7D">
      <w:pPr>
        <w:pStyle w:val="NormalWeb"/>
        <w:spacing w:before="12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V</w:t>
      </w:r>
      <w:r w:rsidR="00044F7D">
        <w:rPr>
          <w:smallCaps/>
          <w:sz w:val="22"/>
        </w:rPr>
        <w:t>I</w:t>
      </w:r>
      <w:r w:rsidR="00044F7D" w:rsidRPr="001C2AA8">
        <w:rPr>
          <w:smallCaps/>
          <w:sz w:val="22"/>
        </w:rPr>
        <w:t xml:space="preserve">. </w:t>
      </w:r>
      <w:r w:rsidR="00044F7D">
        <w:rPr>
          <w:smallCaps/>
          <w:sz w:val="22"/>
        </w:rPr>
        <w:t>A szem felbontóképessége</w:t>
      </w:r>
    </w:p>
    <w:p w:rsidR="00995769" w:rsidRDefault="00995769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Mérendő objektum: Gréta szemének felbontóképessége</w:t>
      </w:r>
    </w:p>
    <w:p w:rsidR="00995769" w:rsidRDefault="00995769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Mérőeszköz: ’B’ jelű méterrúd</w:t>
      </w:r>
    </w:p>
    <w:p w:rsidR="00044F7D" w:rsidRDefault="00044F7D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mérés során a ’B’ jelű méterrúddal megmértük Gréta szemmagasságát (163 cm), majd a falra ragasztott ábrát aljának (140 cm) és tetejének (</w:t>
      </w:r>
      <w:r w:rsidR="00EC1206">
        <w:rPr>
          <w:rFonts w:ascii="Times New Roman" w:hAnsi="Times New Roman" w:cs="Times New Roman"/>
          <w:sz w:val="22"/>
        </w:rPr>
        <w:t>165 cm</w:t>
      </w:r>
      <w:r>
        <w:rPr>
          <w:rFonts w:ascii="Times New Roman" w:hAnsi="Times New Roman" w:cs="Times New Roman"/>
          <w:sz w:val="22"/>
        </w:rPr>
        <w:t>)</w:t>
      </w:r>
      <w:r w:rsidR="00EC1206">
        <w:rPr>
          <w:rFonts w:ascii="Times New Roman" w:hAnsi="Times New Roman" w:cs="Times New Roman"/>
          <w:sz w:val="22"/>
        </w:rPr>
        <w:t xml:space="preserve"> magasságát. Kimértük továbbá a távolságot a fal és Gréta között (721.1 cm). </w:t>
      </w:r>
    </w:p>
    <w:p w:rsidR="00EC1206" w:rsidRDefault="00EC1206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szöget úgy kaphatjuk meg, ha a háromszög két oldalát ismerjük. A háromszög csúcsainak a két négyzet középpontja és a szemünk felel meg. Két színes hatszög középpontjának távolsága a hatszöget alkotó szabályos háromszög magasságának kétszerese (1.2 cm). Ezután kiszámoljuk az alakzatok átmérőjének és a távolság hányadosának arctg-ét. </w:t>
      </w:r>
    </w:p>
    <w:p w:rsidR="00EC1206" w:rsidRPr="00EC1206" w:rsidRDefault="00EC1206" w:rsidP="00E21819">
      <w:pPr>
        <w:pStyle w:val="Default"/>
        <w:spacing w:after="12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átmérő </m:t>
                  </m:r>
                </m:num>
                <m:den>
                  <m:r>
                    <w:rPr>
                      <w:rFonts w:ascii="Cambria Math" w:hAnsi="Cambria Math"/>
                    </w:rPr>
                    <m:t>távolság</m:t>
                  </m:r>
                </m:den>
              </m:f>
            </m:e>
          </m:d>
          <m:r>
            <w:rPr>
              <w:rFonts w:ascii="Cambria Math" w:hAnsi="Cambria Math"/>
            </w:rPr>
            <m:t>=felbontóképesség szöge</m:t>
          </m:r>
        </m:oMath>
      </m:oMathPara>
    </w:p>
    <w:p w:rsidR="002B5ED0" w:rsidRDefault="002B5ED0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Hozzuk létre a következő általános képletet:</w:t>
      </w:r>
    </w:p>
    <w:p w:rsidR="002B5ED0" w:rsidRDefault="002B5ED0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Legyen A  mért érték, valamint </w:t>
      </w:r>
      <w:r>
        <w:rPr>
          <w:rFonts w:ascii="Times New Roman" w:hAnsi="Times New Roman" w:cs="Times New Roman"/>
          <w:i/>
          <w:sz w:val="22"/>
        </w:rPr>
        <w:t>l</w:t>
      </w:r>
      <w:r>
        <w:rPr>
          <w:rFonts w:ascii="Times New Roman" w:hAnsi="Times New Roman" w:cs="Times New Roman"/>
          <w:sz w:val="22"/>
        </w:rPr>
        <w:t xml:space="preserve"> a méterrúd hossza, és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</w:rPr>
              <m:t>la</m:t>
            </m:r>
          </m:e>
        </m:nary>
      </m:oMath>
      <w:r>
        <w:rPr>
          <w:rFonts w:ascii="Times New Roman" w:hAnsi="Times New Roman" w:cs="Times New Roman"/>
          <w:sz w:val="22"/>
        </w:rPr>
        <w:t xml:space="preserve"> az esetleges hosszeltérés. Jelölje továbbá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</w:rPr>
              <m:t>p</m:t>
            </m:r>
          </m:e>
        </m:nary>
      </m:oMath>
      <w:r>
        <w:rPr>
          <w:rFonts w:ascii="Times New Roman" w:hAnsi="Times New Roman" w:cs="Times New Roman"/>
          <w:sz w:val="22"/>
        </w:rPr>
        <w:t xml:space="preserve"> az átmérő távolságánál vett bizonytalanságokat, és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</m:nary>
      </m:oMath>
      <w:r>
        <w:rPr>
          <w:rFonts w:ascii="Times New Roman" w:hAnsi="Times New Roman" w:cs="Times New Roman"/>
          <w:sz w:val="22"/>
        </w:rPr>
        <w:t xml:space="preserve"> a távolság mérésénél vett bizonytalanságot. </w:t>
      </w:r>
    </w:p>
    <w:p w:rsidR="002B5ED0" w:rsidRDefault="002B5ED0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Ekkor a képlet:</w:t>
      </w:r>
    </w:p>
    <w:p w:rsidR="002B5ED0" w:rsidRPr="002B5ED0" w:rsidRDefault="002B5ED0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arctg(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l+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la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l+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la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2"/>
                    </w:rPr>
                    <m:t>v</m:t>
                  </m:r>
                </m:e>
              </m:nary>
            </m:den>
          </m:f>
          <m:r>
            <w:rPr>
              <w:rFonts w:ascii="Cambria Math" w:hAnsi="Cambria Math" w:cs="Times New Roman"/>
              <w:sz w:val="22"/>
            </w:rPr>
            <m:t>)</m:t>
          </m:r>
        </m:oMath>
      </m:oMathPara>
    </w:p>
    <w:p w:rsidR="002B5ED0" w:rsidRDefault="002B5ED0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képletből látható, hogy a mérőrúd hossza, és annak eltérései kiesnek, hiszen egy mérés során az érték nem </w:t>
      </w:r>
      <w:r>
        <w:rPr>
          <w:rFonts w:ascii="Times New Roman" w:hAnsi="Times New Roman" w:cs="Times New Roman"/>
          <w:sz w:val="22"/>
        </w:rPr>
        <w:lastRenderedPageBreak/>
        <w:t>változik</w:t>
      </w:r>
      <w:r w:rsidR="00961A30">
        <w:rPr>
          <w:rFonts w:ascii="Times New Roman" w:hAnsi="Times New Roman" w:cs="Times New Roman"/>
          <w:sz w:val="22"/>
        </w:rPr>
        <w:t>, így</w:t>
      </w:r>
      <w:r>
        <w:rPr>
          <w:rFonts w:ascii="Times New Roman" w:hAnsi="Times New Roman" w:cs="Times New Roman"/>
          <w:sz w:val="22"/>
        </w:rPr>
        <w:t xml:space="preserve"> a </w:t>
      </w:r>
      <w:r w:rsidR="00933DE3">
        <w:rPr>
          <w:rFonts w:ascii="Times New Roman" w:hAnsi="Times New Roman" w:cs="Times New Roman"/>
          <w:sz w:val="22"/>
        </w:rPr>
        <w:t xml:space="preserve">+- </w:t>
      </w:r>
      <w:r w:rsidR="00961A30">
        <w:rPr>
          <w:rFonts w:ascii="Times New Roman" w:hAnsi="Times New Roman" w:cs="Times New Roman"/>
          <w:sz w:val="22"/>
        </w:rPr>
        <w:t>2 és 5 mm-es eltérések is abszolút mérési bizonytalanságoknak</w:t>
      </w:r>
      <w:r w:rsidR="00933DE3">
        <w:rPr>
          <w:rFonts w:ascii="Times New Roman" w:hAnsi="Times New Roman" w:cs="Times New Roman"/>
          <w:sz w:val="22"/>
        </w:rPr>
        <w:t xml:space="preserve"> </w:t>
      </w:r>
      <w:r w:rsidR="00961A30">
        <w:rPr>
          <w:rFonts w:ascii="Times New Roman" w:hAnsi="Times New Roman" w:cs="Times New Roman"/>
          <w:sz w:val="22"/>
        </w:rPr>
        <w:t>számítanak</w:t>
      </w:r>
      <w:r w:rsidR="00933DE3">
        <w:rPr>
          <w:rFonts w:ascii="Times New Roman" w:hAnsi="Times New Roman" w:cs="Times New Roman"/>
          <w:sz w:val="22"/>
        </w:rPr>
        <w:t xml:space="preserve">. </w:t>
      </w:r>
    </w:p>
    <w:p w:rsidR="00737EEB" w:rsidRPr="001C2AA8" w:rsidRDefault="00621F29" w:rsidP="00EA3F6E">
      <w:pPr>
        <w:pStyle w:val="NormalWeb"/>
        <w:spacing w:before="24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VII</w:t>
      </w:r>
      <w:r w:rsidR="00737EEB" w:rsidRPr="001C2AA8">
        <w:rPr>
          <w:smallCaps/>
          <w:sz w:val="22"/>
        </w:rPr>
        <w:t xml:space="preserve">. </w:t>
      </w:r>
      <w:r w:rsidR="00737EEB">
        <w:rPr>
          <w:smallCaps/>
          <w:sz w:val="22"/>
        </w:rPr>
        <w:t>Mérési hibák</w:t>
      </w:r>
    </w:p>
    <w:p w:rsidR="004904C6" w:rsidRPr="00222547" w:rsidRDefault="004904C6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Mérőeszköz tulajdonságai</w:t>
      </w:r>
    </w:p>
    <w:p w:rsidR="004904C6" w:rsidRPr="00222547" w:rsidRDefault="004904C6" w:rsidP="002225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Az etalon pontatlansága miatt a ’</w:t>
      </w:r>
      <w:r w:rsidR="001C38F8">
        <w:rPr>
          <w:rFonts w:ascii="Times New Roman" w:hAnsi="Times New Roman" w:cs="Times New Roman"/>
        </w:rPr>
        <w:t>B</w:t>
      </w:r>
      <w:r w:rsidRPr="00222547">
        <w:rPr>
          <w:rFonts w:ascii="Times New Roman" w:hAnsi="Times New Roman" w:cs="Times New Roman"/>
        </w:rPr>
        <w:t>’ méterrúd nem pontosan egy méter</w:t>
      </w:r>
    </w:p>
    <w:p w:rsidR="004904C6" w:rsidRPr="00222547" w:rsidRDefault="004904C6" w:rsidP="002225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’</w:t>
      </w:r>
      <w:r w:rsidR="001C38F8">
        <w:rPr>
          <w:rFonts w:ascii="Times New Roman" w:hAnsi="Times New Roman" w:cs="Times New Roman"/>
        </w:rPr>
        <w:t>B</w:t>
      </w:r>
      <w:r w:rsidRPr="00222547">
        <w:rPr>
          <w:rFonts w:ascii="Times New Roman" w:hAnsi="Times New Roman" w:cs="Times New Roman"/>
        </w:rPr>
        <w:t>’ méterrúd korából és kopásaiból kiindulva vesztett pontosságából</w:t>
      </w:r>
    </w:p>
    <w:p w:rsidR="004904C6" w:rsidRPr="00222547" w:rsidRDefault="004904C6" w:rsidP="002225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méterrúd centiméteres beosztása miatt miliméterek mérésére alkalmatlan</w:t>
      </w:r>
    </w:p>
    <w:p w:rsidR="004904C6" w:rsidRPr="00222547" w:rsidRDefault="004904C6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 xml:space="preserve"> Mérés körülményei/külső zavarok </w:t>
      </w:r>
    </w:p>
    <w:p w:rsidR="004904C6" w:rsidRPr="00222547" w:rsidRDefault="004904C6" w:rsidP="002225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folyosó nem pontosan egyenes</w:t>
      </w:r>
    </w:p>
    <w:p w:rsidR="004904C6" w:rsidRPr="00222547" w:rsidRDefault="004904C6" w:rsidP="002225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csempék és fugák mérete nem azonos</w:t>
      </w:r>
    </w:p>
    <w:p w:rsidR="004904C6" w:rsidRPr="00222547" w:rsidRDefault="004904C6" w:rsidP="002225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 xml:space="preserve">A sok folyosón tartózkodó ember zavarja egymást </w:t>
      </w:r>
    </w:p>
    <w:p w:rsidR="004904C6" w:rsidRPr="00222547" w:rsidRDefault="004904C6" w:rsidP="002225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 xml:space="preserve">Nincs egy olyan éles pont, melyről </w:t>
      </w:r>
      <w:bookmarkStart w:id="0" w:name="_GoBack"/>
      <w:bookmarkEnd w:id="0"/>
      <w:r w:rsidRPr="00222547">
        <w:rPr>
          <w:rFonts w:ascii="Times New Roman" w:hAnsi="Times New Roman" w:cs="Times New Roman"/>
        </w:rPr>
        <w:t>biztosan állíthatjuk, hogy ott lesz az ábra elmosódott</w:t>
      </w:r>
    </w:p>
    <w:p w:rsidR="004904C6" w:rsidRPr="00222547" w:rsidRDefault="004904C6" w:rsidP="0022254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Nem tudunk pontosan az ábrával szemben állni</w:t>
      </w:r>
    </w:p>
    <w:p w:rsidR="004904C6" w:rsidRPr="00222547" w:rsidRDefault="004904C6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Adatfeldolgozási hibák</w:t>
      </w:r>
    </w:p>
    <w:p w:rsidR="004904C6" w:rsidRPr="00222547" w:rsidRDefault="004904C6" w:rsidP="0022254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 xml:space="preserve">Átlagokkal dolgoztunk </w:t>
      </w:r>
    </w:p>
    <w:p w:rsidR="004904C6" w:rsidRPr="00222547" w:rsidRDefault="004904C6" w:rsidP="002225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Nem tudjuk a méterrudat tökéletesen vízszintesen tartani</w:t>
      </w:r>
    </w:p>
    <w:p w:rsidR="004904C6" w:rsidRDefault="004904C6" w:rsidP="0022254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Kerekítésből adódott pontatlanság</w:t>
      </w:r>
    </w:p>
    <w:p w:rsidR="00222547" w:rsidRPr="00222547" w:rsidRDefault="00222547" w:rsidP="00222547">
      <w:pPr>
        <w:pStyle w:val="Default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222547">
        <w:rPr>
          <w:rFonts w:ascii="Times New Roman" w:hAnsi="Times New Roman" w:cs="Times New Roman"/>
          <w:sz w:val="22"/>
          <w:szCs w:val="22"/>
        </w:rPr>
        <w:t>Túl kicsi a mért objektumok száma</w:t>
      </w:r>
    </w:p>
    <w:p w:rsidR="00222547" w:rsidRDefault="00222547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véletlenszerű hibák kisebb mértékben befolyásolják a végső ere</w:t>
      </w:r>
      <w:r>
        <w:rPr>
          <w:rFonts w:ascii="Times New Roman" w:hAnsi="Times New Roman" w:cs="Times New Roman"/>
        </w:rPr>
        <w:t>d</w:t>
      </w:r>
      <w:r w:rsidRPr="00222547">
        <w:rPr>
          <w:rFonts w:ascii="Times New Roman" w:hAnsi="Times New Roman" w:cs="Times New Roman"/>
        </w:rPr>
        <w:t>ményeket. Míg a véletlenszerű hibákat a mérések többszöri elvégzése semmissé teheti, az állandó hibák folyamatosan megakadályozzák a mérési hibák kiküszöbölését és így össze is adódnak, növelve ezzel a pontatlanságot.</w:t>
      </w:r>
      <w:r>
        <w:rPr>
          <w:rFonts w:ascii="Times New Roman" w:hAnsi="Times New Roman" w:cs="Times New Roman"/>
        </w:rPr>
        <w:t xml:space="preserve"> </w:t>
      </w:r>
    </w:p>
    <w:sdt>
      <w:sdtPr>
        <w:id w:val="-1860417299"/>
        <w:docPartObj>
          <w:docPartGallery w:val="Bibliographies"/>
          <w:docPartUnique/>
        </w:docPartObj>
      </w:sdtPr>
      <w:sdtContent>
        <w:p w:rsidR="00A41B94" w:rsidRDefault="00EB4B8B" w:rsidP="00EB4B8B">
          <w:pPr>
            <w:rPr>
              <w:noProof/>
            </w:rPr>
          </w:pPr>
          <w:r w:rsidRPr="00EB4B8B">
            <w:rPr>
              <w:smallCaps/>
              <w:sz w:val="24"/>
              <w:szCs w:val="24"/>
            </w:rPr>
            <w:t>VIII. Források</w:t>
          </w:r>
        </w:p>
        <w:sdt>
          <w:sdtPr>
            <w:id w:val="-573587230"/>
            <w:bibliography/>
          </w:sdtPr>
          <w:sdtContent>
            <w:p w:rsidR="00A41B94" w:rsidRDefault="00EB4B8B" w:rsidP="00EB4B8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34"/>
                <w:gridCol w:w="4645"/>
              </w:tblGrid>
              <w:tr w:rsidR="00A41B94">
                <w:trPr>
                  <w:divId w:val="20726540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„Website of University of Miskolc,” [Online]. Available: http://www.uni-miskolc.hu/~www_fiz/paripas/diagn/SI.pdf.</w:t>
                    </w:r>
                  </w:p>
                </w:tc>
              </w:tr>
              <w:tr w:rsidR="00A41B94">
                <w:trPr>
                  <w:divId w:val="20726540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„Budapesti Műszaki Egyetem Weboldala,” [Online]. Available: http://web.inc.bme.hu/fpf/kemszam/szarmegzs.html.</w:t>
                    </w:r>
                  </w:p>
                </w:tc>
              </w:tr>
              <w:tr w:rsidR="00A41B94">
                <w:trPr>
                  <w:divId w:val="20726540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István. [Online]. Available: http://www.kepzesevolucioja.hu/dmdocuments/4ap/6_0225_012_101215.pdf.</w:t>
                    </w:r>
                  </w:p>
                </w:tc>
              </w:tr>
              <w:tr w:rsidR="00A41B94">
                <w:trPr>
                  <w:divId w:val="20726540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„Website of University of Szeged,” [Online]. Available: http://titan.physx.u-szeged.hu/~opthome/optics/oktatas/Fiz_inf_1/fiz_menny.pdf.</w:t>
                    </w:r>
                  </w:p>
                </w:tc>
              </w:tr>
              <w:tr w:rsidR="00A41B94">
                <w:trPr>
                  <w:divId w:val="20726540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„Wikipédia,” [Online]. Available: https://hu.wikipedia.org/wiki/Atom%C3%B3ra.</w:t>
                    </w:r>
                  </w:p>
                </w:tc>
              </w:tr>
              <w:tr w:rsidR="00A41B94">
                <w:trPr>
                  <w:divId w:val="20726540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1B94" w:rsidRDefault="00A41B9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„Wikipédia,” [Online]. Available: https://hu.wikipedia.org/wiki/SI_m%C3%A9rt%C3%A9kegys%C3%A9grendszer.</w:t>
                    </w:r>
                  </w:p>
                </w:tc>
              </w:tr>
            </w:tbl>
            <w:p w:rsidR="00A41B94" w:rsidRDefault="00A41B94">
              <w:pPr>
                <w:divId w:val="2072654092"/>
                <w:rPr>
                  <w:rFonts w:eastAsia="Times New Roman"/>
                  <w:noProof/>
                </w:rPr>
              </w:pPr>
            </w:p>
            <w:p w:rsidR="00D00EA8" w:rsidRPr="00A41B94" w:rsidRDefault="00EB4B8B" w:rsidP="00A41B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00EA8" w:rsidRPr="00A41B94" w:rsidSect="001C2AA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531"/>
    <w:multiLevelType w:val="hybridMultilevel"/>
    <w:tmpl w:val="3998F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06C03"/>
    <w:multiLevelType w:val="hybridMultilevel"/>
    <w:tmpl w:val="07883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C4421"/>
    <w:multiLevelType w:val="hybridMultilevel"/>
    <w:tmpl w:val="B66A952A"/>
    <w:lvl w:ilvl="0" w:tplc="6436F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25AE"/>
    <w:multiLevelType w:val="hybridMultilevel"/>
    <w:tmpl w:val="7892FE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654C2"/>
    <w:multiLevelType w:val="hybridMultilevel"/>
    <w:tmpl w:val="D8027F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64718"/>
    <w:multiLevelType w:val="hybridMultilevel"/>
    <w:tmpl w:val="68F2A4A0"/>
    <w:lvl w:ilvl="0" w:tplc="138E9EF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7A624AD"/>
    <w:multiLevelType w:val="hybridMultilevel"/>
    <w:tmpl w:val="9894E8D6"/>
    <w:lvl w:ilvl="0" w:tplc="6CAC8A2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C036F5"/>
    <w:multiLevelType w:val="hybridMultilevel"/>
    <w:tmpl w:val="2864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43408"/>
    <w:multiLevelType w:val="hybridMultilevel"/>
    <w:tmpl w:val="D130A1B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032694"/>
    <w:multiLevelType w:val="hybridMultilevel"/>
    <w:tmpl w:val="A6E40D30"/>
    <w:lvl w:ilvl="0" w:tplc="33C229B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A62D6"/>
    <w:multiLevelType w:val="hybridMultilevel"/>
    <w:tmpl w:val="4F001D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3B0E53"/>
    <w:multiLevelType w:val="hybridMultilevel"/>
    <w:tmpl w:val="6F30F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224DB"/>
    <w:multiLevelType w:val="hybridMultilevel"/>
    <w:tmpl w:val="64104D5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A8"/>
    <w:rsid w:val="00044F7D"/>
    <w:rsid w:val="000B1434"/>
    <w:rsid w:val="000D0A1C"/>
    <w:rsid w:val="001814B1"/>
    <w:rsid w:val="001A0D39"/>
    <w:rsid w:val="001C2AA8"/>
    <w:rsid w:val="001C38F8"/>
    <w:rsid w:val="00222547"/>
    <w:rsid w:val="0024460F"/>
    <w:rsid w:val="002A1F47"/>
    <w:rsid w:val="002B5ED0"/>
    <w:rsid w:val="00335611"/>
    <w:rsid w:val="003774C0"/>
    <w:rsid w:val="003B3254"/>
    <w:rsid w:val="00437545"/>
    <w:rsid w:val="00470D68"/>
    <w:rsid w:val="004904C6"/>
    <w:rsid w:val="00621F29"/>
    <w:rsid w:val="00643B9B"/>
    <w:rsid w:val="006A0016"/>
    <w:rsid w:val="006E1318"/>
    <w:rsid w:val="00737EEB"/>
    <w:rsid w:val="00841DF5"/>
    <w:rsid w:val="00933DE3"/>
    <w:rsid w:val="00961A30"/>
    <w:rsid w:val="00995769"/>
    <w:rsid w:val="009F6231"/>
    <w:rsid w:val="00A41B94"/>
    <w:rsid w:val="00AA535A"/>
    <w:rsid w:val="00B8762D"/>
    <w:rsid w:val="00D00EA8"/>
    <w:rsid w:val="00E21819"/>
    <w:rsid w:val="00E3045A"/>
    <w:rsid w:val="00EA3F6E"/>
    <w:rsid w:val="00EB4B8B"/>
    <w:rsid w:val="00EC1206"/>
    <w:rsid w:val="00F20B93"/>
    <w:rsid w:val="00FC17A4"/>
    <w:rsid w:val="00FD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904A"/>
  <w15:chartTrackingRefBased/>
  <w15:docId w15:val="{001D039E-092D-4B24-952B-E4870B42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ableGrid">
    <w:name w:val="Table Grid"/>
    <w:basedOn w:val="TableNormal"/>
    <w:uiPriority w:val="39"/>
    <w:rsid w:val="0018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1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561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0E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EA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D0A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46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4460F"/>
  </w:style>
  <w:style w:type="character" w:styleId="FollowedHyperlink">
    <w:name w:val="FollowedHyperlink"/>
    <w:basedOn w:val="DefaultParagraphFont"/>
    <w:uiPriority w:val="99"/>
    <w:semiHidden/>
    <w:unhideWhenUsed/>
    <w:rsid w:val="002446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BF"/>
    <w:rsid w:val="007E16BB"/>
    <w:rsid w:val="009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D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{16B38386-9121-42AB-8EFB-36911B932251}</b:Guid>
    <b:Title>Wikipédia</b:Title>
    <b:URL>https://hu.wikipedia.org/wiki/SI_m%C3%A9rt%C3%A9kegys%C3%A9grendszer</b:URL>
    <b:RefOrder>6</b:RefOrder>
  </b:Source>
  <b:Source>
    <b:Tag>Web</b:Tag>
    <b:SourceType>InternetSite</b:SourceType>
    <b:Guid>{972E0A3A-EBB6-4A75-A802-ACA9EB2AAB0A}</b:Guid>
    <b:Title>Website of University of Miskolc</b:Title>
    <b:URL>http://www.uni-miskolc.hu/~www_fiz/paripas/diagn/SI.pdf</b:URL>
    <b:RefOrder>1</b:RefOrder>
  </b:Source>
  <b:Source>
    <b:Tag>Bud</b:Tag>
    <b:SourceType>InternetSite</b:SourceType>
    <b:Guid>{B9A8DF5A-3B85-4224-A59B-1A83BCF7CA3A}</b:Guid>
    <b:Title>Budapesti Műszaki Egyetem Weboldala</b:Title>
    <b:URL>http://web.inc.bme.hu/fpf/kemszam/szarmegzs.html</b:URL>
    <b:RefOrder>2</b:RefOrder>
  </b:Source>
  <b:Source>
    <b:Tag>Pog</b:Tag>
    <b:SourceType>InternetSite</b:SourceType>
    <b:Guid>{475A8DFE-CA51-4573-BDF4-29C3F618F0AA}</b:Guid>
    <b:Author>
      <b:Author>
        <b:NameList>
          <b:Person>
            <b:Last>István</b:Last>
            <b:First>Pogonyi</b:First>
          </b:Person>
        </b:NameList>
      </b:Author>
    </b:Author>
    <b:URL>http://www.kepzesevolucioja.hu/dmdocuments/4ap/6_0225_012_101215.pdf</b:URL>
    <b:RefOrder>3</b:RefOrder>
  </b:Source>
  <b:Source>
    <b:Tag>Wik1</b:Tag>
    <b:SourceType>InternetSite</b:SourceType>
    <b:Guid>{64F43847-70C7-4605-A289-D27D98D6E9DE}</b:Guid>
    <b:Title>Wikipédia</b:Title>
    <b:URL>https://hu.wikipedia.org/wiki/Atom%C3%B3ra</b:URL>
    <b:RefOrder>5</b:RefOrder>
  </b:Source>
  <b:Source>
    <b:Tag>Web1</b:Tag>
    <b:SourceType>InternetSite</b:SourceType>
    <b:Guid>{14B3B624-5969-4791-A3D6-BA9D33640577}</b:Guid>
    <b:Title>Website of University of Szeged</b:Title>
    <b:URL>http://titan.physx.u-szeged.hu/~opthome/optics/oktatas/Fiz_inf_1/fiz_menny.pdf</b:URL>
    <b:RefOrder>4</b:RefOrder>
  </b:Source>
</b:Sources>
</file>

<file path=customXml/itemProps1.xml><?xml version="1.0" encoding="utf-8"?>
<ds:datastoreItem xmlns:ds="http://schemas.openxmlformats.org/officeDocument/2006/customXml" ds:itemID="{B8C83D56-40E9-49F9-A505-189CDFDB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1381</Words>
  <Characters>7874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EDU_UBWL_7084@diakoffice.onmicrosoft.com</dc:creator>
  <cp:keywords/>
  <dc:description/>
  <cp:lastModifiedBy>Hallgató</cp:lastModifiedBy>
  <cp:revision>29</cp:revision>
  <cp:lastPrinted>2018-02-12T17:12:00Z</cp:lastPrinted>
  <dcterms:created xsi:type="dcterms:W3CDTF">2018-02-12T14:21:00Z</dcterms:created>
  <dcterms:modified xsi:type="dcterms:W3CDTF">2018-02-15T11:44:00Z</dcterms:modified>
</cp:coreProperties>
</file>