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73" w:type="dxa"/>
        <w:jc w:val="left"/>
        <w:tblInd w:w="108" w:type="dxa"/>
        <w:tblBorders>
          <w:top w:val="single" w:sz="12" w:space="0" w:color="00000A"/>
          <w:left w:val="single" w:sz="8" w:space="0" w:color="00000A"/>
          <w:bottom w:val="single" w:sz="12" w:space="0" w:color="00000A"/>
          <w:right w:val="single" w:sz="8" w:space="0" w:color="00000A"/>
          <w:insideH w:val="single" w:sz="12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09"/>
        <w:gridCol w:w="6663"/>
      </w:tblGrid>
      <w:tr>
        <w:trPr/>
        <w:tc>
          <w:tcPr>
            <w:tcW w:w="10172" w:type="dxa"/>
            <w:gridSpan w:val="2"/>
            <w:tcBorders>
              <w:top w:val="single" w:sz="12" w:space="0" w:color="00000A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8"/>
                <w:szCs w:val="28"/>
                <w:lang w:eastAsia="hu-HU"/>
              </w:rPr>
              <w:t>A II. Vatikáni Zsinat NOSTRA AETATE kezdetű nyilatkozata</w:t>
              <w:br/>
              <w:t>az Egyház és a nem keresztény vallások kapcsolatáról</w:t>
            </w: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hu-HU"/>
              </w:rPr>
              <w:t> 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1. Milyen eredetű a </w:t>
            </w:r>
            <w:r>
              <w:rPr>
                <w:rFonts w:eastAsia="Times New Roman" w:cs="Arial" w:ascii="Arial" w:hAnsi="Arial"/>
                <w:i/>
                <w:iCs/>
                <w:color w:val="000000"/>
                <w:sz w:val="24"/>
                <w:szCs w:val="24"/>
                <w:lang w:eastAsia="hu-HU"/>
              </w:rPr>
              <w:t>deus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 szó?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indoeurópai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egyiptomi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kínai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2. Mi a vallás lényege?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különböző hagyományok összessége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B) a vallás az Istenhez rendeli az embert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filozófiai ismeretek összegyűjtése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3. Mi a vallásszabadság?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mindenki olyan vallást választ, amilyet akar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minden vallás egyenlő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C) a vallás szabad gyakorlása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4. Mit jelent a monoteizmus?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az Isten magánya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Isten létének tagadása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C) az egyetlen Istenbe vetett hit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5. Mit jelent a politeizmus?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több istenben való hit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a városi élet kezdeti formája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társadalmi törvények tanítása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6. Mit jelent a pogány kifejezés?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nem hívő ember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B) vidéki ember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egy keleti vallás tagja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7. Mi a negatív teológia?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Istenről nem tudjuk elmondani, hogy ő mi, csak hogy mi nem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az Isten nélküli társadalom kifejtése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  vallási mítoszok homályos képzelgése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8. Melyik a három egyistenhitet valló vallás?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hinduizmus, iszlám, buddhizmus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B) zsidóság, kereszténység, iszlám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kereszténység, hinduizmus, zsidóság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9. Mi a keresztények és a zsidók közös öröksége?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a rabbik tanítása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a qumráni tekercsek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C) az Ószövetség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10. Mi a lelkiismeret?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az emberi lélek belső hangulata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B) a jó és a rossz megkülönböztetésének képessége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a vallástudományokban jártas emberek tulajdonsága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11. Mit jelent a szekularizáció?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a vallási magatartásformák megszűnése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vallási időszámítás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a vallások csoportosítása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12. Mi a panteizmus?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Isten azonos a világegyetemmel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városok szövetsége az ókorban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a Pán istenségről szóló ismeretek gyűjteménye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13. Mi a kinyilatkoztatás?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Isten feltárja magát az embereknek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a király üzenete az ókorban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egyiptomi hieroglifák megfejtése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14. Mi volt a II. Vatikáni Zsinat dokumentuma a vallásokról?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 </w:t>
            </w:r>
            <w:r>
              <w:rPr>
                <w:rFonts w:eastAsia="Times New Roman" w:cs="Arial" w:ascii="Arial" w:hAnsi="Arial"/>
                <w:i/>
                <w:iCs/>
                <w:color w:val="000000"/>
                <w:sz w:val="24"/>
                <w:szCs w:val="24"/>
                <w:lang w:eastAsia="hu-HU"/>
              </w:rPr>
              <w:t>Pater noster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 </w:t>
            </w:r>
            <w:r>
              <w:rPr>
                <w:rFonts w:eastAsia="Times New Roman" w:cs="Arial" w:ascii="Arial" w:hAnsi="Arial"/>
                <w:i/>
                <w:iCs/>
                <w:color w:val="000000"/>
                <w:sz w:val="24"/>
                <w:szCs w:val="24"/>
                <w:lang w:eastAsia="hu-HU"/>
              </w:rPr>
              <w:t>Redemptor hominis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hu-HU"/>
              </w:rPr>
              <w:t>C) 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Nostra aetate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15. Mi a vallások közötti béke eszköze?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minden vallás egyenlőségének az elfogadása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B) a vallásközi párbeszéd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egy vallási világetika kidolgozása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16. Melyik pápa járt először a római zsinagógában?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II. János Pál pápa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I. János Pál pápa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XII. Piusz pápa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17. Melyik pápa járt először a Szentföldön?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II. János Pál pápa</w:t>
            </w:r>
          </w:p>
        </w:tc>
      </w:tr>
      <w:tr>
        <w:trPr>
          <w:trHeight w:val="137" w:hRule="atLeast"/>
        </w:trPr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tLeast" w:line="137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I. János Pál pápa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XII. Piusz pápa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18. Melyik zsinat hozott fordulatot a vallások értékelésében?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Trienti Zsinat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I. Vatikáni Zsinat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C) II. Vatikáni Zsinat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19. Mi volt az első vallásközi béke imatalálkozó helyszíne?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Róma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Jeruzsálem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C) Assisi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20. Mi az evangélium?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jó hír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vallási elöljáró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liturgikus öltözék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21. Mire vonatkozik az ökumenizmus?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a görög világ egésze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B) a keresztények egysége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a vallások egyenlősége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22. Mi a dogma?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A) vallási parancs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áldozati hely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C) hitigazság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23. Ki volt Ábrahám?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az első pátriárka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Ádám testvére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a Korán szerzője</w:t>
            </w:r>
          </w:p>
        </w:tc>
      </w:tr>
      <w:tr>
        <w:trPr/>
        <w:tc>
          <w:tcPr>
            <w:tcW w:w="3509" w:type="dxa"/>
            <w:vMerge w:val="restart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24. Mi az egyház?</w:t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A) gyülekezet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B) önálló egyszintes épület</w:t>
            </w:r>
          </w:p>
        </w:tc>
      </w:tr>
      <w:tr>
        <w:trPr/>
        <w:tc>
          <w:tcPr>
            <w:tcW w:w="3509" w:type="dxa"/>
            <w:vMerge w:val="continue"/>
            <w:tcBorders>
              <w:top w:val="outset" w:sz="6" w:space="0" w:color="F0F0F0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</w:r>
          </w:p>
        </w:tc>
        <w:tc>
          <w:tcPr>
            <w:tcW w:w="6663" w:type="dxa"/>
            <w:tcBorders>
              <w:top w:val="outset" w:sz="6" w:space="0" w:color="F0F0F0"/>
              <w:left w:val="outset" w:sz="6" w:space="0" w:color="F0F0F0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hu-HU"/>
              </w:rPr>
              <w:t>C) helységnév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Filozófia és Holokauszt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1.      Melyik kifejezés a legalkalmasabb a zsidóság tragédiájának leírására?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 A görög „holokausztosz” kifejezés, mert vallástörténetileg ez vonatkozik a teljesen elégő áldozatra.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 Az „Auschwitz” kifejezés, mert ez a haláltáborokban végbement eseményre utal.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 A „soah” (</w:t>
      </w:r>
      <w:r>
        <w:rPr>
          <w:rFonts w:ascii="Arial" w:hAnsi="Arial" w:eastAsia="Times New Roman" w:cs="Arial"/>
          <w:b/>
          <w:b/>
          <w:bCs/>
          <w:color w:val="000000"/>
          <w:sz w:val="24"/>
          <w:sz w:val="24"/>
          <w:szCs w:val="24"/>
          <w:rtl w:val="true"/>
          <w:lang w:eastAsia="hu-HU"/>
        </w:rPr>
        <w:t>השואה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, HaShoah, jelentése „katasztrófa”), mert a zsidóság ezt a megnevezést részesíti előnyben saját drámájának leírására.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2.      A Holokauszt kifejezés azért nem a legalkalmasabb a zsidóság tragédiájának leírására, mert ez a kifejezés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Lejáratott.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Homályos.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Mert a görög eredetű szó, amely teljesen elégő áldozatot jelent, kevésbé fejezi ki a tragédiát, mint a soah héber kifejezése, amelynek jelentése katasztrófa.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         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3.      Mit jelent a „soah filozófiája”?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vonatkozó történeti események felsorolását.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történeti események politikai értelmezését.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filozófiai tisztánlátást szolgáló tisztázó gondolkodást, amely a morális tisztulást szolgálja.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4.      A „soah filozófiája”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nem más, mint a marxizmus álláspontja a történelem céljára nézve.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történettudományi analízis a pozitív tények alapján.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fenomenológiai hermeneutika, amelyben a fenomenológia a lényegmegragadásra, a hermeneutika a lényeg magyarázatára vonatkozik.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5.      Melyek a filozófiai megközelítés legfontosabb forrásai?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Történeti források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Személyes feljegyzések, visszaemlékezések.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Filozófiai igényű megközelítések, mint amilyen Hannah Arendt vagy Emmanuel Lévinas munkássága.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6.      A személyes feljegyzések és naplók fontosak a filozófiai reflexió számára, mivel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szenvedők emlékezete önmagáért szól.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feljegyzések és naplók forrásműnek számítanak a történettudományban.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személyes reflexiók csírájukban sokszor filozófiai meglátásokat tartalmaznak, amelyek módszeres kibontása és értelmezése a valódi filozófiai feladat.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7.      Mely filozófiai elmélkedések lehetnek elsősorban irányadók a keresztény-katolikus Soah-értelmezésben?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Jürgen Moltmann protestáns teológus munkái.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Richard Rubenstein zsidó teológus elmélkedései.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 Johann Baptist Metz katolikus gondolkodó filozófiai igényű „politikai teológiája”.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8.      Mi Johann Baptist Metz legfontosabb állítása a politikai teológiában?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zsidóság nem felelős Krisztus meggyilkolásáért.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hagyományos hierarchikus társadalom visszaállítása.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Az egyház szolidáris természetének megvalósítása minden szenvedőre nézve a társadalom egészében.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9.      Mi a közös Szent Ágoston, Nicolaus Cusanus és Johann Baptist Metz gondolkodásában?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keresztényellenes barbárság elítélése.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kereszténység történelmi szerepének kiemelése.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történelmi katasztrófák – pl. Róma lerombolása, Konstantinápoly elfoglalása vagy a Soah – indítékul szolgálnak arra, hogy eszmei hagyományainkat újragondoljuk és legfontosabb elemeit újraértelmezzük.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10.  A Soah nem vethető össze más történeti katasztrófákkal, mivel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Soához hasonló esemény soha nem történt.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Soához hasonló esemény történt, de soha ennyi ember nem pusztult el egy katasztrófa nyomán.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történeti események ugyan összevethetők egymással, de a kereszténység és zsidóság meghatározó szerepe a nyugati történelemben a Soáht mégis egyedivé emeli.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11.  A Soah egyedi esemény, mivel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soha hasonló nem történt a világtörténelemben.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sok ilyen esemény történt, de a zsidóság tudományos teljesítménye miatt ez az esemény kiemelkedő.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nyugati világot a kereszténység határozza meg ma is és a zsidóság a kereszténység alapja.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12.  Mit jelent az, hogy a kereszténység eszkatologikus?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világ végét már megtörténtnek veszi.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történelem a teljes megsemmisülés felé halad.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történelem Isten ítélete alatt áll, ami egy ponton, amelyet végítéletnek nevezünk, teljes tartalmában megmutatkozik mindenki számára.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13.  A Soah eszkatologikus esemény a kereszténység számára, mivel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soha ennyi ember nem pusztult el, mint a Soah katasztrófájában.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kereszténység a Soáhban a világvégét élte meg.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kereszténység és zsidóság történelmi sorsközösségét egy politikai hatalom erőszakkal akarta felbontani.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14.  A kereszténység és különösen a katolikus Egyház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részt vett a Soah kivitelezésében.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nem tett semmit a zsidóság megmentése érdekében.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minden tőle telhetőt megtett a zsidóság és az egyes zsidó személyek megmentéséért a legkülönbözőbb eszközökkel, amelyek között szerepelt a személyes segítségnyújtás, rejtegetés, diplomáciai lépések és pápai nyilatkozatok kibocsátása.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15.  Miben áll Emmanuel Lévinas filozófiai Soah-értelmezésének lényege?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Az ember a másik ember farkasa.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Isten elvetette a zsidóságot és a kereszténységet.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Az ember számára Isten a végtelen Másik, aki a másik emberben is kifejeződik és az ember személyességének feltétlen elismerésére indít.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16.  A zsidóság és kereszténység sorsközössége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ma már nem áll fenn, mert megalakult Izrael Állam.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már megszűnt a Soah következtében.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mindenkor fennmarad, mivel a kereszténység forrása a zsidó hit, amelynek beteljesülését a zsidóságból származó Jézus, a Szentháromság második személye valósítja meg.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17.  Miben áll a „Holokauszt filozófiájának” specifikus feladata?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történeti emlékezet fenntartásában.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morális konzekvenciák levonásában.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zsidóság és kereszténység történelmi, filozófiai és teológiai sorsközösségének megértésében és megértetésében.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18.  Mit jelent a zsidóság és kereszténység sorsközösségének kifejtése?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 bibliakutatás legújabb eredményeinek ismertetését.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Az evangéliumok héber és arám alapszövegeinek helyreállítását.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zsidóság és kereszténység történelmi, eszkatologikus és a végtelen Másikra irányuló sorsközösségének tudatosítását.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19.  Melyik a Soáhra a vonatkozó filozófiai reflexiók legfontosabb fajtája?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Az archaizálás, amely a zsidóság és a ker. kapcsolatát megszakítja.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Az alterikus válasz, amely a Soah kapcsán a Másik fontosságát emeli ki szemben a totalitással.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zsidóság és kereszténység megbonthatatlan sorsközösségét hangsúlyozó álláspontok.</w:t>
      </w:r>
    </w:p>
    <w:p>
      <w:pPr>
        <w:pStyle w:val="Normal"/>
        <w:spacing w:lineRule="auto" w:line="240" w:before="0" w:after="0"/>
        <w:ind w:firstLine="709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20.  Mit jelent a Nyugat szellemtörténetében a Soáh cezúrája?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Új történeti korszak kezdetét, amelyben egyetlen nagyhatalom uralja az egész világot.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A Nyugat alkonyát.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A tragédiában megnyíló Másikra való ráirányulás új lehetőségét.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21.  Jelölje be, melyik író járult hozzá jelentősen a Soah filozófiai feldolgozásához.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Honoré de Balzac.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Emmanuel Finkenstein.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Elie Wiesel.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22.  Jelölje be, melyik filozófus járult hozzá jelentősen a Soah filozófiai feldolgozásához.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Jean-Paul Sartre.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Karl Marx.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Emmánuel Lévinas.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23.  Jelölje be, melyik teológus járult hozzá jelentősen a Soah filozófiai feldolgozásához.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Aquinói Szent Tamás.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Karl Rahner.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Johann Baptist Metz.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24.  Miért vált a „Holokauszt-kurzus” kiemelkedő közéleti kérdéssé Magyarországon?</w:t>
      </w:r>
    </w:p>
    <w:p>
      <w:pPr>
        <w:pStyle w:val="Normal"/>
        <w:spacing w:lineRule="auto" w:line="240" w:before="0" w:after="0"/>
        <w:ind w:left="709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a.       Mert a Pázmány Péter Katolikus Egyetem kezdeményezte.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b.      Mert a magyar lakosság különösen érzékeny a Soah morális tartalmaira.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c.       Mert a hazai kultúrában a Soah morális és filozófiai kérdései eddig nem kaptak kellő nyilvánosságot és ezt a hiányt minél hamarabb és teljesebben be kell pótolni.</w:t>
      </w:r>
    </w:p>
    <w:p>
      <w:pPr>
        <w:pStyle w:val="Normal"/>
        <w:spacing w:lineRule="auto" w:line="240" w:before="0" w:after="0"/>
        <w:ind w:left="1069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36"/>
          <w:szCs w:val="36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36"/>
          <w:szCs w:val="36"/>
          <w:lang w:eastAsia="hu-H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hu-HU"/>
        </w:rPr>
        <w:t>A zsidóság jogegyenlőségét korlátozó törvények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1) Mit jelent a jogegyenlőség?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 polgári átalakulással megjelenő jogelv, amely szerint egy ország a polgárai között nem tesz különbséget, függetlenül azok származására, nemzeti, faji, vagy felekezeti hovatartozására.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Azonos jövedelmi viszonyokat.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2) Mit jelentett a „numerus clausus” a két világháború közötti jogalkotásban? [1920. évi XXV.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Azon törvényi rendelkezést értették alatta, amely szerint a felsőoktatásban az „ország területén lakó egyes nemzetiségekhez és népfajokhoz” tartozó személyek részaránya nem lehetett magasabb, mint teljes népességen belüli arányuk.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 felsőoktatásban résztvevők létszámát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3) Miért sértette a „numerus clausus” a jogegyenlőséget?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Nem sértette a jogegyenlőség elvét.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Mert azon népcsoportok tagjait (pl. zsidóság), ahol az 1920. évi XXV. törvénycikk hatályba lépése előtt a teljes lakosságon belüli részaránynál a felsőoktatásban tanulók aránya nagyobb volt, korlátozta a továbbtanulás lehetőségében.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4) Milyen módon korlátozta a ’zsidó’ származásúak munkavállalását az ún. második zsidótörvény? [1939. évi IV.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Nyilvántartották, hogy ki milyen munkakört tölt be.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Egyes állásokat egyáltalán nem tölthettek be, akik a törvény hatálybalépésekor ilyen állást viseltek, el kellett őket bocsátani. A második csoportba azon állásokat sorolták, ahol már alkalmazásban lévőket elbocsátani nem kellett, de a jövőben új alkalmazások nem történhettek, a harmadik csoportba tartozóknál pedig részarányuk nem haladhatta meg a teljes népességen belüli arányukat.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5) Milyen jogfosztást állapított meg az állampolgársági jog területén az ún. második zsidótörvény? [1939. évi IV.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Azon ’zsidó’ származású személyeknél, akik magyar állampolgárságukat 1914. július 1-e után honosítással, vagy visszahonosítással szerezték, lehetőséget adott ezek visszavonására, vagyis a magyar állampolgárságtól való megfosztásra.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Nem engedte meg az állampolgárságról történő lemondást.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6) Miként korlátozta a választójog gyakorlását az ún. második zsidótörvény, s például a fővárosban milyen arányban zárta ki származásuk miatt a választójogi feltételeknek egyébként megfelelő személyeket? [1939. évi IV.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Írásbeli bejelentéshez kötötték, a számszerű korlátozás nem volt jelentős.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 ’zsidó’ származású állampolgárok csak akkor voltak jogosultak a választójog gyakorlására, ha felmenőik már 1867 előtt Magyarországon születtek, és állandó jelleggel a tartózkodási helyük is itt volt. Például Budapest székesfővárosban e rendelkezés miatt a választójogi feltételeknek egyébként megfelelő ’zsidó’ származású személyek 94%-át zárták ki a választásra jogosultak közül.   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7) Miként korlátozták 1940-ben az izraelita vallásfelekezet felsőházi képviseletét? [1940. évi XVII.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Az 1926-os felsőházi törvény (1926. évi XXII. törvénycikk) minden bevett vallásfelekezet részére biztosította a felsőházi képviseletet. A vallásfelekezetek képviseletét újraszabályozó 1940-ben kibocsátott törvény azonban izraelitákat kihagyta a felsorolásból, amellyel kizárta őket felsőházból.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Megvonták a szavazati jogukat.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8) Milyen jogkorlátozásokat vezettek be 1941-ben a házassági jog területén? [1941. évi XV.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Nyilvántartást vezettek a ’zsidó’ és nem ’zsidó’ származású személyek közötti házasságokról.</w:t>
      </w: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Megtiltották a ’zsidó’ és nem ’zsidó’ származású személyek közötti házasságkötést.</w:t>
      </w: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9) Milyen joghátránnyal sújtották az izraelita vallásfelekezetet 1942-ben? [1942. évi VIII.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Nem engedték a nyilvános vallásgyakorlást.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Az izraelitáktól megvonták az 1895-ben elnyert, ún. „törvényesen bevett vallás” státuszt, és hátrányosabb ún. „elismert vallásfelekezetek” közé sorolták őket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. </w:t>
      </w: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10) Milyen jogkorlátozásokat vezettek be 1942-ben a tulajdonszerzés területén? [1942. évi XV. törvénycikk]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’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Zsidó’ származású személy nem vásárolhatott mező- és erdőgazdasági ingatlant, községekben pedig semmilyen ingatlant.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Az ingatlanszerzésre kivetett illetéket megemelték.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11) A ’zsidó’ származású magyar állampolgárokkal szemben milyen nyilvános megkülönböztetésére vonatkozó szabályt vezettek be 1944 áprilisában. [1.240/1944. M.E.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Minden hat évnél idősebb személyt sárga csillag viselésére köteleztek.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Külön nyilvántartást vezettek róluk.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12) Milyen közlekedést érintő jogkorlátozásokat szenvedett el a hazai ’zsidó’ lakosság 1944 áprilisában. [1.270/1944. M.E.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Bevonták a vezetői engedélyeiket.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Közlekedésre saját gépjárműveket nem használhattak, a tömegközlekedési eszközöket csak egyedi rendőri engedéllyel vehették igénybe.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13) Milyen munkavállalást érintő jogkorlátozásokat szenvedett el a hazai ’zsidó’ lakosság 1944 áprilisában. [1.540/1944. M.E.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Alacsonyabb munkabért állapítottak meg.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Minden értelmiségi foglalkozás betöltésétől eltiltották őket, beleértve a magángazdaságot is. 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14) Milyen tulajdont érintő jogkorlátozásokat szenvedett el a hazai ’zsidó’ lakosság 1944 áprilisában. [1.600/1944. M.E.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Vagyonuk saját nyilvántartására kötelezték őket.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 vagyonukra bejelentési kötelezettséget írtak elő, s azt zár alá vették. Ez azt jelentette, hogy a tulajdonuk feletti rendelkezési jogot megvonták tőlük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15) Milyen, a nyilvános fürdőhelyek igénybevételével kapcsolatos jogkorlátozásokat szenvedett el a hazai ’zsidó’ lakosság 1944 májusában? [444/1944. B.M.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 nyilvános fürdőhelyek igénybevételét megtiltották számukra.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 nyilvános fürdőhelyeken elkülönítették őket.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16) Milyen jogkorlátozást szenvedtek el a ’zsidó’ származású középiskolások 1944 májusában? [8.700/1944. V.K.M.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Iskolájuk egyenruhájának, jelvényeinek viselésétől eltiltották őket.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Nem történt jogkorlátozás.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17) Milyen, a nyilvános vendéglátás igénybevételével kapcsolatos jogkorlátozásokat szenvedett el a hazai ’zsidó’ lakosság 1944 májusában? [500/1944. B.M.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Egyedi hatósági engedély nélkül csak olyan vendéglátó ipari egységeket látogathattak, amelyek kizárólag az ő használatukra volt kijelölve.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 vendéglátó ipari egységeken belül elkülönítették őket.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18) Milyen közoktatási tevékenységet érintő jogkorlátozásokat szenvedett el a hazai ’zsidó’ lakosság 1944 júniusában? [8.960/1944. V.K.M.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Nem nyithattak új oktatási intézményeket.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 népiskola, középiskola, szakiskola stb. fenntartására kiadott engedélyeket visszavonták tőlük.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19) Milyen jogkorlátozást szenvedtek el a ’zsidó’ orvosok 1944 júniusában? [2.250/1944. M.E.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Meghatározott körzetekre korlátozták a tevékenységüket.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Csak zsidó származású személyeket kezelhettek.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hu-HU"/>
        </w:rPr>
        <w:t>20) Milyen intézkedéssel készítették elő a hazai zsidóság tömeges deportálását? [1.610/1944. M.E. rendelet]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u w:val="single"/>
          <w:lang w:eastAsia="hu-HU"/>
        </w:rPr>
        <w:t>A ’zsidó’ származásúak számára kényszerlakhelyeket jelöltek ki (ún. gettósítás), amellyel a nem ’zsidó’ lakosságtól elkülönítették őket.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B)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hu-HU"/>
        </w:rPr>
        <w:t>Külön nyilvántartást vezettek róluk.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hu-HU"/>
        </w:rPr>
        <w:t>A holokauszt története. A zsidó és keresztény viszony a 20. században a nemzetközi és magyar kulturális emlékezetben.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1.      Azonosítható-e a két világháború közötti Magyarországon tapasztalható „egyházi antiszemitizmus” a faji alapú antiszemitizmussal? – Nem.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2.      Tudatos döntés volt-e XII. Piusz pápa részéről, hogy a zsidóüldözés nyílt elítélése helyett az üldözöttek gyakorlati megsegítése mellett döntött? – Igen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3.      Szerepet játszott-e XII. Piusz pápa Horthyhoz intézett levele, illetve Serédi bíborosnak a püspöki kar nevében írt körlevele a budapesti zsidók deportálásának a kormányzó részéről történt leállításában? – Igen.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4.      Igaz-e, hogy a magyar püspökök közül senki nem emelte fel szavát nyíltan a magyar zsidóság deportálása miatt? – Nem.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5.      Az egyes személyek hősies kiállásán túlmutató, a semleges államok budapesti képviseletével összehangolt embermentő hálózatot működtetett-e a budapesti apostoli nunciatúra? – Igen.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6.      Kizárólag a zsidóságot érintette-e a munkaszolgálat a második világháború alatt? Nem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7.       Az ukrajnai munkaszolgálat során a ruházat és ellátás tekintetében volt-e különbség a harcaló alakulatok és musz. között? Nem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8.       Volt-e tiltakozása hivatalos törvényhozási fórumon a munkaszolgálat ellen (Igen, felsőház, Glattfelder Gyula csanádi püspök) - a legfelsőbb magyar katonai vezetés próbált-e - az adottkörülmények között - javítani a musz helyzetén a keleti fornton? Igen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9.      1939-ben megtámadták-e Lengyelországot a német, orosz és szlovák csapatok? 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  <w:lang w:val="en-US" w:eastAsia="hu-HU"/>
        </w:rPr>
        <w:t>Igen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vagy nem.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10.  A 1939-1940- ben Magyarországra szökött több mint 100.000 lengyel állampolgár.   Igen 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11.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lengyel magyarországi menekültek 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k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özött voltak-e zsidó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k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, akik itt is maradtak 1945-ig? </w:t>
      </w:r>
      <w:r>
        <w:rPr>
          <w:rFonts w:eastAsia="Times New Roman" w:cs="Arial"/>
          <w:color w:val="000000"/>
          <w:sz w:val="24"/>
          <w:szCs w:val="24"/>
          <w:u w:val="single"/>
          <w:lang w:val="en-US" w:eastAsia="hu-HU"/>
        </w:rPr>
        <w:t>Igen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12.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"W" jel jelentette a lengyeleknek a  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k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ülönleges eseményeket/ szervezeteket a második világháború alatt? I</w:t>
      </w:r>
      <w:r>
        <w:rPr>
          <w:rFonts w:eastAsia="Times New Roman" w:cs="Arial"/>
          <w:color w:val="000000"/>
          <w:sz w:val="24"/>
          <w:szCs w:val="24"/>
          <w:u w:val="single"/>
          <w:lang w:val="en-US" w:eastAsia="hu-HU"/>
        </w:rPr>
        <w:t>gen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 vagy nem?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13.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1989 utáni Lengyelországban jött-e létre a Lengyelországi Zsidó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k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 Történeti Múzeuma? Igen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14.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Vallási tekintetben egységes volt a magyarországi zsidóság? Nem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15.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Anyanyelveként csak a jiddist használta a magyarországi zsidóság? Igen-Nem.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16.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19. században a magyar állam bátorította és támogatta a magyarországi zsidóság asszimilációját, gazdasági és társadalmi integrációját? Igen-Nem.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17.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Egységesen asszimilálódott és integrálódott a magyarországi zsidóság? Nem.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18.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magyarországi zsidóság jelentős mértékben részt vett a magyar gazdaság és kultúra felvirágoztatásában? Igen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19.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Kizárólag a magyarországi zsidóság vett részt a magyar kapitalizmus kibontakoztatásában? Nem.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20.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magyarországi zsidóság csak vagyonos, iparral és kereskedelemmel foglalkozó családokból állt? Nem.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21.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magyarországi zsidóság életében kiemelkedő szerepe volt a cionizmusnak? Nem.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22.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</w:t>
      </w:r>
      <w:r>
        <w:rPr>
          <w:rFonts w:eastAsia="Times New Roman" w:cs="Arial"/>
          <w:color w:val="000000"/>
          <w:sz w:val="24"/>
          <w:szCs w:val="24"/>
          <w:lang w:val="en-US" w:eastAsia="hu-HU"/>
        </w:rPr>
        <w:t>A magyarországi zsidóság túlnyomó többsége a hazájának tekintette Magyarországot? Igen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bookmarkStart w:id="0" w:name="_GoBack"/>
      <w:bookmarkEnd w:id="0"/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23.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   A sodródó hasadék a zsidók és az egyiptomiak között megnyílt tenger a kivonulások könyvében. Nem 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val="en-US" w:eastAsia="hu-HU"/>
        </w:rPr>
        <w:t> </w:t>
      </w:r>
    </w:p>
    <w:p>
      <w:pPr>
        <w:pStyle w:val="Normal"/>
        <w:spacing w:lineRule="auto" w:line="240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hu-HU"/>
        </w:rPr>
        <w:t>24.  Az ószövetségi zsidóságnál a sodródó hasadék a négy generációs emlékezet (Pl. a Babiloni fogság) mint a megtörtént eseményt (Isten ellen elkövetett cselekedetet) közvetlenül tanúsító, szóbelileg áthagyományozható emlékezet. Zsidó eszkatológia és történeti modellje a Tórában. Igen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hu-HU"/>
        </w:rPr>
        <w:t>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b5964"/>
    <w:rPr/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b59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LibreOffice/5.0.4.2$Linux_X86_64 LibreOffice_project/00m0$Build-2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2016-01-11T14:55:00Z</dcterms:created>
  <dc:creator>Bence</dc:creator>
  <dc:language>hu-HU</dc:language>
  <cp:lastModifiedBy>Bence</cp:lastModifiedBy>
  <dcterms:modified xsi:type="dcterms:W3CDTF">2016-01-11T16:17:00Z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