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1D2E8" w14:textId="77777777" w:rsidR="00875E16" w:rsidRPr="002C0CB8" w:rsidRDefault="00000000">
      <w:pPr>
        <w:spacing w:after="60"/>
        <w:rPr>
          <w:rFonts w:ascii="Calibri" w:hAnsi="Calibri" w:cs="Calibri"/>
          <w:color w:val="000000" w:themeColor="text1"/>
        </w:rPr>
      </w:pPr>
      <w:r w:rsidRPr="002C0CB8">
        <w:rPr>
          <w:rFonts w:ascii="Calibri" w:hAnsi="Calibri" w:cs="Calibri"/>
          <w:b/>
          <w:bCs/>
          <w:color w:val="000000" w:themeColor="text1"/>
          <w:sz w:val="40"/>
          <w:szCs w:val="40"/>
        </w:rPr>
        <w:t>AI GOVERNANCE &amp; REGULATORY COMPLIANCE ASSESSMENT</w:t>
      </w:r>
    </w:p>
    <w:p w14:paraId="7164CC8B" w14:textId="77777777" w:rsidR="00875E16" w:rsidRPr="002C0CB8" w:rsidRDefault="00000000">
      <w:pPr>
        <w:spacing w:after="60"/>
        <w:rPr>
          <w:rFonts w:ascii="Calibri" w:hAnsi="Calibri" w:cs="Calibri"/>
          <w:color w:val="000000" w:themeColor="text1"/>
        </w:rPr>
      </w:pPr>
      <w:r w:rsidRPr="002C0CB8">
        <w:rPr>
          <w:rFonts w:ascii="Calibri" w:hAnsi="Calibri" w:cs="Calibri"/>
          <w:i/>
          <w:iCs/>
          <w:color w:val="000000" w:themeColor="text1"/>
          <w:sz w:val="26"/>
          <w:szCs w:val="26"/>
        </w:rPr>
        <w:t>AI-Powered Loan Approval System — Governance Review</w:t>
      </w:r>
    </w:p>
    <w:p w14:paraId="4307EE87" w14:textId="0B9DFBD9" w:rsidR="00875E16" w:rsidRPr="002C0CB8" w:rsidRDefault="00000000">
      <w:pPr>
        <w:spacing w:after="300"/>
        <w:rPr>
          <w:rFonts w:ascii="Calibri" w:hAnsi="Calibri" w:cs="Calibri"/>
          <w:color w:val="000000" w:themeColor="text1"/>
        </w:rPr>
      </w:pPr>
      <w:r w:rsidRPr="002C0CB8">
        <w:rPr>
          <w:rFonts w:ascii="Calibri" w:hAnsi="Calibri" w:cs="Calibri"/>
          <w:color w:val="000000" w:themeColor="text1"/>
          <w:sz w:val="18"/>
          <w:szCs w:val="18"/>
        </w:rPr>
        <w:t>Prepared as a model risk / AI governance case study | Scope: 2-day review | Author: Antara</w:t>
      </w:r>
    </w:p>
    <w:p w14:paraId="2256789A" w14:textId="77777777" w:rsidR="00875E16" w:rsidRPr="002C0CB8" w:rsidRDefault="00875E16">
      <w:pPr>
        <w:pBdr>
          <w:bottom w:val="single" w:sz="6" w:space="1" w:color="BFBFBF"/>
        </w:pBdr>
        <w:spacing w:after="200"/>
        <w:rPr>
          <w:rFonts w:ascii="Calibri" w:hAnsi="Calibri" w:cs="Calibri"/>
          <w:color w:val="000000" w:themeColor="text1"/>
        </w:rPr>
      </w:pPr>
    </w:p>
    <w:p w14:paraId="6A5D7154" w14:textId="77777777" w:rsidR="00875E16" w:rsidRPr="002C0CB8" w:rsidRDefault="00000000">
      <w:pPr>
        <w:pStyle w:val="Heading1"/>
        <w:spacing w:before="400" w:after="150"/>
        <w:rPr>
          <w:rFonts w:ascii="Calibri" w:hAnsi="Calibri" w:cs="Calibri"/>
          <w:color w:val="000000" w:themeColor="text1"/>
        </w:rPr>
      </w:pPr>
      <w:r w:rsidRPr="002C0CB8">
        <w:rPr>
          <w:rFonts w:ascii="Calibri" w:hAnsi="Calibri" w:cs="Calibri"/>
          <w:b/>
          <w:bCs/>
          <w:color w:val="000000" w:themeColor="text1"/>
          <w:sz w:val="30"/>
          <w:szCs w:val="30"/>
        </w:rPr>
        <w:t>1. Executive Summary</w:t>
      </w:r>
    </w:p>
    <w:p w14:paraId="1DD18500" w14:textId="77777777" w:rsidR="00875E16" w:rsidRPr="002C0CB8" w:rsidRDefault="00000000">
      <w:pPr>
        <w:spacing w:after="160"/>
        <w:rPr>
          <w:rFonts w:ascii="Calibri" w:hAnsi="Calibri" w:cs="Calibri"/>
          <w:color w:val="000000" w:themeColor="text1"/>
        </w:rPr>
      </w:pPr>
      <w:r w:rsidRPr="002C0CB8">
        <w:rPr>
          <w:rFonts w:ascii="Calibri" w:hAnsi="Calibri" w:cs="Calibri"/>
          <w:color w:val="000000" w:themeColor="text1"/>
          <w:sz w:val="21"/>
          <w:szCs w:val="21"/>
        </w:rPr>
        <w:t>This assessment simulates an independent governance review of an AI/ML-based loan approval (credit decisioning) model at a retail bank. It follows a Second Line of Defense (2LOD) model risk governance approach — evaluating the model lifecycle against SR 11-7 / OCC 2011-12 model risk management principles, the NIST AI Risk Management Framework (AI RMF 1.0), and applicable fair-lending, data protection, and AI-specific regulation (EU AI Act, UK FCA/PRA SS1/23, RBI Digital Lending / Fair Practices guidance, and India's DPDP Act 2023 where relevant to a globally operating bank).</w:t>
      </w:r>
    </w:p>
    <w:p w14:paraId="09E8108B" w14:textId="77777777" w:rsidR="00875E16" w:rsidRPr="002C0CB8" w:rsidRDefault="00000000">
      <w:pPr>
        <w:spacing w:after="160"/>
        <w:rPr>
          <w:rFonts w:ascii="Calibri" w:hAnsi="Calibri" w:cs="Calibri"/>
          <w:color w:val="000000" w:themeColor="text1"/>
        </w:rPr>
      </w:pPr>
      <w:r w:rsidRPr="002C0CB8">
        <w:rPr>
          <w:rFonts w:ascii="Calibri" w:hAnsi="Calibri" w:cs="Calibri"/>
          <w:color w:val="000000" w:themeColor="text1"/>
          <w:sz w:val="21"/>
          <w:szCs w:val="21"/>
        </w:rPr>
        <w:t>The review covers eight core governance control domains, maps each control to the regulatory requirement it satisfies, documents key risks in a formal risk register, and closes with a set of prioritized recommendations and a monitoring approach (including Population Stability Index and drift-based model monitoring).</w:t>
      </w:r>
    </w:p>
    <w:p w14:paraId="26CF592C" w14:textId="77777777" w:rsidR="00875E16" w:rsidRPr="002C0CB8" w:rsidRDefault="00000000">
      <w:pPr>
        <w:pStyle w:val="Heading1"/>
        <w:spacing w:before="400" w:after="150"/>
        <w:rPr>
          <w:rFonts w:ascii="Calibri" w:hAnsi="Calibri" w:cs="Calibri"/>
          <w:color w:val="000000" w:themeColor="text1"/>
        </w:rPr>
      </w:pPr>
      <w:r w:rsidRPr="002C0CB8">
        <w:rPr>
          <w:rFonts w:ascii="Calibri" w:hAnsi="Calibri" w:cs="Calibri"/>
          <w:b/>
          <w:bCs/>
          <w:color w:val="000000" w:themeColor="text1"/>
          <w:sz w:val="30"/>
          <w:szCs w:val="30"/>
        </w:rPr>
        <w:t>2. Scope &amp; Objective</w:t>
      </w:r>
    </w:p>
    <w:p w14:paraId="7B9CBB0E" w14:textId="77777777" w:rsidR="00875E16" w:rsidRPr="002C0CB8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color w:val="000000" w:themeColor="text1"/>
        </w:rPr>
      </w:pPr>
      <w:r w:rsidRPr="002C0CB8">
        <w:rPr>
          <w:rFonts w:ascii="Calibri" w:hAnsi="Calibri" w:cs="Calibri"/>
          <w:color w:val="000000" w:themeColor="text1"/>
          <w:sz w:val="21"/>
          <w:szCs w:val="21"/>
        </w:rPr>
        <w:t>System reviewed: AI/ML credit scoring model used to approve, decline, or refer consumer/retail loan applications.</w:t>
      </w:r>
    </w:p>
    <w:p w14:paraId="46C112A1" w14:textId="77777777" w:rsidR="00875E16" w:rsidRPr="002C0CB8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color w:val="000000" w:themeColor="text1"/>
        </w:rPr>
      </w:pPr>
      <w:r w:rsidRPr="002C0CB8">
        <w:rPr>
          <w:rFonts w:ascii="Calibri" w:hAnsi="Calibri" w:cs="Calibri"/>
          <w:color w:val="000000" w:themeColor="text1"/>
          <w:sz w:val="21"/>
          <w:szCs w:val="21"/>
        </w:rPr>
        <w:t>Lifecycle stages in scope: data sourcing, model development, validation, deployment, ongoing monitoring, and change management.</w:t>
      </w:r>
    </w:p>
    <w:p w14:paraId="77F47EC8" w14:textId="77777777" w:rsidR="00875E16" w:rsidRPr="002C0CB8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color w:val="000000" w:themeColor="text1"/>
        </w:rPr>
      </w:pPr>
      <w:r w:rsidRPr="002C0CB8">
        <w:rPr>
          <w:rFonts w:ascii="Calibri" w:hAnsi="Calibri" w:cs="Calibri"/>
          <w:color w:val="000000" w:themeColor="text1"/>
          <w:sz w:val="21"/>
          <w:szCs w:val="21"/>
        </w:rPr>
        <w:t>Objective: confirm the model is governed to a standard consistent with supervisory expectations for model risk management and responsible AI, and identify residual risks and remediation actions.</w:t>
      </w:r>
    </w:p>
    <w:p w14:paraId="79B0A5C1" w14:textId="6777CBE1" w:rsidR="002C0CB8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color w:val="000000" w:themeColor="text1"/>
          <w:sz w:val="21"/>
          <w:szCs w:val="21"/>
        </w:rPr>
      </w:pPr>
      <w:r w:rsidRPr="002C0CB8">
        <w:rPr>
          <w:rFonts w:ascii="Calibri" w:hAnsi="Calibri" w:cs="Calibri"/>
          <w:color w:val="000000" w:themeColor="text1"/>
          <w:sz w:val="21"/>
          <w:szCs w:val="21"/>
        </w:rPr>
        <w:t>Out of scope: core banking system security review, full penetration testing, and vendor contract legal review (flagged as a dependency, not performed here).</w:t>
      </w:r>
    </w:p>
    <w:p w14:paraId="79D56002" w14:textId="77777777" w:rsidR="002C0CB8" w:rsidRDefault="002C0CB8">
      <w:pPr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br w:type="page"/>
      </w:r>
    </w:p>
    <w:p w14:paraId="32B1BBA1" w14:textId="77777777" w:rsidR="00875E16" w:rsidRPr="002C0CB8" w:rsidRDefault="00875E16" w:rsidP="002C0CB8">
      <w:pPr>
        <w:spacing w:after="80"/>
        <w:rPr>
          <w:rFonts w:ascii="Calibri" w:hAnsi="Calibri" w:cs="Calibri"/>
          <w:color w:val="000000" w:themeColor="text1"/>
        </w:rPr>
      </w:pPr>
    </w:p>
    <w:p w14:paraId="08D3DAEC" w14:textId="77777777" w:rsidR="00875E16" w:rsidRPr="002C0CB8" w:rsidRDefault="00000000">
      <w:pPr>
        <w:pStyle w:val="Heading1"/>
        <w:spacing w:before="400" w:after="150"/>
        <w:rPr>
          <w:rFonts w:ascii="Calibri" w:hAnsi="Calibri" w:cs="Calibri"/>
          <w:color w:val="000000" w:themeColor="text1"/>
        </w:rPr>
      </w:pPr>
      <w:r w:rsidRPr="002C0CB8">
        <w:rPr>
          <w:rFonts w:ascii="Calibri" w:hAnsi="Calibri" w:cs="Calibri"/>
          <w:b/>
          <w:bCs/>
          <w:color w:val="000000" w:themeColor="text1"/>
          <w:sz w:val="30"/>
          <w:szCs w:val="30"/>
        </w:rPr>
        <w:t>3. AI Governance Checklist</w:t>
      </w:r>
    </w:p>
    <w:p w14:paraId="42824250" w14:textId="2B14855B" w:rsidR="00875E16" w:rsidRPr="002C0CB8" w:rsidRDefault="002C0CB8">
      <w:pPr>
        <w:spacing w:after="160"/>
        <w:rPr>
          <w:rFonts w:ascii="Calibri" w:hAnsi="Calibri" w:cs="Calibri"/>
          <w:color w:val="000000" w:themeColor="text1"/>
          <w:sz w:val="21"/>
          <w:szCs w:val="21"/>
        </w:rPr>
      </w:pPr>
      <w:r>
        <w:rPr>
          <w:rFonts w:ascii="Calibri" w:hAnsi="Calibri" w:cs="Calibri"/>
          <w:color w:val="000000" w:themeColor="text1"/>
          <w:sz w:val="21"/>
          <w:szCs w:val="21"/>
        </w:rPr>
        <w:t>Governance checkpoint a 2LOD reviewer would expect to see before approving the model for continued use.</w:t>
      </w:r>
    </w:p>
    <w:tbl>
      <w:tblPr>
        <w:tblStyle w:val="GridTable1Light"/>
        <w:tblW w:w="9900" w:type="dxa"/>
        <w:tblLook w:val="0000" w:firstRow="0" w:lastRow="0" w:firstColumn="0" w:lastColumn="0" w:noHBand="0" w:noVBand="0"/>
      </w:tblPr>
      <w:tblGrid>
        <w:gridCol w:w="2100"/>
        <w:gridCol w:w="5100"/>
        <w:gridCol w:w="2700"/>
      </w:tblGrid>
      <w:tr w:rsidR="002C0CB8" w:rsidRPr="002C0CB8" w14:paraId="17EDCF5C" w14:textId="77777777" w:rsidTr="002C0CB8">
        <w:tc>
          <w:tcPr>
            <w:tcW w:w="2100" w:type="dxa"/>
          </w:tcPr>
          <w:p w14:paraId="1A36C1D8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Control Area</w:t>
            </w:r>
          </w:p>
        </w:tc>
        <w:tc>
          <w:tcPr>
            <w:tcW w:w="5100" w:type="dxa"/>
          </w:tcPr>
          <w:p w14:paraId="41B73996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What Good Evidence Looks Like</w:t>
            </w:r>
          </w:p>
        </w:tc>
        <w:tc>
          <w:tcPr>
            <w:tcW w:w="2700" w:type="dxa"/>
          </w:tcPr>
          <w:p w14:paraId="2D28F939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Review Status</w:t>
            </w:r>
          </w:p>
        </w:tc>
      </w:tr>
      <w:tr w:rsidR="002C0CB8" w:rsidRPr="002C0CB8" w14:paraId="6E17D3CF" w14:textId="77777777" w:rsidTr="002C0CB8">
        <w:tc>
          <w:tcPr>
            <w:tcW w:w="2100" w:type="dxa"/>
          </w:tcPr>
          <w:p w14:paraId="1938B31F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Data Lineage</w:t>
            </w:r>
          </w:p>
        </w:tc>
        <w:tc>
          <w:tcPr>
            <w:tcW w:w="5100" w:type="dxa"/>
          </w:tcPr>
          <w:p w14:paraId="2F3C76AB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Documented source-to-model data flow; data dictionary; traceability from raw bureau/application data to model features</w:t>
            </w:r>
          </w:p>
        </w:tc>
        <w:tc>
          <w:tcPr>
            <w:tcW w:w="2700" w:type="dxa"/>
          </w:tcPr>
          <w:p w14:paraId="3DA13FC2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Partially in place</w:t>
            </w:r>
          </w:p>
        </w:tc>
      </w:tr>
      <w:tr w:rsidR="002C0CB8" w:rsidRPr="002C0CB8" w14:paraId="2B0D74E6" w14:textId="77777777" w:rsidTr="002C0CB8">
        <w:tc>
          <w:tcPr>
            <w:tcW w:w="2100" w:type="dxa"/>
          </w:tcPr>
          <w:p w14:paraId="2325A057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Model Inventory</w:t>
            </w:r>
          </w:p>
        </w:tc>
        <w:tc>
          <w:tcPr>
            <w:tcW w:w="5100" w:type="dxa"/>
          </w:tcPr>
          <w:p w14:paraId="7584F20F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Model registered in enterprise model inventory with tier/risk rating, owner, purpose, and approval status</w:t>
            </w:r>
          </w:p>
        </w:tc>
        <w:tc>
          <w:tcPr>
            <w:tcW w:w="2700" w:type="dxa"/>
          </w:tcPr>
          <w:p w14:paraId="08471C18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In place</w:t>
            </w:r>
          </w:p>
        </w:tc>
      </w:tr>
      <w:tr w:rsidR="002C0CB8" w:rsidRPr="002C0CB8" w14:paraId="5D4A8948" w14:textId="77777777" w:rsidTr="002C0CB8">
        <w:tc>
          <w:tcPr>
            <w:tcW w:w="2100" w:type="dxa"/>
          </w:tcPr>
          <w:p w14:paraId="3E4A6D87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Human Oversight</w:t>
            </w:r>
          </w:p>
        </w:tc>
        <w:tc>
          <w:tcPr>
            <w:tcW w:w="5100" w:type="dxa"/>
          </w:tcPr>
          <w:p w14:paraId="4858A2F1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Defined override/referral thresholds; human-in-the-loop for declines and edge cases; escalation path</w:t>
            </w:r>
          </w:p>
        </w:tc>
        <w:tc>
          <w:tcPr>
            <w:tcW w:w="2700" w:type="dxa"/>
          </w:tcPr>
          <w:p w14:paraId="0B6FDBA9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Gap identified</w:t>
            </w:r>
          </w:p>
        </w:tc>
      </w:tr>
      <w:tr w:rsidR="002C0CB8" w:rsidRPr="002C0CB8" w14:paraId="06580CC5" w14:textId="77777777" w:rsidTr="002C0CB8">
        <w:tc>
          <w:tcPr>
            <w:tcW w:w="2100" w:type="dxa"/>
          </w:tcPr>
          <w:p w14:paraId="0F81736A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Bias Testing</w:t>
            </w:r>
          </w:p>
        </w:tc>
        <w:tc>
          <w:tcPr>
            <w:tcW w:w="5100" w:type="dxa"/>
          </w:tcPr>
          <w:p w14:paraId="74355E54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Pre- and post-deployment disparate impact testing across protected classes; documented thresholds (e.g., 80% rule)</w:t>
            </w:r>
          </w:p>
        </w:tc>
        <w:tc>
          <w:tcPr>
            <w:tcW w:w="2700" w:type="dxa"/>
          </w:tcPr>
          <w:p w14:paraId="3E70BEE4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Gap identified</w:t>
            </w:r>
          </w:p>
        </w:tc>
      </w:tr>
      <w:tr w:rsidR="002C0CB8" w:rsidRPr="002C0CB8" w14:paraId="26FA3F82" w14:textId="77777777" w:rsidTr="002C0CB8">
        <w:tc>
          <w:tcPr>
            <w:tcW w:w="2100" w:type="dxa"/>
          </w:tcPr>
          <w:p w14:paraId="7AEE902B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Explainability</w:t>
            </w:r>
          </w:p>
        </w:tc>
        <w:tc>
          <w:tcPr>
            <w:tcW w:w="5100" w:type="dxa"/>
          </w:tcPr>
          <w:p w14:paraId="2D1DC113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Feature-level explanation for each decision (e.g., SHAP-based reason codes); adverse action reason codes</w:t>
            </w:r>
          </w:p>
        </w:tc>
        <w:tc>
          <w:tcPr>
            <w:tcW w:w="2700" w:type="dxa"/>
          </w:tcPr>
          <w:p w14:paraId="6984CEB1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Partially in place</w:t>
            </w:r>
          </w:p>
        </w:tc>
      </w:tr>
      <w:tr w:rsidR="002C0CB8" w:rsidRPr="002C0CB8" w14:paraId="116C2737" w14:textId="77777777" w:rsidTr="002C0CB8">
        <w:tc>
          <w:tcPr>
            <w:tcW w:w="2100" w:type="dxa"/>
          </w:tcPr>
          <w:p w14:paraId="69632495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Monitoring</w:t>
            </w:r>
          </w:p>
        </w:tc>
        <w:tc>
          <w:tcPr>
            <w:tcW w:w="5100" w:type="dxa"/>
          </w:tcPr>
          <w:p w14:paraId="1B7F577A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Ongoing performance, stability (PSI/CSI) and fairness monitoring with defined thresholds and escalation triggers</w:t>
            </w:r>
          </w:p>
        </w:tc>
        <w:tc>
          <w:tcPr>
            <w:tcW w:w="2700" w:type="dxa"/>
          </w:tcPr>
          <w:p w14:paraId="7F4B93A5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Gap identified</w:t>
            </w:r>
          </w:p>
        </w:tc>
      </w:tr>
      <w:tr w:rsidR="002C0CB8" w:rsidRPr="002C0CB8" w14:paraId="22FB2589" w14:textId="77777777" w:rsidTr="002C0CB8">
        <w:tc>
          <w:tcPr>
            <w:tcW w:w="2100" w:type="dxa"/>
          </w:tcPr>
          <w:p w14:paraId="7D292FA2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Change Management</w:t>
            </w:r>
          </w:p>
        </w:tc>
        <w:tc>
          <w:tcPr>
            <w:tcW w:w="5100" w:type="dxa"/>
          </w:tcPr>
          <w:p w14:paraId="30156512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Formal model change log; re-validation triggers for retraining, feature changes, or vendor updates</w:t>
            </w:r>
          </w:p>
        </w:tc>
        <w:tc>
          <w:tcPr>
            <w:tcW w:w="2700" w:type="dxa"/>
          </w:tcPr>
          <w:p w14:paraId="3FD329E6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Partially in place</w:t>
            </w:r>
          </w:p>
        </w:tc>
      </w:tr>
      <w:tr w:rsidR="002C0CB8" w:rsidRPr="002C0CB8" w14:paraId="66111021" w14:textId="77777777" w:rsidTr="002C0CB8">
        <w:tc>
          <w:tcPr>
            <w:tcW w:w="2100" w:type="dxa"/>
          </w:tcPr>
          <w:p w14:paraId="17DBCF77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Third-Party Risk</w:t>
            </w:r>
          </w:p>
        </w:tc>
        <w:tc>
          <w:tcPr>
            <w:tcW w:w="5100" w:type="dxa"/>
          </w:tcPr>
          <w:p w14:paraId="66B2C1C6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Due diligence on vendor/scorecard providers; SLA on model updates; contractual audit rights and explainability access</w:t>
            </w:r>
          </w:p>
        </w:tc>
        <w:tc>
          <w:tcPr>
            <w:tcW w:w="2700" w:type="dxa"/>
          </w:tcPr>
          <w:p w14:paraId="72C0B5F3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Gap identified</w:t>
            </w:r>
          </w:p>
        </w:tc>
      </w:tr>
      <w:tr w:rsidR="002C0CB8" w:rsidRPr="002C0CB8" w14:paraId="24FCD9D7" w14:textId="77777777" w:rsidTr="002C0CB8">
        <w:tc>
          <w:tcPr>
            <w:tcW w:w="2100" w:type="dxa"/>
          </w:tcPr>
          <w:p w14:paraId="37A4AEB6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Documentation</w:t>
            </w:r>
          </w:p>
        </w:tc>
        <w:tc>
          <w:tcPr>
            <w:tcW w:w="5100" w:type="dxa"/>
          </w:tcPr>
          <w:p w14:paraId="43CF4519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SR 11-7 style model documentation: methodology, assumptions, limitations, performance benchmarks</w:t>
            </w:r>
          </w:p>
        </w:tc>
        <w:tc>
          <w:tcPr>
            <w:tcW w:w="2700" w:type="dxa"/>
          </w:tcPr>
          <w:p w14:paraId="019AA6C7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Partially in place</w:t>
            </w:r>
          </w:p>
        </w:tc>
      </w:tr>
      <w:tr w:rsidR="002C0CB8" w:rsidRPr="002C0CB8" w14:paraId="172E18AD" w14:textId="77777777" w:rsidTr="002C0CB8">
        <w:tc>
          <w:tcPr>
            <w:tcW w:w="2100" w:type="dxa"/>
          </w:tcPr>
          <w:p w14:paraId="133DD3C4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Data Privacy &amp; Consent</w:t>
            </w:r>
          </w:p>
        </w:tc>
        <w:tc>
          <w:tcPr>
            <w:tcW w:w="5100" w:type="dxa"/>
          </w:tcPr>
          <w:p w14:paraId="45F1D032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Lawful basis for data use, consent capture, data minimization, retention limits</w:t>
            </w:r>
          </w:p>
        </w:tc>
        <w:tc>
          <w:tcPr>
            <w:tcW w:w="2700" w:type="dxa"/>
          </w:tcPr>
          <w:p w14:paraId="68CCE305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In place</w:t>
            </w:r>
          </w:p>
        </w:tc>
      </w:tr>
    </w:tbl>
    <w:p w14:paraId="5E7560DD" w14:textId="77777777" w:rsidR="00875E16" w:rsidRPr="002C0CB8" w:rsidRDefault="00000000">
      <w:pPr>
        <w:pStyle w:val="Heading1"/>
        <w:spacing w:before="400" w:after="150"/>
        <w:rPr>
          <w:rFonts w:ascii="Calibri" w:hAnsi="Calibri" w:cs="Calibri"/>
          <w:color w:val="000000" w:themeColor="text1"/>
        </w:rPr>
      </w:pPr>
      <w:r w:rsidRPr="002C0CB8">
        <w:rPr>
          <w:rFonts w:ascii="Calibri" w:hAnsi="Calibri" w:cs="Calibri"/>
          <w:b/>
          <w:bCs/>
          <w:color w:val="000000" w:themeColor="text1"/>
          <w:sz w:val="30"/>
          <w:szCs w:val="30"/>
        </w:rPr>
        <w:t>4. Mapping Controls to Regulatory Requirements</w:t>
      </w:r>
    </w:p>
    <w:p w14:paraId="5811EB14" w14:textId="7B590C8E" w:rsidR="00875E16" w:rsidRPr="002C0CB8" w:rsidRDefault="00000000">
      <w:pPr>
        <w:spacing w:after="160"/>
        <w:rPr>
          <w:rFonts w:ascii="Calibri" w:hAnsi="Calibri" w:cs="Calibri"/>
          <w:color w:val="000000" w:themeColor="text1"/>
        </w:rPr>
      </w:pPr>
      <w:r w:rsidRPr="002C0CB8">
        <w:rPr>
          <w:rFonts w:ascii="Calibri" w:hAnsi="Calibri" w:cs="Calibri"/>
          <w:color w:val="000000" w:themeColor="text1"/>
          <w:sz w:val="21"/>
          <w:szCs w:val="21"/>
        </w:rPr>
        <w:t>The table maps each governance requirement to the control(s) that satisfy it</w:t>
      </w:r>
      <w:r w:rsidR="002C0CB8">
        <w:rPr>
          <w:rFonts w:ascii="Calibri" w:hAnsi="Calibri" w:cs="Calibri"/>
          <w:color w:val="000000" w:themeColor="text1"/>
          <w:sz w:val="21"/>
          <w:szCs w:val="21"/>
        </w:rPr>
        <w:t xml:space="preserve">. </w:t>
      </w:r>
    </w:p>
    <w:tbl>
      <w:tblPr>
        <w:tblStyle w:val="GridTable1Light"/>
        <w:tblW w:w="9900" w:type="dxa"/>
        <w:tblLook w:val="0000" w:firstRow="0" w:lastRow="0" w:firstColumn="0" w:lastColumn="0" w:noHBand="0" w:noVBand="0"/>
      </w:tblPr>
      <w:tblGrid>
        <w:gridCol w:w="1900"/>
        <w:gridCol w:w="2500"/>
        <w:gridCol w:w="3200"/>
        <w:gridCol w:w="2300"/>
      </w:tblGrid>
      <w:tr w:rsidR="002C0CB8" w:rsidRPr="002C0CB8" w14:paraId="1368A9F6" w14:textId="77777777" w:rsidTr="002C0CB8">
        <w:tc>
          <w:tcPr>
            <w:tcW w:w="1900" w:type="dxa"/>
          </w:tcPr>
          <w:p w14:paraId="42745494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Requirement</w:t>
            </w:r>
          </w:p>
        </w:tc>
        <w:tc>
          <w:tcPr>
            <w:tcW w:w="2500" w:type="dxa"/>
          </w:tcPr>
          <w:p w14:paraId="03DD8457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Control(s)</w:t>
            </w:r>
          </w:p>
        </w:tc>
        <w:tc>
          <w:tcPr>
            <w:tcW w:w="3200" w:type="dxa"/>
          </w:tcPr>
          <w:p w14:paraId="642AB786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Primary Regulatory Reference</w:t>
            </w:r>
          </w:p>
        </w:tc>
        <w:tc>
          <w:tcPr>
            <w:tcW w:w="2300" w:type="dxa"/>
          </w:tcPr>
          <w:p w14:paraId="55CF792D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Intent</w:t>
            </w:r>
          </w:p>
        </w:tc>
      </w:tr>
      <w:tr w:rsidR="002C0CB8" w:rsidRPr="002C0CB8" w14:paraId="5CDA4697" w14:textId="77777777" w:rsidTr="002C0CB8">
        <w:tc>
          <w:tcPr>
            <w:tcW w:w="1900" w:type="dxa"/>
          </w:tcPr>
          <w:p w14:paraId="314D0A73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Sound Model Governance</w:t>
            </w:r>
          </w:p>
        </w:tc>
        <w:tc>
          <w:tcPr>
            <w:tcW w:w="2500" w:type="dxa"/>
          </w:tcPr>
          <w:p w14:paraId="7396AD93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Model inventory, tiering, documentation, change management</w:t>
            </w:r>
          </w:p>
        </w:tc>
        <w:tc>
          <w:tcPr>
            <w:tcW w:w="3200" w:type="dxa"/>
          </w:tcPr>
          <w:p w14:paraId="768DCB66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SR 11-7 / OCC 2011-12; NIST AI RMF (Govern)</w:t>
            </w:r>
          </w:p>
        </w:tc>
        <w:tc>
          <w:tcPr>
            <w:tcW w:w="2300" w:type="dxa"/>
          </w:tcPr>
          <w:p w14:paraId="38C0F095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Ensure the model is developed, approved and used within a controlled framework</w:t>
            </w:r>
          </w:p>
        </w:tc>
      </w:tr>
      <w:tr w:rsidR="002C0CB8" w:rsidRPr="002C0CB8" w14:paraId="4A759FCB" w14:textId="77777777" w:rsidTr="002C0CB8">
        <w:tc>
          <w:tcPr>
            <w:tcW w:w="1900" w:type="dxa"/>
          </w:tcPr>
          <w:p w14:paraId="3CD2ED1E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Fairness / Non-Discrimination</w:t>
            </w:r>
          </w:p>
        </w:tc>
        <w:tc>
          <w:tcPr>
            <w:tcW w:w="2500" w:type="dxa"/>
          </w:tcPr>
          <w:p w14:paraId="02DF5EB6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Bias testing, disparate impact analysis, fairness monitoring</w:t>
            </w:r>
          </w:p>
        </w:tc>
        <w:tc>
          <w:tcPr>
            <w:tcW w:w="3200" w:type="dxa"/>
          </w:tcPr>
          <w:p w14:paraId="4E41122E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ECOA / Reg B, Fair Housing Act; RBI Fair Practices Code; EU AI Act (high-risk credit scoring)</w:t>
            </w:r>
          </w:p>
        </w:tc>
        <w:tc>
          <w:tcPr>
            <w:tcW w:w="2300" w:type="dxa"/>
          </w:tcPr>
          <w:p w14:paraId="3163530B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Prevent discriminatory outcomes across protected classes</w:t>
            </w:r>
          </w:p>
        </w:tc>
      </w:tr>
      <w:tr w:rsidR="002C0CB8" w:rsidRPr="002C0CB8" w14:paraId="58B3FFEA" w14:textId="77777777" w:rsidTr="002C0CB8">
        <w:tc>
          <w:tcPr>
            <w:tcW w:w="1900" w:type="dxa"/>
          </w:tcPr>
          <w:p w14:paraId="1D7FFD93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Transparency &amp; Explainability</w:t>
            </w:r>
          </w:p>
        </w:tc>
        <w:tc>
          <w:tcPr>
            <w:tcW w:w="2500" w:type="dxa"/>
          </w:tcPr>
          <w:p w14:paraId="522FA72D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SHAP/LIME reason codes, adverse action notices</w:t>
            </w:r>
          </w:p>
        </w:tc>
        <w:tc>
          <w:tcPr>
            <w:tcW w:w="3200" w:type="dxa"/>
          </w:tcPr>
          <w:p w14:paraId="092D3AB9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ECOA adverse action requirements; EU AI Act Art. 13; GDPR Art. 22</w:t>
            </w:r>
          </w:p>
        </w:tc>
        <w:tc>
          <w:tcPr>
            <w:tcW w:w="2300" w:type="dxa"/>
          </w:tcPr>
          <w:p w14:paraId="273288BA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Applicants understand and can contest automated decisions</w:t>
            </w:r>
          </w:p>
        </w:tc>
      </w:tr>
      <w:tr w:rsidR="002C0CB8" w:rsidRPr="002C0CB8" w14:paraId="38772C09" w14:textId="77777777" w:rsidTr="002C0CB8">
        <w:tc>
          <w:tcPr>
            <w:tcW w:w="1900" w:type="dxa"/>
          </w:tcPr>
          <w:p w14:paraId="0C6DA4A1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Human Review / Oversight</w:t>
            </w:r>
          </w:p>
        </w:tc>
        <w:tc>
          <w:tcPr>
            <w:tcW w:w="2500" w:type="dxa"/>
          </w:tcPr>
          <w:p w14:paraId="65516830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Override protocol, escalation path, human-in-the-loop for declines</w:t>
            </w:r>
          </w:p>
        </w:tc>
        <w:tc>
          <w:tcPr>
            <w:tcW w:w="3200" w:type="dxa"/>
          </w:tcPr>
          <w:p w14:paraId="7F16E003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EU AI Act Art. 14; GDPR Art. 22; UK FCA/PRA SS1/23</w:t>
            </w:r>
          </w:p>
        </w:tc>
        <w:tc>
          <w:tcPr>
            <w:tcW w:w="2300" w:type="dxa"/>
          </w:tcPr>
          <w:p w14:paraId="2B9CC67B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Meaningful human involvement in automated decisions</w:t>
            </w:r>
          </w:p>
        </w:tc>
      </w:tr>
      <w:tr w:rsidR="002C0CB8" w:rsidRPr="002C0CB8" w14:paraId="2CEB403C" w14:textId="77777777" w:rsidTr="002C0CB8">
        <w:tc>
          <w:tcPr>
            <w:tcW w:w="1900" w:type="dxa"/>
          </w:tcPr>
          <w:p w14:paraId="4EE11675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Data Quality &amp; Lineage</w:t>
            </w:r>
          </w:p>
        </w:tc>
        <w:tc>
          <w:tcPr>
            <w:tcW w:w="2500" w:type="dxa"/>
          </w:tcPr>
          <w:p w14:paraId="2C276165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Data lineage documentation, data dictionary, quality checks</w:t>
            </w:r>
          </w:p>
        </w:tc>
        <w:tc>
          <w:tcPr>
            <w:tcW w:w="3200" w:type="dxa"/>
          </w:tcPr>
          <w:p w14:paraId="7DD01FD4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BCBS 239; NIST AI RMF (Map/Measure)</w:t>
            </w:r>
          </w:p>
        </w:tc>
        <w:tc>
          <w:tcPr>
            <w:tcW w:w="2300" w:type="dxa"/>
          </w:tcPr>
          <w:p w14:paraId="3461F470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Ensure inputs are accurate, complete and traceable</w:t>
            </w:r>
          </w:p>
        </w:tc>
      </w:tr>
      <w:tr w:rsidR="002C0CB8" w:rsidRPr="002C0CB8" w14:paraId="302B6FD8" w14:textId="77777777" w:rsidTr="002C0CB8">
        <w:tc>
          <w:tcPr>
            <w:tcW w:w="1900" w:type="dxa"/>
          </w:tcPr>
          <w:p w14:paraId="580C0594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Ongoing Monitoring &amp; Drift Control</w:t>
            </w:r>
          </w:p>
        </w:tc>
        <w:tc>
          <w:tcPr>
            <w:tcW w:w="2500" w:type="dxa"/>
          </w:tcPr>
          <w:p w14:paraId="603ED90D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PSI/CSI tracking, performance monitoring, re-validation triggers</w:t>
            </w:r>
          </w:p>
        </w:tc>
        <w:tc>
          <w:tcPr>
            <w:tcW w:w="3200" w:type="dxa"/>
          </w:tcPr>
          <w:p w14:paraId="6619C334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SR 11-7 ongoing monitoring; RBI Digital Lending Guidelines</w:t>
            </w:r>
          </w:p>
        </w:tc>
        <w:tc>
          <w:tcPr>
            <w:tcW w:w="2300" w:type="dxa"/>
          </w:tcPr>
          <w:p w14:paraId="056288EC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Detect model/data drift before it causes financial or fairness harm</w:t>
            </w:r>
          </w:p>
        </w:tc>
      </w:tr>
      <w:tr w:rsidR="002C0CB8" w:rsidRPr="002C0CB8" w14:paraId="216428B2" w14:textId="77777777" w:rsidTr="002C0CB8">
        <w:tc>
          <w:tcPr>
            <w:tcW w:w="1900" w:type="dxa"/>
          </w:tcPr>
          <w:p w14:paraId="0D6E8E75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Independent Validation</w:t>
            </w:r>
          </w:p>
        </w:tc>
        <w:tc>
          <w:tcPr>
            <w:tcW w:w="2500" w:type="dxa"/>
          </w:tcPr>
          <w:p w14:paraId="655BE1F0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2LOD/independent model validation, governance committee sign-off</w:t>
            </w:r>
          </w:p>
        </w:tc>
        <w:tc>
          <w:tcPr>
            <w:tcW w:w="3200" w:type="dxa"/>
          </w:tcPr>
          <w:p w14:paraId="10F7A050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SR 11-7 effective challenge; OCC 2011-12</w:t>
            </w:r>
          </w:p>
        </w:tc>
        <w:tc>
          <w:tcPr>
            <w:tcW w:w="2300" w:type="dxa"/>
          </w:tcPr>
          <w:p w14:paraId="06CDD4AA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Provide credible challenge independent of model developers</w:t>
            </w:r>
          </w:p>
        </w:tc>
      </w:tr>
      <w:tr w:rsidR="002C0CB8" w:rsidRPr="002C0CB8" w14:paraId="5083CE37" w14:textId="77777777" w:rsidTr="002C0CB8">
        <w:tc>
          <w:tcPr>
            <w:tcW w:w="1900" w:type="dxa"/>
          </w:tcPr>
          <w:p w14:paraId="1A79EB37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lastRenderedPageBreak/>
              <w:t>Third-Party / Vendor Risk</w:t>
            </w:r>
          </w:p>
        </w:tc>
        <w:tc>
          <w:tcPr>
            <w:tcW w:w="2500" w:type="dxa"/>
          </w:tcPr>
          <w:p w14:paraId="52415972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Vendor due diligence, SLAs, audit rights</w:t>
            </w:r>
          </w:p>
        </w:tc>
        <w:tc>
          <w:tcPr>
            <w:tcW w:w="3200" w:type="dxa"/>
          </w:tcPr>
          <w:p w14:paraId="30115AA8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OCC Third-Party Risk Management guidance; RBI outsourcing guidelines</w:t>
            </w:r>
          </w:p>
        </w:tc>
        <w:tc>
          <w:tcPr>
            <w:tcW w:w="2300" w:type="dxa"/>
          </w:tcPr>
          <w:p w14:paraId="24CFBC9E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Manage risk where scorecards or data are externally sourced</w:t>
            </w:r>
          </w:p>
        </w:tc>
      </w:tr>
      <w:tr w:rsidR="002C0CB8" w:rsidRPr="002C0CB8" w14:paraId="30C6A188" w14:textId="77777777" w:rsidTr="002C0CB8">
        <w:tc>
          <w:tcPr>
            <w:tcW w:w="1900" w:type="dxa"/>
          </w:tcPr>
          <w:p w14:paraId="6B8B057F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Data Protection &amp; Consent</w:t>
            </w:r>
          </w:p>
        </w:tc>
        <w:tc>
          <w:tcPr>
            <w:tcW w:w="2500" w:type="dxa"/>
          </w:tcPr>
          <w:p w14:paraId="4F5EBA18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Consent capture, retention limits, purpose limitation</w:t>
            </w:r>
          </w:p>
        </w:tc>
        <w:tc>
          <w:tcPr>
            <w:tcW w:w="3200" w:type="dxa"/>
          </w:tcPr>
          <w:p w14:paraId="0016065C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GDPR; India DPDP Act 2023</w:t>
            </w:r>
          </w:p>
        </w:tc>
        <w:tc>
          <w:tcPr>
            <w:tcW w:w="2300" w:type="dxa"/>
          </w:tcPr>
          <w:p w14:paraId="67FEB084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Lawful, minimal and purpose-bound use of applicant data</w:t>
            </w:r>
          </w:p>
        </w:tc>
      </w:tr>
    </w:tbl>
    <w:p w14:paraId="4F2F9CE5" w14:textId="77777777" w:rsidR="00875E16" w:rsidRPr="002C0CB8" w:rsidRDefault="00000000">
      <w:pPr>
        <w:pStyle w:val="Heading1"/>
        <w:spacing w:before="400" w:after="150"/>
        <w:rPr>
          <w:rFonts w:ascii="Calibri" w:hAnsi="Calibri" w:cs="Calibri"/>
          <w:color w:val="000000" w:themeColor="text1"/>
        </w:rPr>
      </w:pPr>
      <w:r w:rsidRPr="002C0CB8">
        <w:rPr>
          <w:rFonts w:ascii="Calibri" w:hAnsi="Calibri" w:cs="Calibri"/>
          <w:b/>
          <w:bCs/>
          <w:color w:val="000000" w:themeColor="text1"/>
          <w:sz w:val="30"/>
          <w:szCs w:val="30"/>
        </w:rPr>
        <w:t>5. Risk Register</w:t>
      </w:r>
    </w:p>
    <w:p w14:paraId="70A2E9C3" w14:textId="77777777" w:rsidR="00875E16" w:rsidRPr="002C0CB8" w:rsidRDefault="00000000">
      <w:pPr>
        <w:spacing w:after="160"/>
        <w:rPr>
          <w:rFonts w:ascii="Calibri" w:hAnsi="Calibri" w:cs="Calibri"/>
          <w:color w:val="000000" w:themeColor="text1"/>
        </w:rPr>
      </w:pPr>
      <w:r w:rsidRPr="002C0CB8">
        <w:rPr>
          <w:rFonts w:ascii="Calibri" w:hAnsi="Calibri" w:cs="Calibri"/>
          <w:color w:val="000000" w:themeColor="text1"/>
          <w:sz w:val="21"/>
          <w:szCs w:val="21"/>
        </w:rPr>
        <w:t>Risks are rated on a 3x3 Likelihood x Impact scale (Low/Medium/High) with an overall rating; owners reflect a typical bank operating model.</w:t>
      </w:r>
    </w:p>
    <w:tbl>
      <w:tblPr>
        <w:tblStyle w:val="GridTable1Light"/>
        <w:tblW w:w="10900" w:type="dxa"/>
        <w:tblLook w:val="0000" w:firstRow="0" w:lastRow="0" w:firstColumn="0" w:lastColumn="0" w:noHBand="0" w:noVBand="0"/>
      </w:tblPr>
      <w:tblGrid>
        <w:gridCol w:w="1500"/>
        <w:gridCol w:w="2200"/>
        <w:gridCol w:w="1100"/>
        <w:gridCol w:w="1100"/>
        <w:gridCol w:w="1200"/>
        <w:gridCol w:w="2000"/>
        <w:gridCol w:w="1800"/>
      </w:tblGrid>
      <w:tr w:rsidR="002C0CB8" w:rsidRPr="002C0CB8" w14:paraId="2E6329EA" w14:textId="77777777" w:rsidTr="002C0CB8">
        <w:tc>
          <w:tcPr>
            <w:tcW w:w="1500" w:type="dxa"/>
          </w:tcPr>
          <w:p w14:paraId="34EEBF3F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Risk</w:t>
            </w:r>
          </w:p>
        </w:tc>
        <w:tc>
          <w:tcPr>
            <w:tcW w:w="2200" w:type="dxa"/>
          </w:tcPr>
          <w:p w14:paraId="462BB2D2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Description</w:t>
            </w:r>
          </w:p>
        </w:tc>
        <w:tc>
          <w:tcPr>
            <w:tcW w:w="1100" w:type="dxa"/>
          </w:tcPr>
          <w:p w14:paraId="15780173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Likelihood</w:t>
            </w:r>
          </w:p>
        </w:tc>
        <w:tc>
          <w:tcPr>
            <w:tcW w:w="1100" w:type="dxa"/>
          </w:tcPr>
          <w:p w14:paraId="37DC667B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Impact</w:t>
            </w:r>
          </w:p>
        </w:tc>
        <w:tc>
          <w:tcPr>
            <w:tcW w:w="1200" w:type="dxa"/>
          </w:tcPr>
          <w:p w14:paraId="1D543E06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Rating</w:t>
            </w:r>
          </w:p>
        </w:tc>
        <w:tc>
          <w:tcPr>
            <w:tcW w:w="2000" w:type="dxa"/>
          </w:tcPr>
          <w:p w14:paraId="43DC2EA4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Mitigating Control</w:t>
            </w:r>
          </w:p>
        </w:tc>
        <w:tc>
          <w:tcPr>
            <w:tcW w:w="1800" w:type="dxa"/>
          </w:tcPr>
          <w:p w14:paraId="70F627D6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b/>
                <w:bCs/>
                <w:color w:val="000000" w:themeColor="text1"/>
                <w:sz w:val="19"/>
                <w:szCs w:val="19"/>
              </w:rPr>
              <w:t>Owner</w:t>
            </w:r>
          </w:p>
        </w:tc>
      </w:tr>
      <w:tr w:rsidR="002C0CB8" w:rsidRPr="002C0CB8" w14:paraId="3156F155" w14:textId="77777777" w:rsidTr="002C0CB8">
        <w:tc>
          <w:tcPr>
            <w:tcW w:w="1500" w:type="dxa"/>
          </w:tcPr>
          <w:p w14:paraId="2D4BC283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Model Drift</w:t>
            </w:r>
          </w:p>
        </w:tc>
        <w:tc>
          <w:tcPr>
            <w:tcW w:w="2200" w:type="dxa"/>
          </w:tcPr>
          <w:p w14:paraId="4E71E086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Population or feature distributions shift from the development sample, degrading predictive performance over time</w:t>
            </w:r>
          </w:p>
        </w:tc>
        <w:tc>
          <w:tcPr>
            <w:tcW w:w="1100" w:type="dxa"/>
          </w:tcPr>
          <w:p w14:paraId="01BF52B8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High</w:t>
            </w:r>
          </w:p>
        </w:tc>
        <w:tc>
          <w:tcPr>
            <w:tcW w:w="1100" w:type="dxa"/>
          </w:tcPr>
          <w:p w14:paraId="23D50EBF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High</w:t>
            </w:r>
          </w:p>
        </w:tc>
        <w:tc>
          <w:tcPr>
            <w:tcW w:w="1200" w:type="dxa"/>
          </w:tcPr>
          <w:p w14:paraId="3FA38E2E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High</w:t>
            </w:r>
          </w:p>
        </w:tc>
        <w:tc>
          <w:tcPr>
            <w:tcW w:w="2000" w:type="dxa"/>
          </w:tcPr>
          <w:p w14:paraId="00924E8F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PSI/CSI monitoring; scheduled revalidation</w:t>
            </w:r>
          </w:p>
        </w:tc>
        <w:tc>
          <w:tcPr>
            <w:tcW w:w="1800" w:type="dxa"/>
          </w:tcPr>
          <w:p w14:paraId="07DC813F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Model Risk / 2LOD</w:t>
            </w:r>
          </w:p>
        </w:tc>
      </w:tr>
      <w:tr w:rsidR="002C0CB8" w:rsidRPr="002C0CB8" w14:paraId="72B66A99" w14:textId="77777777" w:rsidTr="002C0CB8">
        <w:tc>
          <w:tcPr>
            <w:tcW w:w="1500" w:type="dxa"/>
          </w:tcPr>
          <w:p w14:paraId="6F7505A2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Biased Predictions</w:t>
            </w:r>
          </w:p>
        </w:tc>
        <w:tc>
          <w:tcPr>
            <w:tcW w:w="2200" w:type="dxa"/>
          </w:tcPr>
          <w:p w14:paraId="7765FF70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Model produces disparate approval/decline rates across protected groups</w:t>
            </w:r>
          </w:p>
        </w:tc>
        <w:tc>
          <w:tcPr>
            <w:tcW w:w="1100" w:type="dxa"/>
          </w:tcPr>
          <w:p w14:paraId="1F055D5B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Medium</w:t>
            </w:r>
          </w:p>
        </w:tc>
        <w:tc>
          <w:tcPr>
            <w:tcW w:w="1100" w:type="dxa"/>
          </w:tcPr>
          <w:p w14:paraId="2BDB34AA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High</w:t>
            </w:r>
          </w:p>
        </w:tc>
        <w:tc>
          <w:tcPr>
            <w:tcW w:w="1200" w:type="dxa"/>
          </w:tcPr>
          <w:p w14:paraId="138037F9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High</w:t>
            </w:r>
          </w:p>
        </w:tc>
        <w:tc>
          <w:tcPr>
            <w:tcW w:w="2000" w:type="dxa"/>
          </w:tcPr>
          <w:p w14:paraId="38F0199C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Pre/post-deployment bias testing; fairness thresholds</w:t>
            </w:r>
          </w:p>
        </w:tc>
        <w:tc>
          <w:tcPr>
            <w:tcW w:w="1800" w:type="dxa"/>
          </w:tcPr>
          <w:p w14:paraId="6E133A74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Model Risk &amp; Compliance</w:t>
            </w:r>
          </w:p>
        </w:tc>
      </w:tr>
      <w:tr w:rsidR="002C0CB8" w:rsidRPr="002C0CB8" w14:paraId="0683EB22" w14:textId="77777777" w:rsidTr="002C0CB8">
        <w:tc>
          <w:tcPr>
            <w:tcW w:w="1500" w:type="dxa"/>
          </w:tcPr>
          <w:p w14:paraId="5B247687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Vendor Dependency</w:t>
            </w:r>
          </w:p>
        </w:tc>
        <w:tc>
          <w:tcPr>
            <w:tcW w:w="2200" w:type="dxa"/>
          </w:tcPr>
          <w:p w14:paraId="20E3F821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Reliance on third-party scorecard/bureau data with limited visibility into methodology changes</w:t>
            </w:r>
          </w:p>
        </w:tc>
        <w:tc>
          <w:tcPr>
            <w:tcW w:w="1100" w:type="dxa"/>
          </w:tcPr>
          <w:p w14:paraId="64B2D0B8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Medium</w:t>
            </w:r>
          </w:p>
        </w:tc>
        <w:tc>
          <w:tcPr>
            <w:tcW w:w="1100" w:type="dxa"/>
          </w:tcPr>
          <w:p w14:paraId="3AFE0EAB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High</w:t>
            </w:r>
          </w:p>
        </w:tc>
        <w:tc>
          <w:tcPr>
            <w:tcW w:w="1200" w:type="dxa"/>
          </w:tcPr>
          <w:p w14:paraId="3F857835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High</w:t>
            </w:r>
          </w:p>
        </w:tc>
        <w:tc>
          <w:tcPr>
            <w:tcW w:w="2000" w:type="dxa"/>
          </w:tcPr>
          <w:p w14:paraId="7E616B08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Vendor due diligence, SLAs, audit rights</w:t>
            </w:r>
          </w:p>
        </w:tc>
        <w:tc>
          <w:tcPr>
            <w:tcW w:w="1800" w:type="dxa"/>
          </w:tcPr>
          <w:p w14:paraId="7A5413AE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Third-Party Risk / Procurement</w:t>
            </w:r>
          </w:p>
        </w:tc>
      </w:tr>
      <w:tr w:rsidR="002C0CB8" w:rsidRPr="002C0CB8" w14:paraId="28373F42" w14:textId="77777777" w:rsidTr="002C0CB8">
        <w:tc>
          <w:tcPr>
            <w:tcW w:w="1500" w:type="dxa"/>
          </w:tcPr>
          <w:p w14:paraId="0DE020A4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Lack of Explainability</w:t>
            </w:r>
          </w:p>
        </w:tc>
        <w:tc>
          <w:tcPr>
            <w:tcW w:w="2200" w:type="dxa"/>
          </w:tcPr>
          <w:p w14:paraId="6A50EA46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Complex model cannot produce adequate adverse action reasons for declined applicants</w:t>
            </w:r>
          </w:p>
        </w:tc>
        <w:tc>
          <w:tcPr>
            <w:tcW w:w="1100" w:type="dxa"/>
          </w:tcPr>
          <w:p w14:paraId="3D387032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Medium</w:t>
            </w:r>
          </w:p>
        </w:tc>
        <w:tc>
          <w:tcPr>
            <w:tcW w:w="1100" w:type="dxa"/>
          </w:tcPr>
          <w:p w14:paraId="3935162A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Medium</w:t>
            </w:r>
          </w:p>
        </w:tc>
        <w:tc>
          <w:tcPr>
            <w:tcW w:w="1200" w:type="dxa"/>
          </w:tcPr>
          <w:p w14:paraId="44A02798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Medium</w:t>
            </w:r>
          </w:p>
        </w:tc>
        <w:tc>
          <w:tcPr>
            <w:tcW w:w="2000" w:type="dxa"/>
          </w:tcPr>
          <w:p w14:paraId="4F1BBFFE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SHAP-based reason codes; explainability review</w:t>
            </w:r>
          </w:p>
        </w:tc>
        <w:tc>
          <w:tcPr>
            <w:tcW w:w="1800" w:type="dxa"/>
          </w:tcPr>
          <w:p w14:paraId="76A161F1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Model Development</w:t>
            </w:r>
          </w:p>
        </w:tc>
      </w:tr>
      <w:tr w:rsidR="002C0CB8" w:rsidRPr="002C0CB8" w14:paraId="6C593FFF" w14:textId="77777777" w:rsidTr="002C0CB8">
        <w:tc>
          <w:tcPr>
            <w:tcW w:w="1500" w:type="dxa"/>
          </w:tcPr>
          <w:p w14:paraId="6A827F3F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Inadequate Human Oversight</w:t>
            </w:r>
          </w:p>
        </w:tc>
        <w:tc>
          <w:tcPr>
            <w:tcW w:w="2200" w:type="dxa"/>
          </w:tcPr>
          <w:p w14:paraId="2B587D8A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Automated decisions lack meaningful human review for edge cases or declines</w:t>
            </w:r>
          </w:p>
        </w:tc>
        <w:tc>
          <w:tcPr>
            <w:tcW w:w="1100" w:type="dxa"/>
          </w:tcPr>
          <w:p w14:paraId="7CD4CEF3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Medium</w:t>
            </w:r>
          </w:p>
        </w:tc>
        <w:tc>
          <w:tcPr>
            <w:tcW w:w="1100" w:type="dxa"/>
          </w:tcPr>
          <w:p w14:paraId="0B144CD9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High</w:t>
            </w:r>
          </w:p>
        </w:tc>
        <w:tc>
          <w:tcPr>
            <w:tcW w:w="1200" w:type="dxa"/>
          </w:tcPr>
          <w:p w14:paraId="24D4CB05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High</w:t>
            </w:r>
          </w:p>
        </w:tc>
        <w:tc>
          <w:tcPr>
            <w:tcW w:w="2000" w:type="dxa"/>
          </w:tcPr>
          <w:p w14:paraId="127D3C69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Defined override/referral protocol; escalation path</w:t>
            </w:r>
          </w:p>
        </w:tc>
        <w:tc>
          <w:tcPr>
            <w:tcW w:w="1800" w:type="dxa"/>
          </w:tcPr>
          <w:p w14:paraId="69834775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Business / 1LOD</w:t>
            </w:r>
          </w:p>
        </w:tc>
      </w:tr>
      <w:tr w:rsidR="002C0CB8" w:rsidRPr="002C0CB8" w14:paraId="696ACC94" w14:textId="77777777" w:rsidTr="002C0CB8">
        <w:tc>
          <w:tcPr>
            <w:tcW w:w="1500" w:type="dxa"/>
          </w:tcPr>
          <w:p w14:paraId="36F91A70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Data Quality Gaps</w:t>
            </w:r>
          </w:p>
        </w:tc>
        <w:tc>
          <w:tcPr>
            <w:tcW w:w="2200" w:type="dxa"/>
          </w:tcPr>
          <w:p w14:paraId="0D781DD2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Incomplete or inconsistent lineage from source systems introduces silent data errors</w:t>
            </w:r>
          </w:p>
        </w:tc>
        <w:tc>
          <w:tcPr>
            <w:tcW w:w="1100" w:type="dxa"/>
          </w:tcPr>
          <w:p w14:paraId="541CC0AD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Medium</w:t>
            </w:r>
          </w:p>
        </w:tc>
        <w:tc>
          <w:tcPr>
            <w:tcW w:w="1100" w:type="dxa"/>
          </w:tcPr>
          <w:p w14:paraId="6E18A04F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Medium</w:t>
            </w:r>
          </w:p>
        </w:tc>
        <w:tc>
          <w:tcPr>
            <w:tcW w:w="1200" w:type="dxa"/>
          </w:tcPr>
          <w:p w14:paraId="41CAF361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Medium</w:t>
            </w:r>
          </w:p>
        </w:tc>
        <w:tc>
          <w:tcPr>
            <w:tcW w:w="2000" w:type="dxa"/>
          </w:tcPr>
          <w:p w14:paraId="21E7B3AC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Data lineage documentation; quality checks</w:t>
            </w:r>
          </w:p>
        </w:tc>
        <w:tc>
          <w:tcPr>
            <w:tcW w:w="1800" w:type="dxa"/>
          </w:tcPr>
          <w:p w14:paraId="50E48262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Data Governance</w:t>
            </w:r>
          </w:p>
        </w:tc>
      </w:tr>
      <w:tr w:rsidR="002C0CB8" w:rsidRPr="002C0CB8" w14:paraId="054178EE" w14:textId="77777777" w:rsidTr="002C0CB8">
        <w:tc>
          <w:tcPr>
            <w:tcW w:w="1500" w:type="dxa"/>
          </w:tcPr>
          <w:p w14:paraId="413747F2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Regulatory Non-Compliance</w:t>
            </w:r>
          </w:p>
        </w:tc>
        <w:tc>
          <w:tcPr>
            <w:tcW w:w="2200" w:type="dxa"/>
          </w:tcPr>
          <w:p w14:paraId="00CFE443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Model or process falls short of fair-lending, AI-specific or data-protection regulation</w:t>
            </w:r>
          </w:p>
        </w:tc>
        <w:tc>
          <w:tcPr>
            <w:tcW w:w="1100" w:type="dxa"/>
          </w:tcPr>
          <w:p w14:paraId="42748D8B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Low</w:t>
            </w:r>
          </w:p>
        </w:tc>
        <w:tc>
          <w:tcPr>
            <w:tcW w:w="1100" w:type="dxa"/>
          </w:tcPr>
          <w:p w14:paraId="0C66F7F9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High</w:t>
            </w:r>
          </w:p>
        </w:tc>
        <w:tc>
          <w:tcPr>
            <w:tcW w:w="1200" w:type="dxa"/>
          </w:tcPr>
          <w:p w14:paraId="6543CEAA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Medium</w:t>
            </w:r>
          </w:p>
        </w:tc>
        <w:tc>
          <w:tcPr>
            <w:tcW w:w="2000" w:type="dxa"/>
          </w:tcPr>
          <w:p w14:paraId="755C4D56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Regulatory mapping; compliance sign-off</w:t>
            </w:r>
          </w:p>
        </w:tc>
        <w:tc>
          <w:tcPr>
            <w:tcW w:w="1800" w:type="dxa"/>
          </w:tcPr>
          <w:p w14:paraId="710FC690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Compliance</w:t>
            </w:r>
          </w:p>
        </w:tc>
      </w:tr>
      <w:tr w:rsidR="002C0CB8" w:rsidRPr="002C0CB8" w14:paraId="69246A21" w14:textId="77777777" w:rsidTr="002C0CB8">
        <w:tc>
          <w:tcPr>
            <w:tcW w:w="1500" w:type="dxa"/>
          </w:tcPr>
          <w:p w14:paraId="3BC8E441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Documentation Gaps</w:t>
            </w:r>
          </w:p>
        </w:tc>
        <w:tc>
          <w:tcPr>
            <w:tcW w:w="2200" w:type="dxa"/>
          </w:tcPr>
          <w:p w14:paraId="24E96862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Insufficient model documentation impedes validation, audit, or regulatory examination</w:t>
            </w:r>
          </w:p>
        </w:tc>
        <w:tc>
          <w:tcPr>
            <w:tcW w:w="1100" w:type="dxa"/>
          </w:tcPr>
          <w:p w14:paraId="2956381E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Medium</w:t>
            </w:r>
          </w:p>
        </w:tc>
        <w:tc>
          <w:tcPr>
            <w:tcW w:w="1100" w:type="dxa"/>
          </w:tcPr>
          <w:p w14:paraId="6BB3996F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Medium</w:t>
            </w:r>
          </w:p>
        </w:tc>
        <w:tc>
          <w:tcPr>
            <w:tcW w:w="1200" w:type="dxa"/>
          </w:tcPr>
          <w:p w14:paraId="64121C8D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Medium</w:t>
            </w:r>
          </w:p>
        </w:tc>
        <w:tc>
          <w:tcPr>
            <w:tcW w:w="2000" w:type="dxa"/>
          </w:tcPr>
          <w:p w14:paraId="25DE3659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SR 11-7 style documentation standard</w:t>
            </w:r>
          </w:p>
        </w:tc>
        <w:tc>
          <w:tcPr>
            <w:tcW w:w="1800" w:type="dxa"/>
          </w:tcPr>
          <w:p w14:paraId="58D7C81A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Model Development</w:t>
            </w:r>
          </w:p>
        </w:tc>
      </w:tr>
      <w:tr w:rsidR="002C0CB8" w:rsidRPr="002C0CB8" w14:paraId="22434D86" w14:textId="77777777" w:rsidTr="002C0CB8">
        <w:tc>
          <w:tcPr>
            <w:tcW w:w="1500" w:type="dxa"/>
          </w:tcPr>
          <w:p w14:paraId="35086847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Concept Drift (Macro Shift)</w:t>
            </w:r>
          </w:p>
        </w:tc>
        <w:tc>
          <w:tcPr>
            <w:tcW w:w="2200" w:type="dxa"/>
          </w:tcPr>
          <w:p w14:paraId="1E95420A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Economic conditions change the relationship between features and default risk</w:t>
            </w:r>
          </w:p>
        </w:tc>
        <w:tc>
          <w:tcPr>
            <w:tcW w:w="1100" w:type="dxa"/>
          </w:tcPr>
          <w:p w14:paraId="5F132FBB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Medium</w:t>
            </w:r>
          </w:p>
        </w:tc>
        <w:tc>
          <w:tcPr>
            <w:tcW w:w="1100" w:type="dxa"/>
          </w:tcPr>
          <w:p w14:paraId="7E1AF850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High</w:t>
            </w:r>
          </w:p>
        </w:tc>
        <w:tc>
          <w:tcPr>
            <w:tcW w:w="1200" w:type="dxa"/>
          </w:tcPr>
          <w:p w14:paraId="6BB51E07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High</w:t>
            </w:r>
          </w:p>
        </w:tc>
        <w:tc>
          <w:tcPr>
            <w:tcW w:w="2000" w:type="dxa"/>
          </w:tcPr>
          <w:p w14:paraId="1E4DF43F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Champion-challenger monitoring; periodic retraining triggers</w:t>
            </w:r>
          </w:p>
        </w:tc>
        <w:tc>
          <w:tcPr>
            <w:tcW w:w="1800" w:type="dxa"/>
          </w:tcPr>
          <w:p w14:paraId="2F9FD88C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Model Risk</w:t>
            </w:r>
          </w:p>
        </w:tc>
      </w:tr>
      <w:tr w:rsidR="002C0CB8" w:rsidRPr="002C0CB8" w14:paraId="264DE8DA" w14:textId="77777777" w:rsidTr="002C0CB8">
        <w:tc>
          <w:tcPr>
            <w:tcW w:w="1500" w:type="dxa"/>
          </w:tcPr>
          <w:p w14:paraId="0B01DF48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Reputational Risk</w:t>
            </w:r>
          </w:p>
        </w:tc>
        <w:tc>
          <w:tcPr>
            <w:tcW w:w="2200" w:type="dxa"/>
          </w:tcPr>
          <w:p w14:paraId="61DF7936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Public or regulatory scrutiny following a fairness or transparency failure</w:t>
            </w:r>
          </w:p>
        </w:tc>
        <w:tc>
          <w:tcPr>
            <w:tcW w:w="1100" w:type="dxa"/>
          </w:tcPr>
          <w:p w14:paraId="553A0553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Low</w:t>
            </w:r>
          </w:p>
        </w:tc>
        <w:tc>
          <w:tcPr>
            <w:tcW w:w="1100" w:type="dxa"/>
          </w:tcPr>
          <w:p w14:paraId="2DEB32E5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High</w:t>
            </w:r>
          </w:p>
        </w:tc>
        <w:tc>
          <w:tcPr>
            <w:tcW w:w="1200" w:type="dxa"/>
          </w:tcPr>
          <w:p w14:paraId="330C4AB1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Medium</w:t>
            </w:r>
          </w:p>
        </w:tc>
        <w:tc>
          <w:tcPr>
            <w:tcW w:w="2000" w:type="dxa"/>
          </w:tcPr>
          <w:p w14:paraId="799A376C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Governance committee oversight; complaint feedback loop</w:t>
            </w:r>
          </w:p>
        </w:tc>
        <w:tc>
          <w:tcPr>
            <w:tcW w:w="1800" w:type="dxa"/>
          </w:tcPr>
          <w:p w14:paraId="2C4D233F" w14:textId="77777777" w:rsidR="00875E16" w:rsidRPr="002C0CB8" w:rsidRDefault="00000000">
            <w:pPr>
              <w:rPr>
                <w:rFonts w:ascii="Calibri" w:hAnsi="Calibri" w:cs="Calibri"/>
                <w:color w:val="000000" w:themeColor="text1"/>
              </w:rPr>
            </w:pPr>
            <w:r w:rsidRPr="002C0CB8">
              <w:rPr>
                <w:rFonts w:ascii="Calibri" w:hAnsi="Calibri" w:cs="Calibri"/>
                <w:color w:val="000000" w:themeColor="text1"/>
                <w:sz w:val="19"/>
                <w:szCs w:val="19"/>
              </w:rPr>
              <w:t>Senior Management</w:t>
            </w:r>
          </w:p>
        </w:tc>
      </w:tr>
    </w:tbl>
    <w:p w14:paraId="15EAB92E" w14:textId="77777777" w:rsidR="00875E16" w:rsidRPr="002C0CB8" w:rsidRDefault="00000000">
      <w:pPr>
        <w:pStyle w:val="Heading1"/>
        <w:spacing w:before="400" w:after="150"/>
        <w:rPr>
          <w:rFonts w:ascii="Calibri" w:hAnsi="Calibri" w:cs="Calibri"/>
          <w:color w:val="000000" w:themeColor="text1"/>
        </w:rPr>
      </w:pPr>
      <w:r w:rsidRPr="002C0CB8">
        <w:rPr>
          <w:rFonts w:ascii="Calibri" w:hAnsi="Calibri" w:cs="Calibri"/>
          <w:b/>
          <w:bCs/>
          <w:color w:val="000000" w:themeColor="text1"/>
          <w:sz w:val="30"/>
          <w:szCs w:val="30"/>
        </w:rPr>
        <w:lastRenderedPageBreak/>
        <w:t>6. Recommendations</w:t>
      </w:r>
    </w:p>
    <w:p w14:paraId="68CEE636" w14:textId="77777777" w:rsidR="00875E16" w:rsidRPr="002C0CB8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color w:val="000000" w:themeColor="text1"/>
        </w:rPr>
      </w:pPr>
      <w:r w:rsidRPr="002C0CB8">
        <w:rPr>
          <w:rFonts w:ascii="Calibri" w:hAnsi="Calibri" w:cs="Calibri"/>
          <w:color w:val="000000" w:themeColor="text1"/>
          <w:sz w:val="21"/>
          <w:szCs w:val="21"/>
        </w:rPr>
        <w:t>Establish quarterly model validation and performance review cycles, not just at initial approval.</w:t>
      </w:r>
    </w:p>
    <w:p w14:paraId="646290EA" w14:textId="77777777" w:rsidR="00875E16" w:rsidRPr="002C0CB8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color w:val="000000" w:themeColor="text1"/>
        </w:rPr>
      </w:pPr>
      <w:r w:rsidRPr="002C0CB8">
        <w:rPr>
          <w:rFonts w:ascii="Calibri" w:hAnsi="Calibri" w:cs="Calibri"/>
          <w:color w:val="000000" w:themeColor="text1"/>
          <w:sz w:val="21"/>
          <w:szCs w:val="21"/>
        </w:rPr>
        <w:t>Implement an independent (2LOD) model validation function separate from the model development team.</w:t>
      </w:r>
    </w:p>
    <w:p w14:paraId="345E3F0B" w14:textId="77777777" w:rsidR="00875E16" w:rsidRPr="002C0CB8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color w:val="000000" w:themeColor="text1"/>
        </w:rPr>
      </w:pPr>
      <w:r w:rsidRPr="002C0CB8">
        <w:rPr>
          <w:rFonts w:ascii="Calibri" w:hAnsi="Calibri" w:cs="Calibri"/>
          <w:color w:val="000000" w:themeColor="text1"/>
          <w:sz w:val="21"/>
          <w:szCs w:val="21"/>
        </w:rPr>
        <w:t>Introduce a structured explainability review — SHAP/LIME-based reason codes reviewed for consistency and regulatory adequacy.</w:t>
      </w:r>
    </w:p>
    <w:p w14:paraId="1EA56144" w14:textId="77777777" w:rsidR="00875E16" w:rsidRPr="002C0CB8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color w:val="000000" w:themeColor="text1"/>
        </w:rPr>
      </w:pPr>
      <w:r w:rsidRPr="002C0CB8">
        <w:rPr>
          <w:rFonts w:ascii="Calibri" w:hAnsi="Calibri" w:cs="Calibri"/>
          <w:color w:val="000000" w:themeColor="text1"/>
          <w:sz w:val="21"/>
          <w:szCs w:val="21"/>
        </w:rPr>
        <w:t>Deploy continuous bias monitoring using disparate impact ratio / adverse impact ratio with defined escalation thresholds (e.g., 80% rule).</w:t>
      </w:r>
    </w:p>
    <w:p w14:paraId="49912021" w14:textId="77777777" w:rsidR="00875E16" w:rsidRPr="002C0CB8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color w:val="000000" w:themeColor="text1"/>
        </w:rPr>
      </w:pPr>
      <w:r w:rsidRPr="002C0CB8">
        <w:rPr>
          <w:rFonts w:ascii="Calibri" w:hAnsi="Calibri" w:cs="Calibri"/>
          <w:color w:val="000000" w:themeColor="text1"/>
          <w:sz w:val="21"/>
          <w:szCs w:val="21"/>
        </w:rPr>
        <w:t>Stand up a cross-functional AI Governance Committee (Risk, Compliance, Model Dev, Business) to sign off on deployment and material changes.</w:t>
      </w:r>
    </w:p>
    <w:p w14:paraId="5F8A7531" w14:textId="77777777" w:rsidR="00875E16" w:rsidRPr="002C0CB8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color w:val="000000" w:themeColor="text1"/>
        </w:rPr>
      </w:pPr>
      <w:r w:rsidRPr="002C0CB8">
        <w:rPr>
          <w:rFonts w:ascii="Calibri" w:hAnsi="Calibri" w:cs="Calibri"/>
          <w:color w:val="000000" w:themeColor="text1"/>
          <w:sz w:val="21"/>
          <w:szCs w:val="21"/>
        </w:rPr>
        <w:t>Formalize a champion-challenger framework so a candidate model is monitored against the production model before full replacement.</w:t>
      </w:r>
    </w:p>
    <w:p w14:paraId="5DBEC585" w14:textId="77777777" w:rsidR="00875E16" w:rsidRPr="002C0CB8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color w:val="000000" w:themeColor="text1"/>
        </w:rPr>
      </w:pPr>
      <w:r w:rsidRPr="002C0CB8">
        <w:rPr>
          <w:rFonts w:ascii="Calibri" w:hAnsi="Calibri" w:cs="Calibri"/>
          <w:color w:val="000000" w:themeColor="text1"/>
          <w:sz w:val="21"/>
          <w:szCs w:val="21"/>
        </w:rPr>
        <w:t>Set PSI/CSI-based drift thresholds with automatic alerting and a documented escalation and remediation path.</w:t>
      </w:r>
    </w:p>
    <w:p w14:paraId="7AAC6EA8" w14:textId="77777777" w:rsidR="00875E16" w:rsidRPr="002C0CB8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color w:val="000000" w:themeColor="text1"/>
        </w:rPr>
      </w:pPr>
      <w:r w:rsidRPr="002C0CB8">
        <w:rPr>
          <w:rFonts w:ascii="Calibri" w:hAnsi="Calibri" w:cs="Calibri"/>
          <w:color w:val="000000" w:themeColor="text1"/>
          <w:sz w:val="21"/>
          <w:szCs w:val="21"/>
        </w:rPr>
        <w:t>Define a human override protocol with clear referral criteria and a logged rationale for every override.</w:t>
      </w:r>
    </w:p>
    <w:p w14:paraId="441E2016" w14:textId="77777777" w:rsidR="00875E16" w:rsidRPr="002C0CB8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color w:val="000000" w:themeColor="text1"/>
        </w:rPr>
      </w:pPr>
      <w:r w:rsidRPr="002C0CB8">
        <w:rPr>
          <w:rFonts w:ascii="Calibri" w:hAnsi="Calibri" w:cs="Calibri"/>
          <w:color w:val="000000" w:themeColor="text1"/>
          <w:sz w:val="21"/>
          <w:szCs w:val="21"/>
        </w:rPr>
        <w:t>Tighten third-party/vendor due diligence — contractual audit rights, explainability access, and SLAs on scorecard changes.</w:t>
      </w:r>
    </w:p>
    <w:p w14:paraId="52C1CBF9" w14:textId="77777777" w:rsidR="00875E16" w:rsidRPr="002C0CB8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color w:val="000000" w:themeColor="text1"/>
        </w:rPr>
      </w:pPr>
      <w:r w:rsidRPr="002C0CB8">
        <w:rPr>
          <w:rFonts w:ascii="Calibri" w:hAnsi="Calibri" w:cs="Calibri"/>
          <w:color w:val="000000" w:themeColor="text1"/>
          <w:sz w:val="21"/>
          <w:szCs w:val="21"/>
        </w:rPr>
        <w:t>Build a consumer complaint / adverse-action feedback loop back into monitoring to catch fairness issues not visible in aggregate stats.</w:t>
      </w:r>
    </w:p>
    <w:sectPr w:rsidR="00875E16" w:rsidRPr="002C0CB8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EB3B9B"/>
    <w:multiLevelType w:val="hybridMultilevel"/>
    <w:tmpl w:val="DC9E39FA"/>
    <w:lvl w:ilvl="0" w:tplc="8892F460">
      <w:start w:val="1"/>
      <w:numFmt w:val="bullet"/>
      <w:lvlText w:val="•"/>
      <w:lvlJc w:val="left"/>
      <w:pPr>
        <w:ind w:left="450" w:hanging="260"/>
      </w:pPr>
    </w:lvl>
    <w:lvl w:ilvl="1" w:tplc="87E84030">
      <w:numFmt w:val="decimal"/>
      <w:lvlText w:val=""/>
      <w:lvlJc w:val="left"/>
    </w:lvl>
    <w:lvl w:ilvl="2" w:tplc="CF5EC44C">
      <w:numFmt w:val="decimal"/>
      <w:lvlText w:val=""/>
      <w:lvlJc w:val="left"/>
    </w:lvl>
    <w:lvl w:ilvl="3" w:tplc="323ED156">
      <w:numFmt w:val="decimal"/>
      <w:lvlText w:val=""/>
      <w:lvlJc w:val="left"/>
    </w:lvl>
    <w:lvl w:ilvl="4" w:tplc="8D4C4754">
      <w:numFmt w:val="decimal"/>
      <w:lvlText w:val=""/>
      <w:lvlJc w:val="left"/>
    </w:lvl>
    <w:lvl w:ilvl="5" w:tplc="E5F8D7A0">
      <w:numFmt w:val="decimal"/>
      <w:lvlText w:val=""/>
      <w:lvlJc w:val="left"/>
    </w:lvl>
    <w:lvl w:ilvl="6" w:tplc="C986D036">
      <w:numFmt w:val="decimal"/>
      <w:lvlText w:val=""/>
      <w:lvlJc w:val="left"/>
    </w:lvl>
    <w:lvl w:ilvl="7" w:tplc="536012C2">
      <w:numFmt w:val="decimal"/>
      <w:lvlText w:val=""/>
      <w:lvlJc w:val="left"/>
    </w:lvl>
    <w:lvl w:ilvl="8" w:tplc="036218FA">
      <w:numFmt w:val="decimal"/>
      <w:lvlText w:val=""/>
      <w:lvlJc w:val="left"/>
    </w:lvl>
  </w:abstractNum>
  <w:abstractNum w:abstractNumId="1" w15:restartNumberingAfterBreak="0">
    <w:nsid w:val="7433086E"/>
    <w:multiLevelType w:val="hybridMultilevel"/>
    <w:tmpl w:val="3976D272"/>
    <w:lvl w:ilvl="0" w:tplc="DFECFDEC">
      <w:start w:val="1"/>
      <w:numFmt w:val="bullet"/>
      <w:lvlText w:val="●"/>
      <w:lvlJc w:val="left"/>
      <w:pPr>
        <w:ind w:left="720" w:hanging="360"/>
      </w:pPr>
    </w:lvl>
    <w:lvl w:ilvl="1" w:tplc="FC84055E">
      <w:start w:val="1"/>
      <w:numFmt w:val="bullet"/>
      <w:lvlText w:val="○"/>
      <w:lvlJc w:val="left"/>
      <w:pPr>
        <w:ind w:left="1440" w:hanging="360"/>
      </w:pPr>
    </w:lvl>
    <w:lvl w:ilvl="2" w:tplc="3BC2F63A">
      <w:start w:val="1"/>
      <w:numFmt w:val="bullet"/>
      <w:lvlText w:val="■"/>
      <w:lvlJc w:val="left"/>
      <w:pPr>
        <w:ind w:left="2160" w:hanging="360"/>
      </w:pPr>
    </w:lvl>
    <w:lvl w:ilvl="3" w:tplc="C6F40D1A">
      <w:start w:val="1"/>
      <w:numFmt w:val="bullet"/>
      <w:lvlText w:val="●"/>
      <w:lvlJc w:val="left"/>
      <w:pPr>
        <w:ind w:left="2880" w:hanging="360"/>
      </w:pPr>
    </w:lvl>
    <w:lvl w:ilvl="4" w:tplc="E8F21A00">
      <w:start w:val="1"/>
      <w:numFmt w:val="bullet"/>
      <w:lvlText w:val="○"/>
      <w:lvlJc w:val="left"/>
      <w:pPr>
        <w:ind w:left="3600" w:hanging="360"/>
      </w:pPr>
    </w:lvl>
    <w:lvl w:ilvl="5" w:tplc="DCA2B75C">
      <w:start w:val="1"/>
      <w:numFmt w:val="bullet"/>
      <w:lvlText w:val="■"/>
      <w:lvlJc w:val="left"/>
      <w:pPr>
        <w:ind w:left="4320" w:hanging="360"/>
      </w:pPr>
    </w:lvl>
    <w:lvl w:ilvl="6" w:tplc="EE16821E">
      <w:start w:val="1"/>
      <w:numFmt w:val="bullet"/>
      <w:lvlText w:val="●"/>
      <w:lvlJc w:val="left"/>
      <w:pPr>
        <w:ind w:left="5040" w:hanging="360"/>
      </w:pPr>
    </w:lvl>
    <w:lvl w:ilvl="7" w:tplc="1BE481F6">
      <w:start w:val="1"/>
      <w:numFmt w:val="bullet"/>
      <w:lvlText w:val="●"/>
      <w:lvlJc w:val="left"/>
      <w:pPr>
        <w:ind w:left="5760" w:hanging="360"/>
      </w:pPr>
    </w:lvl>
    <w:lvl w:ilvl="8" w:tplc="260CFD14">
      <w:start w:val="1"/>
      <w:numFmt w:val="bullet"/>
      <w:lvlText w:val="●"/>
      <w:lvlJc w:val="left"/>
      <w:pPr>
        <w:ind w:left="6480" w:hanging="360"/>
      </w:pPr>
    </w:lvl>
  </w:abstractNum>
  <w:num w:numId="1" w16cid:durableId="1690908295">
    <w:abstractNumId w:val="1"/>
    <w:lvlOverride w:ilvl="0">
      <w:startOverride w:val="1"/>
    </w:lvlOverride>
  </w:num>
  <w:num w:numId="2" w16cid:durableId="19417159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E16"/>
    <w:rsid w:val="002C0CB8"/>
    <w:rsid w:val="002D4F24"/>
    <w:rsid w:val="003F16D9"/>
    <w:rsid w:val="0087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93F5C"/>
  <w15:docId w15:val="{A0ACBD59-7519-4C55-B406-7892E0316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1Light">
    <w:name w:val="Grid Table 1 Light"/>
    <w:basedOn w:val="TableNormal"/>
    <w:uiPriority w:val="46"/>
    <w:rsid w:val="002C0CB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1288</Words>
  <Characters>7342</Characters>
  <Application>Microsoft Office Word</Application>
  <DocSecurity>0</DocSecurity>
  <Lines>61</Lines>
  <Paragraphs>17</Paragraphs>
  <ScaleCrop>false</ScaleCrop>
  <Company/>
  <LinksUpToDate>false</LinksUpToDate>
  <CharactersWithSpaces>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Antara Basak</cp:lastModifiedBy>
  <cp:revision>2</cp:revision>
  <dcterms:created xsi:type="dcterms:W3CDTF">2026-08-16T08:25:00Z</dcterms:created>
  <dcterms:modified xsi:type="dcterms:W3CDTF">2026-08-16T08:25:00Z</dcterms:modified>
</cp:coreProperties>
</file>