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Cumplimiento laboral y SST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Controles legales y de seguridad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Controla el cumplimiento de obligaciones legales y de </w:t>
      </w:r>
      <w:r>
        <w:rPr>
          <w:rFonts w:ascii="Calibri" w:hAnsi="Calibri"/>
          <w:b/>
          <w:sz w:val="22"/>
        </w:rPr>
        <w:t>Seguridad y Salud en el Trabajo (SST)</w:t>
      </w:r>
      <w:r>
        <w:rPr>
          <w:rFonts w:ascii="Calibri" w:hAnsi="Calibri"/>
          <w:i w:val="0"/>
          <w:sz w:val="22"/>
        </w:rPr>
        <w:t>: capacitaciones, exámenes médicos ocupacionales, vencimientos de licencias y otros controles documentales exigidos por la normativa laboral colombiana.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de RRHH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Recursos humanos → Cumplimiento laboral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-s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Listado de controles SST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controles registrados, contratos por vencer, seguridad social incompleta y licencias próximas a vencer.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Panel de alertas</w:t>
      </w:r>
      <w:r>
        <w:rPr>
          <w:rFonts w:ascii="Calibri" w:hAnsi="Calibri"/>
          <w:i w:val="0"/>
          <w:sz w:val="22"/>
        </w:rPr>
        <w:t>: cuatro tarjetas con el detalle de cada tipo de alerta (contratos por vencer a 30 días, seguridad social incompleta, licencias por vencer, registros documentales totales).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Tabla de auditoría documental</w:t>
      </w:r>
      <w:r>
        <w:rPr>
          <w:rFonts w:ascii="Calibri" w:hAnsi="Calibri"/>
          <w:i w:val="0"/>
          <w:sz w:val="22"/>
        </w:rPr>
        <w:t xml:space="preserve">: control, empleado, entidad (ARL, EPS, IPS, etc.), fecha de vencimiento, estado (Próximo, Vencido, Al día) y notas. Acciones: </w:t>
      </w:r>
      <w:r>
        <w:rPr>
          <w:rFonts w:ascii="Calibri" w:hAnsi="Calibri"/>
          <w:b/>
          <w:sz w:val="22"/>
        </w:rPr>
        <w:t>Ver, Editar, Eliminar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3. Paso a paso: registrar un nuevo control SST o legal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Abrir formulario</w:t>
      </w:r>
      <w:r>
        <w:rPr>
          <w:rFonts w:ascii="Calibri" w:hAnsi="Calibri"/>
          <w:i w:val="0"/>
          <w:sz w:val="22"/>
        </w:rPr>
        <w:t xml:space="preserve"> en la tarjeta </w:t>
      </w:r>
      <w:r>
        <w:rPr>
          <w:rFonts w:ascii="Calibri" w:hAnsi="Calibri"/>
          <w:b/>
          <w:sz w:val="22"/>
        </w:rPr>
        <w:t>Nuevo control SST / legal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uevo-regis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Nuevo control SST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Seleccione el </w:t>
      </w:r>
      <w:r>
        <w:rPr>
          <w:rFonts w:ascii="Calibri" w:hAnsi="Calibri"/>
          <w:b/>
          <w:sz w:val="22"/>
        </w:rPr>
        <w:t>empleado</w:t>
      </w:r>
      <w:r>
        <w:rPr>
          <w:rFonts w:ascii="Calibri" w:hAnsi="Calibri"/>
          <w:i w:val="0"/>
          <w:sz w:val="22"/>
        </w:rPr>
        <w:t xml:space="preserve"> y el </w:t>
      </w:r>
      <w:r>
        <w:rPr>
          <w:rFonts w:ascii="Calibri" w:hAnsi="Calibri"/>
          <w:b/>
          <w:sz w:val="22"/>
        </w:rPr>
        <w:t>tipo de control</w:t>
      </w:r>
      <w:r>
        <w:rPr>
          <w:rFonts w:ascii="Calibri" w:hAnsi="Calibri"/>
          <w:i w:val="0"/>
          <w:sz w:val="22"/>
        </w:rPr>
        <w:t xml:space="preserve"> (por ejemplo, capacitación SST, examen médico ocupacional, licencia).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Indique la </w:t>
      </w:r>
      <w:r>
        <w:rPr>
          <w:rFonts w:ascii="Calibri" w:hAnsi="Calibri"/>
          <w:b/>
          <w:sz w:val="22"/>
        </w:rPr>
        <w:t>entidad/proveedor</w:t>
      </w:r>
      <w:r>
        <w:rPr>
          <w:rFonts w:ascii="Calibri" w:hAnsi="Calibri"/>
          <w:i w:val="0"/>
          <w:sz w:val="22"/>
        </w:rPr>
        <w:t xml:space="preserve"> responsable (ARL, EPS, IPS u otra), la </w:t>
      </w:r>
      <w:r>
        <w:rPr>
          <w:rFonts w:ascii="Calibri" w:hAnsi="Calibri"/>
          <w:b/>
          <w:sz w:val="22"/>
        </w:rPr>
        <w:t>fecha de vencimiento/control</w:t>
      </w:r>
      <w:r>
        <w:rPr>
          <w:rFonts w:ascii="Calibri" w:hAnsi="Calibri"/>
          <w:i w:val="0"/>
          <w:sz w:val="22"/>
        </w:rPr>
        <w:t xml:space="preserve"> y el </w:t>
      </w:r>
      <w:r>
        <w:rPr>
          <w:rFonts w:ascii="Calibri" w:hAnsi="Calibri"/>
          <w:b/>
          <w:sz w:val="22"/>
        </w:rPr>
        <w:t>estado</w:t>
      </w:r>
      <w:r>
        <w:rPr>
          <w:rFonts w:ascii="Calibri" w:hAnsi="Calibri"/>
          <w:i w:val="0"/>
          <w:sz w:val="22"/>
        </w:rPr>
        <w:t xml:space="preserve"> (Pendiente, Próximo, Vencido, Completado).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Escriba un </w:t>
      </w:r>
      <w:r>
        <w:rPr>
          <w:rFonts w:ascii="Calibri" w:hAnsi="Calibri"/>
          <w:b/>
          <w:sz w:val="22"/>
        </w:rPr>
        <w:t>código documental</w:t>
      </w:r>
      <w:r>
        <w:rPr>
          <w:rFonts w:ascii="Calibri" w:hAnsi="Calibri"/>
          <w:i w:val="0"/>
          <w:sz w:val="22"/>
        </w:rPr>
        <w:t xml:space="preserve"> de referencia y describa la </w:t>
      </w:r>
      <w:r>
        <w:rPr>
          <w:rFonts w:ascii="Calibri" w:hAnsi="Calibri"/>
          <w:b/>
          <w:sz w:val="22"/>
        </w:rPr>
        <w:t>evidencia u observaciones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Registrar control legal/SST</w:t>
      </w:r>
      <w:r>
        <w:rPr>
          <w:rFonts w:ascii="Calibri" w:hAnsi="Calibri"/>
          <w:i w:val="0"/>
          <w:sz w:val="22"/>
        </w:rPr>
        <w:t>. El registro aparece en la tabla de auditoría documental y alimenta las alertas del panel.</w:t>
      </w:r>
    </w:p>
    <w:p>
      <w:pPr>
        <w:pStyle w:val="Heading2"/>
      </w:pPr>
      <w:r>
        <w:rPr>
          <w:rFonts w:ascii="Calibri" w:hAnsi="Calibri"/>
          <w:color w:val="377CC0"/>
        </w:rPr>
        <w:t>4. Editar o eliminar un control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tabla de </w:t>
      </w:r>
      <w:r>
        <w:rPr>
          <w:rFonts w:ascii="Calibri" w:hAnsi="Calibri"/>
          <w:b/>
          <w:sz w:val="22"/>
        </w:rPr>
        <w:t>Auditoría documental</w:t>
      </w:r>
      <w:r>
        <w:rPr>
          <w:rFonts w:ascii="Calibri" w:hAnsi="Calibri"/>
          <w:i w:val="0"/>
          <w:sz w:val="22"/>
        </w:rPr>
        <w:t>, ubique el control.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Editar</w:t>
      </w:r>
      <w:r>
        <w:rPr>
          <w:rFonts w:ascii="Calibri" w:hAnsi="Calibri"/>
          <w:i w:val="0"/>
          <w:sz w:val="22"/>
        </w:rPr>
        <w:t xml:space="preserve"> para actualizar su estado o fecha, o </w:t>
      </w:r>
      <w:r>
        <w:rPr>
          <w:rFonts w:ascii="Calibri" w:hAnsi="Calibri"/>
          <w:b/>
          <w:sz w:val="22"/>
        </w:rPr>
        <w:t>Eliminar</w:t>
      </w:r>
      <w:r>
        <w:rPr>
          <w:rFonts w:ascii="Calibri" w:hAnsi="Calibri"/>
          <w:i w:val="0"/>
          <w:sz w:val="22"/>
        </w:rPr>
        <w:t xml:space="preserve"> para retirarlo (requiere confirmación).</w:t>
      </w:r>
    </w:p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significa el estado «Próximo»?</w:t>
      </w:r>
      <w:r>
        <w:rPr>
          <w:rFonts w:ascii="Calibri" w:hAnsi="Calibri"/>
          <w:i w:val="0"/>
          <w:sz w:val="22"/>
        </w:rPr>
        <w:t xml:space="preserve"> El control vence dentro de los próximos 30 días; conviene gestionarlo antes de que pase a «Vencido».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¿Este módulo reemplaza la afiliación a EPS/ARL de un colaborador?</w:t>
      </w:r>
      <w:r>
        <w:rPr>
          <w:rFonts w:ascii="Calibri" w:hAnsi="Calibri"/>
          <w:i w:val="0"/>
          <w:sz w:val="22"/>
        </w:rPr>
        <w:t xml:space="preserve"> No; la afiliación básica (EPS, fondo de pensión, ARL) se registra en la ficha del colaborador en </w:t>
      </w:r>
      <w:r>
        <w:rPr>
          <w:rFonts w:ascii="Calibri" w:hAnsi="Calibri"/>
          <w:color w:val="377CC0"/>
          <w:sz w:val="22"/>
        </w:rPr>
        <w:t>Gestión humana</w:t>
      </w:r>
      <w:r>
        <w:rPr>
          <w:rFonts w:ascii="Calibri" w:hAnsi="Calibri"/>
          <w:i w:val="0"/>
          <w:sz w:val="22"/>
        </w:rPr>
        <w:t>. Este módulo controla capacitaciones, exámenes y otros documentos de cumplimiento SST.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¿Quién debe revisar las alertas de este módulo?</w:t>
      </w:r>
      <w:r>
        <w:rPr>
          <w:rFonts w:ascii="Calibri" w:hAnsi="Calibri"/>
          <w:i w:val="0"/>
          <w:sz w:val="22"/>
        </w:rPr>
        <w:t xml:space="preserve"> Principalmente RRHH, aunque un administrador también puede consultarlas para auditoría general.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Contratación · ⬅ Volver al índice · Siguiente: Contacto web (B2B) ➡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Cumplimiento laboral y SST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