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Contacto web (B2B)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Bandeja de prospectos comerciales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Muestra la </w:t>
      </w:r>
      <w:r>
        <w:rPr>
          <w:rFonts w:ascii="Calibri" w:hAnsi="Calibri"/>
          <w:b/>
          <w:sz w:val="22"/>
        </w:rPr>
        <w:t>bandeja de prospectos comerciales</w:t>
      </w:r>
      <w:r>
        <w:rPr>
          <w:rFonts w:ascii="Calibri" w:hAnsi="Calibri"/>
          <w:i w:val="0"/>
          <w:sz w:val="22"/>
        </w:rPr>
        <w:t xml:space="preserve"> que llegan desde el formulario de contacto del sitio web público de Transportes Antares. Es una vista de </w:t>
      </w:r>
      <w:r>
        <w:rPr>
          <w:rFonts w:ascii="Calibri" w:hAnsi="Calibri"/>
          <w:b/>
          <w:sz w:val="22"/>
        </w:rPr>
        <w:t>solo lectura</w:t>
      </w:r>
      <w:r>
        <w:rPr>
          <w:rFonts w:ascii="Calibri" w:hAnsi="Calibri"/>
          <w:i w:val="0"/>
          <w:sz w:val="22"/>
        </w:rPr>
        <w:t xml:space="preserve"> pensada para que el equipo comercial priorice y contacte a cada prospecto por correo o teléfono.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comercial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General → Contacto B2B</w:t>
      </w:r>
      <w:r>
        <w:rPr>
          <w:rFonts w:ascii="Calibri" w:hAnsi="Calibri"/>
          <w:i w:val="0"/>
          <w:sz w:val="22"/>
        </w:rPr>
        <w:t xml:space="preserve"> (visible según permisos).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ndeja-prospe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Bandeja de prospectos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número de prospectos recibidos, el flujo del pipeline («Web → Equipo») y el estado de la conexión con el sitio web (Activo / Sin conexión).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Bandeja comercial</w:t>
      </w:r>
      <w:r>
        <w:rPr>
          <w:rFonts w:ascii="Calibri" w:hAnsi="Calibri"/>
          <w:i w:val="0"/>
          <w:sz w:val="22"/>
        </w:rPr>
        <w:t>: mosaico de tarjetas, una por cada solicitud de contacto recibida, ordenadas de la más reciente a la más antigua.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 w:val="clear"/>
          </w:tcPr>
          <w:p>
            <w:r>
              <w:rPr>
                <w:rFonts w:ascii="Calibri" w:hAnsi="Calibri"/>
                <w:i w:val="0"/>
                <w:sz w:val="22"/>
              </w:rPr>
              <w:t xml:space="preserve">Este módulo depende de una conexión activa con el servicio que recibe los formularios del sitio web. Si ve el mensaje </w:t>
            </w:r>
            <w:r>
              <w:rPr>
                <w:rFonts w:ascii="Calibri" w:hAnsi="Calibri"/>
                <w:b/>
                <w:sz w:val="22"/>
              </w:rPr>
              <w:t>«Sin conexión activa. Reintente en unos segundos o vuelva a iniciar sesión»</w:t>
            </w:r>
            <w:r>
              <w:rPr>
                <w:rFonts w:ascii="Calibri" w:hAnsi="Calibri"/>
                <w:i w:val="0"/>
                <w:sz w:val="22"/>
              </w:rPr>
              <w:t>, significa que el portal no pudo sincronizar los prospectos en ese momento; recargue la página o inténtelo de nuevo más tarde.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3. Qué información trae cada prospecto</w:t>
      </w:r>
    </w:p>
    <w:p>
      <w:pPr>
        <w:spacing w:after="120"/>
      </w:pPr>
      <w:r>
        <w:rPr>
          <w:rFonts w:ascii="Calibri" w:hAnsi="Calibri"/>
          <w:i w:val="0"/>
          <w:sz w:val="22"/>
        </w:rPr>
        <w:t>Cada tarjeta de la bandeja incluye: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Nombre y empresa del contacto.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Tipo de servicio y tipo de operación de interés (chips en la parte superior).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Correo electrónico y teléfono (con enlaces directos </w:t>
      </w:r>
      <w:r>
        <w:rPr>
          <w:rFonts w:ascii="Consolas" w:hAnsi="Consolas"/>
          <w:sz w:val="20"/>
        </w:rPr>
        <w:t>mailto: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onsolas" w:hAnsi="Consolas"/>
          <w:sz w:val="20"/>
        </w:rPr>
        <w:t>tel:</w:t>
      </w:r>
      <w:r>
        <w:rPr>
          <w:rFonts w:ascii="Calibri" w:hAnsi="Calibri"/>
          <w:i w:val="0"/>
          <w:sz w:val="22"/>
        </w:rPr>
        <w:t xml:space="preserve"> para contactar en un clic).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Cargo del contacto, NIT de la empresa, frecuencia de envíos esperada e inicio esperado del servicio.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El </w:t>
      </w:r>
      <w:r>
        <w:rPr>
          <w:rFonts w:ascii="Calibri" w:hAnsi="Calibri"/>
          <w:b/>
          <w:sz w:val="22"/>
        </w:rPr>
        <w:t>brief</w:t>
      </w:r>
      <w:r>
        <w:rPr>
          <w:rFonts w:ascii="Calibri" w:hAnsi="Calibri"/>
          <w:i w:val="0"/>
          <w:sz w:val="22"/>
        </w:rPr>
        <w:t xml:space="preserve"> o mensaje libre que el prospecto escribió en el formulario del sitio web.</w:t>
      </w:r>
    </w:p>
    <w:p>
      <w:pPr>
        <w:pStyle w:val="Heading2"/>
      </w:pPr>
      <w:r>
        <w:rPr>
          <w:rFonts w:ascii="Calibri" w:hAnsi="Calibri"/>
          <w:color w:val="377CC0"/>
        </w:rPr>
        <w:t>4. Paso a paso: gestionar un prospecto nuevo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Ingrese a </w:t>
      </w:r>
      <w:r>
        <w:rPr>
          <w:rFonts w:ascii="Calibri" w:hAnsi="Calibri"/>
          <w:b/>
          <w:sz w:val="22"/>
        </w:rPr>
        <w:t>Contacto B2B</w:t>
      </w:r>
      <w:r>
        <w:rPr>
          <w:rFonts w:ascii="Calibri" w:hAnsi="Calibri"/>
          <w:i w:val="0"/>
          <w:sz w:val="22"/>
        </w:rPr>
        <w:t xml:space="preserve"> y revise la bandeja, priorizando por fecha (los más recientes aparecen primero).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Lea el </w:t>
      </w:r>
      <w:r>
        <w:rPr>
          <w:rFonts w:ascii="Calibri" w:hAnsi="Calibri"/>
          <w:b/>
          <w:sz w:val="22"/>
        </w:rPr>
        <w:t>brief de la solicitud</w:t>
      </w:r>
      <w:r>
        <w:rPr>
          <w:rFonts w:ascii="Calibri" w:hAnsi="Calibri"/>
          <w:i w:val="0"/>
          <w:sz w:val="22"/>
        </w:rPr>
        <w:t xml:space="preserve"> para entender la necesidad del prospecto (tipo de carga, frecuencia, fechas).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los enlaces de </w:t>
      </w:r>
      <w:r>
        <w:rPr>
          <w:rFonts w:ascii="Calibri" w:hAnsi="Calibri"/>
          <w:b/>
          <w:sz w:val="22"/>
        </w:rPr>
        <w:t>correo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b/>
          <w:sz w:val="22"/>
        </w:rPr>
        <w:t>teléfono</w:t>
      </w:r>
      <w:r>
        <w:rPr>
          <w:rFonts w:ascii="Calibri" w:hAnsi="Calibri"/>
          <w:i w:val="0"/>
          <w:sz w:val="22"/>
        </w:rPr>
        <w:t xml:space="preserve"> de la tarjeta para iniciar el contacto comercial directamente desde su equipo.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Una vez contactado y calificado, continúe el proceso de vinculación comercial fuera del portal (por ejemplo, creando la empresa cliente y dando de alta su primer usuario desde </w:t>
      </w:r>
      <w:r>
        <w:rPr>
          <w:rFonts w:ascii="Calibri" w:hAnsi="Calibri"/>
          <w:color w:val="377CC0"/>
          <w:sz w:val="22"/>
        </w:rPr>
        <w:t>Usuarios y permisos</w:t>
      </w:r>
      <w:r>
        <w:rPr>
          <w:rFonts w:ascii="Calibri" w:hAnsi="Calibri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responder o marcar un prospecto como atendido desde aquí?</w:t>
      </w:r>
      <w:r>
        <w:rPr>
          <w:rFonts w:ascii="Calibri" w:hAnsi="Calibri"/>
          <w:i w:val="0"/>
          <w:sz w:val="22"/>
        </w:rPr>
        <w:t xml:space="preserve"> No; este módulo es una bandeja de solo lectura. El seguimiento comercial se realiza fuera del portal (correo, CRM, llamada).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no veo ningún prospecto?</w:t>
      </w:r>
      <w:r>
        <w:rPr>
          <w:rFonts w:ascii="Calibri" w:hAnsi="Calibri"/>
          <w:i w:val="0"/>
          <w:sz w:val="22"/>
        </w:rPr>
        <w:t xml:space="preserve"> Puede ser que aún no se haya recibido ninguna solicitud desde el sitio web, o que la sincronización con el servicio esté temporalmente caída (mensaje «Sin conexión»).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¿Quién puede ver este módulo?</w:t>
      </w:r>
      <w:r>
        <w:rPr>
          <w:rFonts w:ascii="Calibri" w:hAnsi="Calibri"/>
          <w:i w:val="0"/>
          <w:sz w:val="22"/>
        </w:rPr>
        <w:t xml:space="preserve"> Solo los usuarios con el permiso «Ver contactos B2B» asignado desde </w:t>
      </w:r>
      <w:r>
        <w:rPr>
          <w:rFonts w:ascii="Calibri" w:hAnsi="Calibri"/>
          <w:color w:val="377CC0"/>
          <w:sz w:val="22"/>
        </w:rPr>
        <w:t>Usuarios y permisos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Cumplimiento laboral y SST · ⬅ Volver al índice · Siguiente: Usuarios y permisos ➡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Contacto web (B2B)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