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10467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recort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04675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377CC0" w:val="clear"/>
          </w:tcPr>
          <w:p>
            <w:r/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40"/>
              </w:rPr>
              <w:t>TRANSPORTES ANTARES S.A.S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E8F4FC"/>
                <w:sz w:val="28"/>
              </w:rPr>
              <w:t>Manual de usuario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CCE5F8"/>
                <w:sz w:val="26"/>
              </w:rPr>
              <w:t>Centro de aprobaciones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CCE5F8"/>
                <w:sz w:val="22"/>
              </w:rPr>
              <w:t>Bandejas de autorización centralizadas</w:t>
            </w:r>
          </w:p>
        </w:tc>
      </w:tr>
    </w:tbl>
    <w:p/>
    <w:p>
      <w:pPr>
        <w:jc w:val="center"/>
      </w:pPr>
      <w:r>
        <w:rPr>
          <w:rFonts w:ascii="Calibri" w:hAnsi="Calibri"/>
          <w:i/>
          <w:color w:val="3A5A78"/>
          <w:sz w:val="20"/>
        </w:rPr>
        <w:t>Versión 1.0  ·  1 de julio de 2026  ·  Uso interno y capacitación</w:t>
      </w:r>
    </w:p>
    <w:p>
      <w:r>
        <w:br w:type="page"/>
      </w:r>
    </w:p>
    <w:p>
      <w:pPr>
        <w:spacing w:before="240"/>
      </w:pPr>
      <w:r>
        <w:rPr>
          <w:rFonts w:ascii="Calibri" w:hAnsi="Calibri"/>
          <w:i w:val="0"/>
          <w:color w:val="3A5A78"/>
          <w:sz w:val="20"/>
        </w:rPr>
        <w:t>⬅ Volver al índice</w:t>
      </w:r>
    </w:p>
    <w:p>
      <w:pPr>
        <w:pStyle w:val="Heading2"/>
      </w:pPr>
      <w:r>
        <w:rPr>
          <w:rFonts w:ascii="Calibri" w:hAnsi="Calibri"/>
          <w:color w:val="377CC0"/>
        </w:rPr>
        <w:t>1. Objetivo del módulo</w:t>
      </w:r>
    </w:p>
    <w:p>
      <w:pPr>
        <w:spacing w:after="120"/>
      </w:pPr>
      <w:r>
        <w:rPr>
          <w:rFonts w:ascii="Calibri" w:hAnsi="Calibri"/>
          <w:i w:val="0"/>
          <w:sz w:val="22"/>
        </w:rPr>
        <w:t xml:space="preserve">Centraliza </w:t>
      </w:r>
      <w:r>
        <w:rPr>
          <w:rFonts w:ascii="Calibri" w:hAnsi="Calibri"/>
          <w:b/>
          <w:sz w:val="22"/>
        </w:rPr>
        <w:t>todas las bandejas de aprobación</w:t>
      </w:r>
      <w:r>
        <w:rPr>
          <w:rFonts w:ascii="Calibri" w:hAnsi="Calibri"/>
          <w:i w:val="0"/>
          <w:sz w:val="22"/>
        </w:rPr>
        <w:t xml:space="preserve"> del portal en un solo lugar: altas de cuentas del sitio web, solicitudes de transporte pendientes, altas de usuarios/conductores/empleados creadas por roles sin permiso directo, ausencias, y marcas de liquidaciones, entre otras.</w:t>
      </w:r>
    </w:p>
    <w:p>
      <w:pPr>
        <w:spacing w:after="120"/>
      </w:pPr>
      <w:r>
        <w:rPr>
          <w:rFonts w:ascii="Calibri" w:hAnsi="Calibri"/>
          <w:b/>
          <w:sz w:val="22"/>
        </w:rPr>
        <w:t>A quién va dirigido:</w:t>
      </w:r>
      <w:r>
        <w:rPr>
          <w:rFonts w:ascii="Calibri" w:hAnsi="Calibri"/>
          <w:i w:val="0"/>
          <w:sz w:val="22"/>
        </w:rPr>
        <w:t xml:space="preserve"> administradores y roles con permiso de aprobación asignado.</w:t>
      </w:r>
    </w:p>
    <w:p>
      <w:pPr>
        <w:spacing w:after="120"/>
      </w:pPr>
      <w:r>
        <w:rPr>
          <w:rFonts w:ascii="Calibri" w:hAnsi="Calibri"/>
          <w:b/>
          <w:sz w:val="22"/>
        </w:rPr>
        <w:t>Acceso:</w:t>
      </w:r>
      <w:r>
        <w:rPr>
          <w:rFonts w:ascii="Calibri" w:hAnsi="Calibri"/>
          <w:i w:val="0"/>
          <w:sz w:val="22"/>
        </w:rPr>
        <w:t xml:space="preserve"> menú lateral → </w:t>
      </w:r>
      <w:r>
        <w:rPr>
          <w:rFonts w:ascii="Calibri" w:hAnsi="Calibri"/>
          <w:b/>
          <w:sz w:val="22"/>
        </w:rPr>
        <w:t>Sistema → Autorizaciones</w:t>
      </w:r>
      <w:r>
        <w:rPr>
          <w:rFonts w:ascii="Calibri" w:hAnsi="Calibri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color w:val="377CC0"/>
        </w:rPr>
        <w:t>2. Vista general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entro-aprobacion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3A5A78"/>
          <w:sz w:val="18"/>
        </w:rPr>
        <w:t>Centro de aprobaciones</w:t>
      </w:r>
    </w:p>
    <w:p/>
    <w:p>
      <w:pPr>
        <w:pStyle w:val="ListBullet"/>
        <w:spacing w:after="60"/>
      </w:pPr>
      <w:r>
        <w:rPr>
          <w:rFonts w:ascii="Calibri" w:hAnsi="Calibri"/>
          <w:b/>
          <w:sz w:val="22"/>
        </w:rPr>
        <w:t>Tarjetas de resumen</w:t>
      </w:r>
      <w:r>
        <w:rPr>
          <w:rFonts w:ascii="Calibri" w:hAnsi="Calibri"/>
          <w:i w:val="0"/>
          <w:sz w:val="22"/>
        </w:rPr>
        <w:t>: bandeja total, nuevas cuentas web, solicitudes pendientes y cola interna de aprobaciones.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Buscador</w:t>
      </w:r>
      <w:r>
        <w:rPr>
          <w:rFonts w:ascii="Calibri" w:hAnsi="Calibri"/>
          <w:i w:val="0"/>
          <w:sz w:val="22"/>
        </w:rPr>
        <w:t>: por nombre, correo, tipo de trámite o solicitud.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Pestañas de bandeja</w:t>
      </w:r>
      <w:r>
        <w:rPr>
          <w:rFonts w:ascii="Calibri" w:hAnsi="Calibri"/>
          <w:i w:val="0"/>
          <w:sz w:val="22"/>
        </w:rPr>
        <w:t xml:space="preserve">: </w:t>
      </w:r>
      <w:r>
        <w:rPr>
          <w:rFonts w:ascii="Calibri" w:hAnsi="Calibri"/>
          <w:b/>
          <w:sz w:val="22"/>
        </w:rPr>
        <w:t>Nuevas cuentas</w:t>
      </w:r>
      <w:r>
        <w:rPr>
          <w:rFonts w:ascii="Calibri" w:hAnsi="Calibri"/>
          <w:i w:val="0"/>
          <w:sz w:val="22"/>
        </w:rPr>
        <w:t xml:space="preserve">, </w:t>
      </w:r>
      <w:r>
        <w:rPr>
          <w:rFonts w:ascii="Calibri" w:hAnsi="Calibri"/>
          <w:b/>
          <w:sz w:val="22"/>
        </w:rPr>
        <w:t>Solicitudes pendientes</w:t>
      </w:r>
      <w:r>
        <w:rPr>
          <w:rFonts w:ascii="Calibri" w:hAnsi="Calibri"/>
          <w:i w:val="0"/>
          <w:sz w:val="22"/>
        </w:rPr>
        <w:t xml:space="preserve">, </w:t>
      </w:r>
      <w:r>
        <w:rPr>
          <w:rFonts w:ascii="Calibri" w:hAnsi="Calibri"/>
          <w:b/>
          <w:sz w:val="22"/>
        </w:rPr>
        <w:t>Alta usuarios</w:t>
      </w:r>
      <w:r>
        <w:rPr>
          <w:rFonts w:ascii="Calibri" w:hAnsi="Calibri"/>
          <w:i w:val="0"/>
          <w:sz w:val="22"/>
        </w:rPr>
        <w:t xml:space="preserve">, </w:t>
      </w:r>
      <w:r>
        <w:rPr>
          <w:rFonts w:ascii="Calibri" w:hAnsi="Calibri"/>
          <w:b/>
          <w:sz w:val="22"/>
        </w:rPr>
        <w:t>Conductores</w:t>
      </w:r>
      <w:r>
        <w:rPr>
          <w:rFonts w:ascii="Calibri" w:hAnsi="Calibri"/>
          <w:i w:val="0"/>
          <w:sz w:val="22"/>
        </w:rPr>
        <w:t xml:space="preserve">, </w:t>
      </w:r>
      <w:r>
        <w:rPr>
          <w:rFonts w:ascii="Calibri" w:hAnsi="Calibri"/>
          <w:b/>
          <w:sz w:val="22"/>
        </w:rPr>
        <w:t>Empleados</w:t>
      </w:r>
      <w:r>
        <w:rPr>
          <w:rFonts w:ascii="Calibri" w:hAnsi="Calibri"/>
          <w:i w:val="0"/>
          <w:sz w:val="22"/>
        </w:rPr>
        <w:t xml:space="preserve">, </w:t>
      </w:r>
      <w:r>
        <w:rPr>
          <w:rFonts w:ascii="Calibri" w:hAnsi="Calibri"/>
          <w:b/>
          <w:sz w:val="22"/>
        </w:rPr>
        <w:t>Ausencias</w:t>
      </w:r>
      <w:r>
        <w:rPr>
          <w:rFonts w:ascii="Calibri" w:hAnsi="Calibri"/>
          <w:i w:val="0"/>
          <w:sz w:val="22"/>
        </w:rPr>
        <w:t xml:space="preserve">, </w:t>
      </w:r>
      <w:r>
        <w:rPr>
          <w:rFonts w:ascii="Calibri" w:hAnsi="Calibri"/>
          <w:b/>
          <w:sz w:val="22"/>
        </w:rPr>
        <w:t>Liquidaciones</w:t>
      </w:r>
      <w:r>
        <w:rPr>
          <w:rFonts w:ascii="Calibri" w:hAnsi="Calibri"/>
          <w:i w:val="0"/>
          <w:sz w:val="22"/>
        </w:rPr>
        <w:t xml:space="preserve">, </w:t>
      </w:r>
      <w:r>
        <w:rPr>
          <w:rFonts w:ascii="Calibri" w:hAnsi="Calibri"/>
          <w:b/>
          <w:sz w:val="22"/>
        </w:rPr>
        <w:t>Otras colas</w:t>
      </w:r>
      <w:r>
        <w:rPr>
          <w:rFonts w:ascii="Calibri" w:hAnsi="Calibri"/>
          <w:i w:val="0"/>
          <w:sz w:val="22"/>
        </w:rPr>
        <w:t xml:space="preserve"> — cada una con su contador de pendientes.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Tarjeta de pendiente</w:t>
      </w:r>
      <w:r>
        <w:rPr>
          <w:rFonts w:ascii="Calibri" w:hAnsi="Calibri"/>
          <w:i w:val="0"/>
          <w:sz w:val="22"/>
        </w:rPr>
        <w:t xml:space="preserve">: nombre del solicitante, tipo de trámite, correo, documento, empresa/ubicación, teléfono y fecha de la solicitud. Incluye los botones </w:t>
      </w:r>
      <w:r>
        <w:rPr>
          <w:rFonts w:ascii="Calibri" w:hAnsi="Calibri"/>
          <w:b/>
          <w:sz w:val="22"/>
        </w:rPr>
        <w:t>Aprobar</w:t>
      </w:r>
      <w:r>
        <w:rPr>
          <w:rFonts w:ascii="Calibri" w:hAnsi="Calibri"/>
          <w:i w:val="0"/>
          <w:sz w:val="22"/>
        </w:rPr>
        <w:t xml:space="preserve"> y </w:t>
      </w:r>
      <w:r>
        <w:rPr>
          <w:rFonts w:ascii="Calibri" w:hAnsi="Calibri"/>
          <w:b/>
          <w:sz w:val="22"/>
        </w:rPr>
        <w:t>Rechazar</w:t>
      </w:r>
      <w:r>
        <w:rPr>
          <w:rFonts w:ascii="Calibri" w:hAnsi="Calibri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color w:val="377CC0"/>
        </w:rPr>
        <w:t>3. Paso a paso: aprobar o rechazar una solicitud pendiente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Elija la bandeja correspondiente (por ejemplo, </w:t>
      </w:r>
      <w:r>
        <w:rPr>
          <w:rFonts w:ascii="Calibri" w:hAnsi="Calibri"/>
          <w:b/>
          <w:sz w:val="22"/>
        </w:rPr>
        <w:t>Nuevas cuentas</w:t>
      </w:r>
      <w:r>
        <w:rPr>
          <w:rFonts w:ascii="Calibri" w:hAnsi="Calibri"/>
          <w:i w:val="0"/>
          <w:sz w:val="22"/>
        </w:rPr>
        <w:t xml:space="preserve"> para altas de usuarios del sitio público, o </w:t>
      </w:r>
      <w:r>
        <w:rPr>
          <w:rFonts w:ascii="Calibri" w:hAnsi="Calibri"/>
          <w:b/>
          <w:sz w:val="22"/>
        </w:rPr>
        <w:t>Conductores</w:t>
      </w:r>
      <w:r>
        <w:rPr>
          <w:rFonts w:ascii="Calibri" w:hAnsi="Calibri"/>
          <w:i w:val="0"/>
          <w:sz w:val="22"/>
        </w:rPr>
        <w:t xml:space="preserve"> para altas de conductores creadas por un cliente/operador sin permiso directo).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>Revise la información del solicitante en la tarjeta.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Pulse </w:t>
      </w:r>
      <w:r>
        <w:rPr>
          <w:rFonts w:ascii="Calibri" w:hAnsi="Calibri"/>
          <w:b/>
          <w:sz w:val="22"/>
        </w:rPr>
        <w:t>Aprobar</w:t>
      </w:r>
      <w:r>
        <w:rPr>
          <w:rFonts w:ascii="Calibri" w:hAnsi="Calibri"/>
          <w:i w:val="0"/>
          <w:sz w:val="22"/>
        </w:rPr>
        <w:t xml:space="preserve"> para activar el registro (esto crea o habilita el usuario/conductor/empleado/solicitud correspondiente en su módulo de origen), o </w:t>
      </w:r>
      <w:r>
        <w:rPr>
          <w:rFonts w:ascii="Calibri" w:hAnsi="Calibri"/>
          <w:b/>
          <w:sz w:val="22"/>
        </w:rPr>
        <w:t>Rechazar</w:t>
      </w:r>
      <w:r>
        <w:rPr>
          <w:rFonts w:ascii="Calibri" w:hAnsi="Calibri"/>
          <w:i w:val="0"/>
          <w:sz w:val="22"/>
        </w:rPr>
        <w:t xml:space="preserve"> si la solicitud no procede.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>El sistema retira la tarjeta de la bandeja de pendientes una vez resuelta.</w:t>
      </w:r>
    </w:p>
    <w:p>
      <w:pPr>
        <w:pStyle w:val="Heading2"/>
      </w:pPr>
      <w:r>
        <w:rPr>
          <w:rFonts w:ascii="Calibri" w:hAnsi="Calibri"/>
          <w:color w:val="377CC0"/>
        </w:rPr>
        <w:t>4. Qué representa cada bandeja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4FC" w:val="clear"/>
          </w:tcPr>
          <w:p>
            <w:r/>
            <w:r>
              <w:rPr>
                <w:rFonts w:ascii="Calibri" w:hAnsi="Calibri"/>
                <w:b/>
                <w:color w:val="1E4A73"/>
                <w:sz w:val="20"/>
              </w:rPr>
              <w:t>Bandeja</w:t>
            </w:r>
          </w:p>
        </w:tc>
        <w:tc>
          <w:tcPr>
            <w:tcW w:type="dxa" w:w="4320"/>
            <w:shd w:fill="E8F4FC" w:val="clear"/>
          </w:tcPr>
          <w:p>
            <w:r/>
            <w:r>
              <w:rPr>
                <w:rFonts w:ascii="Calibri" w:hAnsi="Calibri"/>
                <w:b/>
                <w:color w:val="1E4A73"/>
                <w:sz w:val="20"/>
              </w:rPr>
              <w:t>Qué aprueba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**Nuevas cuentas**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Registros hechos desde el formulario público de acceso al portal.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**Solicitudes pendientes**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Solicitudes de transporte a la espera de revisión/asignación.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**Alta usuarios**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Creación de usuarios internos hecha por un rol sin permiso de creación directa.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**Conductores**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Altas de conductores registradas por operación/clientes sin permiso administrativo pleno.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**Empleados**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Altas de colaboradores pendientes de validación.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**Ausencias**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Solicitudes de ausencia/incapacidad que requieren visto bueno.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**Liquidaciones**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Marcas de pago de nómina pendientes de confirmación.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**Otras colas**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Trámites adicionales que no encajan en las categorías anteriores.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377CC0"/>
        </w:rPr>
        <w:t>5. Preguntas frecuentes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¿Quién puede aprobar en este módulo?</w:t>
      </w:r>
      <w:r>
        <w:rPr>
          <w:rFonts w:ascii="Calibri" w:hAnsi="Calibri"/>
          <w:i w:val="0"/>
          <w:sz w:val="22"/>
        </w:rPr>
        <w:t xml:space="preserve"> Solo usuarios con el permiso correspondiente a cada bandeja, asignado desde </w:t>
      </w:r>
      <w:r>
        <w:rPr>
          <w:rFonts w:ascii="Calibri" w:hAnsi="Calibri"/>
          <w:color w:val="377CC0"/>
          <w:sz w:val="22"/>
        </w:rPr>
        <w:t>Usuarios y permisos</w:t>
      </w:r>
      <w:r>
        <w:rPr>
          <w:rFonts w:ascii="Calibri" w:hAnsi="Calibri"/>
          <w:i w:val="0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¿Qué pasa si rechazo una solicitud por error?</w:t>
      </w:r>
      <w:r>
        <w:rPr>
          <w:rFonts w:ascii="Calibri" w:hAnsi="Calibri"/>
          <w:i w:val="0"/>
          <w:sz w:val="22"/>
        </w:rPr>
        <w:t xml:space="preserve"> Debe pedir al solicitante que la registre nuevamente; el rechazo no es reversible desde este módulo.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¿Este módulo reemplaza la pestaña «Pendientes» de Usuarios y permisos?</w:t>
      </w:r>
      <w:r>
        <w:rPr>
          <w:rFonts w:ascii="Calibri" w:hAnsi="Calibri"/>
          <w:i w:val="0"/>
          <w:sz w:val="22"/>
        </w:rPr>
        <w:t xml:space="preserve"> No, la complementa: el Centro de aprobaciones consolida </w:t>
      </w:r>
      <w:r>
        <w:rPr>
          <w:rFonts w:ascii="Calibri" w:hAnsi="Calibri"/>
          <w:b/>
          <w:sz w:val="22"/>
        </w:rPr>
        <w:t>todas</w:t>
      </w:r>
      <w:r>
        <w:rPr>
          <w:rFonts w:ascii="Calibri" w:hAnsi="Calibri"/>
          <w:i w:val="0"/>
          <w:sz w:val="22"/>
        </w:rPr>
        <w:t xml:space="preserve"> las colas del portal en un solo lugar, mientras que la pestaña de Usuarios y permisos se enfoca solo en cuentas de usuario.</w:t>
      </w:r>
    </w:p>
    <w:p>
      <w:pPr>
        <w:spacing w:before="240"/>
      </w:pPr>
      <w:r>
        <w:rPr>
          <w:rFonts w:ascii="Calibri" w:hAnsi="Calibri"/>
          <w:i w:val="0"/>
          <w:color w:val="3A5A78"/>
          <w:sz w:val="20"/>
        </w:rPr>
        <w:t>⬅ Anterior: Usuarios y permisos · ⬅ Volver al índice · Siguiente: Notificaciones ➡</w:t>
      </w:r>
    </w:p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A5A78"/>
        <w:sz w:val="18"/>
      </w:rPr>
      <w:t xml:space="preserve">Transportes Antares S.A.S — Centro de aprobaciones  ·  Pág.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B21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4A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77C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4A7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