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3474720" cy="1046759"/>
            <wp:docPr id="1" name="Picture 1"/>
            <wp:cNvGraphicFramePr>
              <a:graphicFrameLocks noChangeAspect="1"/>
            </wp:cNvGraphicFramePr>
            <a:graphic>
              <a:graphicData uri="http://schemas.openxmlformats.org/drawingml/2006/picture">
                <pic:pic>
                  <pic:nvPicPr>
                    <pic:cNvPr id="0" name="logo-recortado.png"/>
                    <pic:cNvPicPr/>
                  </pic:nvPicPr>
                  <pic:blipFill>
                    <a:blip r:embed="rId9"/>
                    <a:stretch>
                      <a:fillRect/>
                    </a:stretch>
                  </pic:blipFill>
                  <pic:spPr>
                    <a:xfrm>
                      <a:off x="0" y="0"/>
                      <a:ext cx="3474720" cy="1046759"/>
                    </a:xfrm>
                    <a:prstGeom prst="rect"/>
                  </pic:spPr>
                </pic:pic>
              </a:graphicData>
            </a:graphic>
          </wp:inline>
        </w:drawing>
      </w:r>
    </w:p>
    <w:tbl>
      <w:tblPr>
        <w:tblStyle w:val="TableGrid"/>
        <w:tblW w:type="auto" w:w="0"/>
        <w:tblLook w:firstColumn="1" w:firstRow="1" w:lastColumn="0" w:lastRow="0" w:noHBand="0" w:noVBand="1" w:val="04A0"/>
      </w:tblPr>
      <w:tblGrid>
        <w:gridCol w:w="8640"/>
      </w:tblGrid>
      <w:tr>
        <w:tc>
          <w:tcPr>
            <w:tcW w:type="dxa" w:w="8640"/>
            <w:shd w:fill="377CC0" w:val="clear"/>
          </w:tcPr>
          <w:p>
            <w:r/>
          </w:p>
          <w:p>
            <w:pPr>
              <w:spacing w:after="40"/>
              <w:jc w:val="center"/>
            </w:pPr>
            <w:r>
              <w:rPr>
                <w:rFonts w:ascii="Calibri" w:hAnsi="Calibri"/>
                <w:b/>
                <w:color w:val="FFFFFF"/>
                <w:sz w:val="40"/>
              </w:rPr>
              <w:t>TRANSPORTES ANTARES S.A.S</w:t>
            </w:r>
          </w:p>
          <w:p>
            <w:pPr>
              <w:spacing w:after="40"/>
              <w:jc w:val="center"/>
            </w:pPr>
            <w:r>
              <w:rPr>
                <w:rFonts w:ascii="Calibri" w:hAnsi="Calibri"/>
                <w:b/>
                <w:color w:val="E8F4FC"/>
                <w:sz w:val="28"/>
              </w:rPr>
              <w:t>Manual de usuario</w:t>
            </w:r>
          </w:p>
          <w:p>
            <w:pPr>
              <w:spacing w:after="40"/>
              <w:jc w:val="center"/>
            </w:pPr>
            <w:r>
              <w:rPr>
                <w:rFonts w:ascii="Calibri" w:hAnsi="Calibri"/>
                <w:b/>
                <w:color w:val="CCE5F8"/>
                <w:sz w:val="26"/>
              </w:rPr>
              <w:t>Índice de manuales</w:t>
            </w:r>
          </w:p>
          <w:p>
            <w:pPr>
              <w:spacing w:after="40"/>
              <w:jc w:val="center"/>
            </w:pPr>
            <w:r>
              <w:rPr>
                <w:rFonts w:ascii="Calibri" w:hAnsi="Calibri"/>
                <w:b w:val="0"/>
                <w:color w:val="CCE5F8"/>
                <w:sz w:val="22"/>
              </w:rPr>
              <w:t>Catálogo de documentos de usuario del portal</w:t>
            </w:r>
          </w:p>
        </w:tc>
      </w:tr>
    </w:tbl>
    <w:p/>
    <w:p>
      <w:pPr>
        <w:jc w:val="center"/>
      </w:pPr>
      <w:r>
        <w:rPr>
          <w:rFonts w:ascii="Calibri" w:hAnsi="Calibri"/>
          <w:i/>
          <w:color w:val="3A5A78"/>
          <w:sz w:val="20"/>
        </w:rPr>
        <w:t>Versión 1.0  ·  1 de julio de 2026  ·  Uso interno y capacitación</w:t>
      </w:r>
    </w:p>
    <w:p>
      <w:r>
        <w:br w:type="page"/>
      </w:r>
    </w:p>
    <w:p>
      <w:pPr>
        <w:spacing w:after="120"/>
      </w:pPr>
      <w:r>
        <w:rPr>
          <w:rFonts w:ascii="Calibri" w:hAnsi="Calibri"/>
          <w:i w:val="0"/>
          <w:sz w:val="22"/>
        </w:rPr>
        <w:t>Esta carpeta contiene el manual de usuario profesional del portal, dividido en un archivo Markdown por módulo, ilustrado con capturas de pantalla reales tomadas sobre el portal en ejecución (con datos de demostración).</w:t>
      </w:r>
    </w:p>
    <w:p>
      <w:pPr>
        <w:pStyle w:val="Heading2"/>
      </w:pPr>
      <w:r>
        <w:rPr>
          <w:rFonts w:ascii="Calibri" w:hAnsi="Calibri"/>
          <w:color w:val="377CC0"/>
        </w:rPr>
        <w:t>Cómo empezar</w:t>
      </w:r>
    </w:p>
    <w:p>
      <w:pPr>
        <w:spacing w:after="120"/>
      </w:pPr>
      <w:r>
        <w:rPr>
          <w:rFonts w:ascii="Calibri" w:hAnsi="Calibri"/>
          <w:i w:val="0"/>
          <w:sz w:val="22"/>
        </w:rPr>
        <w:t xml:space="preserve">Comience por la </w:t>
      </w:r>
      <w:r>
        <w:rPr>
          <w:rFonts w:ascii="Calibri" w:hAnsi="Calibri"/>
          <w:b/>
          <w:sz w:val="22"/>
        </w:rPr>
        <w:t>[Introducción general](./00-introduccion.md)</w:t>
      </w:r>
      <w:r>
        <w:rPr>
          <w:rFonts w:ascii="Calibri" w:hAnsi="Calibri"/>
          <w:i w:val="0"/>
          <w:sz w:val="22"/>
        </w:rPr>
        <w:t>: explica cómo ingresar al portal, la estructura común de las pantallas, los roles disponibles y enlaza a todos los manuales de módulo.</w:t>
      </w:r>
    </w:p>
    <w:p>
      <w:pPr>
        <w:pStyle w:val="Heading2"/>
      </w:pPr>
      <w:r>
        <w:rPr>
          <w:rFonts w:ascii="Calibri" w:hAnsi="Calibri"/>
          <w:color w:val="377CC0"/>
        </w:rPr>
        <w:t>Índice de módulos</w:t>
      </w:r>
    </w:p>
    <w:tbl>
      <w:tblPr>
        <w:tblStyle w:val="TableGrid"/>
        <w:tblW w:type="auto" w:w="0"/>
        <w:tblLook w:firstColumn="1" w:firstRow="1" w:lastColumn="0" w:lastRow="0" w:noHBand="0" w:noVBand="1" w:val="04A0"/>
      </w:tblPr>
      <w:tblGrid>
        <w:gridCol w:w="2880"/>
        <w:gridCol w:w="2880"/>
        <w:gridCol w:w="2880"/>
      </w:tblGrid>
      <w:tr>
        <w:tc>
          <w:tcPr>
            <w:tcW w:type="dxa" w:w="2880"/>
            <w:shd w:fill="E8F4FC" w:val="clear"/>
          </w:tcPr>
          <w:p>
            <w:r/>
            <w:r>
              <w:rPr>
                <w:rFonts w:ascii="Calibri" w:hAnsi="Calibri"/>
                <w:b/>
                <w:color w:val="1E4A73"/>
                <w:sz w:val="20"/>
              </w:rPr>
              <w:t>#</w:t>
            </w:r>
          </w:p>
        </w:tc>
        <w:tc>
          <w:tcPr>
            <w:tcW w:type="dxa" w:w="2880"/>
            <w:shd w:fill="E8F4FC" w:val="clear"/>
          </w:tcPr>
          <w:p>
            <w:r/>
            <w:r>
              <w:rPr>
                <w:rFonts w:ascii="Calibri" w:hAnsi="Calibri"/>
                <w:b/>
                <w:color w:val="1E4A73"/>
                <w:sz w:val="20"/>
              </w:rPr>
              <w:t>Módulo</w:t>
            </w:r>
          </w:p>
        </w:tc>
        <w:tc>
          <w:tcPr>
            <w:tcW w:type="dxa" w:w="2880"/>
            <w:shd w:fill="E8F4FC" w:val="clear"/>
          </w:tcPr>
          <w:p>
            <w:r/>
            <w:r>
              <w:rPr>
                <w:rFonts w:ascii="Calibri" w:hAnsi="Calibri"/>
                <w:b/>
                <w:color w:val="1E4A73"/>
                <w:sz w:val="20"/>
              </w:rPr>
              <w:t>Manual</w:t>
            </w:r>
          </w:p>
        </w:tc>
      </w:tr>
      <w:tr>
        <w:tc>
          <w:tcPr>
            <w:tcW w:type="dxa" w:w="2880"/>
          </w:tcPr>
          <w:p>
            <w:r/>
            <w:r>
              <w:rPr>
                <w:rFonts w:ascii="Calibri" w:hAnsi="Calibri"/>
                <w:b w:val="0"/>
                <w:sz w:val="20"/>
              </w:rPr>
              <w:t>0</w:t>
            </w:r>
          </w:p>
        </w:tc>
        <w:tc>
          <w:tcPr>
            <w:tcW w:type="dxa" w:w="2880"/>
          </w:tcPr>
          <w:p>
            <w:r/>
            <w:r>
              <w:rPr>
                <w:rFonts w:ascii="Calibri" w:hAnsi="Calibri"/>
                <w:b w:val="0"/>
                <w:sz w:val="20"/>
              </w:rPr>
              <w:t>Introducción, acceso y navegación</w:t>
            </w:r>
          </w:p>
        </w:tc>
        <w:tc>
          <w:tcPr>
            <w:tcW w:type="dxa" w:w="2880"/>
          </w:tcPr>
          <w:p>
            <w:r/>
            <w:r>
              <w:rPr>
                <w:rFonts w:ascii="Calibri" w:hAnsi="Calibri"/>
                <w:b w:val="0"/>
                <w:sz w:val="20"/>
              </w:rPr>
              <w:t>00-introduccion.md</w:t>
            </w:r>
          </w:p>
        </w:tc>
      </w:tr>
      <w:tr>
        <w:tc>
          <w:tcPr>
            <w:tcW w:type="dxa" w:w="2880"/>
          </w:tcPr>
          <w:p>
            <w:r/>
            <w:r>
              <w:rPr>
                <w:rFonts w:ascii="Calibri" w:hAnsi="Calibri"/>
                <w:b w:val="0"/>
                <w:sz w:val="20"/>
              </w:rPr>
              <w:t>1</w:t>
            </w:r>
          </w:p>
        </w:tc>
        <w:tc>
          <w:tcPr>
            <w:tcW w:type="dxa" w:w="2880"/>
          </w:tcPr>
          <w:p>
            <w:r/>
            <w:r>
              <w:rPr>
                <w:rFonts w:ascii="Calibri" w:hAnsi="Calibri"/>
                <w:b w:val="0"/>
                <w:sz w:val="20"/>
              </w:rPr>
              <w:t>Dashboard</w:t>
            </w:r>
          </w:p>
        </w:tc>
        <w:tc>
          <w:tcPr>
            <w:tcW w:type="dxa" w:w="2880"/>
          </w:tcPr>
          <w:p>
            <w:r/>
            <w:r>
              <w:rPr>
                <w:rFonts w:ascii="Calibri" w:hAnsi="Calibri"/>
                <w:b w:val="0"/>
                <w:sz w:val="20"/>
              </w:rPr>
              <w:t>01-dashboard.md</w:t>
            </w:r>
          </w:p>
        </w:tc>
      </w:tr>
      <w:tr>
        <w:tc>
          <w:tcPr>
            <w:tcW w:type="dxa" w:w="2880"/>
          </w:tcPr>
          <w:p>
            <w:r/>
            <w:r>
              <w:rPr>
                <w:rFonts w:ascii="Calibri" w:hAnsi="Calibri"/>
                <w:b w:val="0"/>
                <w:sz w:val="20"/>
              </w:rPr>
              <w:t>2</w:t>
            </w:r>
          </w:p>
        </w:tc>
        <w:tc>
          <w:tcPr>
            <w:tcW w:type="dxa" w:w="2880"/>
          </w:tcPr>
          <w:p>
            <w:r/>
            <w:r>
              <w:rPr>
                <w:rFonts w:ascii="Calibri" w:hAnsi="Calibri"/>
                <w:b w:val="0"/>
                <w:sz w:val="20"/>
              </w:rPr>
              <w:t>Mis solicitudes</w:t>
            </w:r>
          </w:p>
        </w:tc>
        <w:tc>
          <w:tcPr>
            <w:tcW w:type="dxa" w:w="2880"/>
          </w:tcPr>
          <w:p>
            <w:r/>
            <w:r>
              <w:rPr>
                <w:rFonts w:ascii="Calibri" w:hAnsi="Calibri"/>
                <w:b w:val="0"/>
                <w:sz w:val="20"/>
              </w:rPr>
              <w:t>02-solicitudes.md</w:t>
            </w:r>
          </w:p>
        </w:tc>
      </w:tr>
      <w:tr>
        <w:tc>
          <w:tcPr>
            <w:tcW w:type="dxa" w:w="2880"/>
          </w:tcPr>
          <w:p>
            <w:r/>
            <w:r>
              <w:rPr>
                <w:rFonts w:ascii="Calibri" w:hAnsi="Calibri"/>
                <w:b w:val="0"/>
                <w:sz w:val="20"/>
              </w:rPr>
              <w:t>3</w:t>
            </w:r>
          </w:p>
        </w:tc>
        <w:tc>
          <w:tcPr>
            <w:tcW w:type="dxa" w:w="2880"/>
          </w:tcPr>
          <w:p>
            <w:r/>
            <w:r>
              <w:rPr>
                <w:rFonts w:ascii="Calibri" w:hAnsi="Calibri"/>
                <w:b w:val="0"/>
                <w:sz w:val="20"/>
              </w:rPr>
              <w:t>Transporte · Viajes</w:t>
            </w:r>
          </w:p>
        </w:tc>
        <w:tc>
          <w:tcPr>
            <w:tcW w:type="dxa" w:w="2880"/>
          </w:tcPr>
          <w:p>
            <w:r/>
            <w:r>
              <w:rPr>
                <w:rFonts w:ascii="Calibri" w:hAnsi="Calibri"/>
                <w:b w:val="0"/>
                <w:sz w:val="20"/>
              </w:rPr>
              <w:t>03-viajes.md</w:t>
            </w:r>
          </w:p>
        </w:tc>
      </w:tr>
      <w:tr>
        <w:tc>
          <w:tcPr>
            <w:tcW w:type="dxa" w:w="2880"/>
          </w:tcPr>
          <w:p>
            <w:r/>
            <w:r>
              <w:rPr>
                <w:rFonts w:ascii="Calibri" w:hAnsi="Calibri"/>
                <w:b w:val="0"/>
                <w:sz w:val="20"/>
              </w:rPr>
              <w:t>4</w:t>
            </w:r>
          </w:p>
        </w:tc>
        <w:tc>
          <w:tcPr>
            <w:tcW w:type="dxa" w:w="2880"/>
          </w:tcPr>
          <w:p>
            <w:r/>
            <w:r>
              <w:rPr>
                <w:rFonts w:ascii="Calibri" w:hAnsi="Calibri"/>
                <w:b w:val="0"/>
                <w:sz w:val="20"/>
              </w:rPr>
              <w:t>Transporte · Camiones</w:t>
            </w:r>
          </w:p>
        </w:tc>
        <w:tc>
          <w:tcPr>
            <w:tcW w:type="dxa" w:w="2880"/>
          </w:tcPr>
          <w:p>
            <w:r/>
            <w:r>
              <w:rPr>
                <w:rFonts w:ascii="Calibri" w:hAnsi="Calibri"/>
                <w:b w:val="0"/>
                <w:sz w:val="20"/>
              </w:rPr>
              <w:t>04-camiones.md</w:t>
            </w:r>
          </w:p>
        </w:tc>
      </w:tr>
      <w:tr>
        <w:tc>
          <w:tcPr>
            <w:tcW w:type="dxa" w:w="2880"/>
          </w:tcPr>
          <w:p>
            <w:r/>
            <w:r>
              <w:rPr>
                <w:rFonts w:ascii="Calibri" w:hAnsi="Calibri"/>
                <w:b w:val="0"/>
                <w:sz w:val="20"/>
              </w:rPr>
              <w:t>5</w:t>
            </w:r>
          </w:p>
        </w:tc>
        <w:tc>
          <w:tcPr>
            <w:tcW w:type="dxa" w:w="2880"/>
          </w:tcPr>
          <w:p>
            <w:r/>
            <w:r>
              <w:rPr>
                <w:rFonts w:ascii="Calibri" w:hAnsi="Calibri"/>
                <w:b w:val="0"/>
                <w:sz w:val="20"/>
              </w:rPr>
              <w:t>Transporte · Conductores</w:t>
            </w:r>
          </w:p>
        </w:tc>
        <w:tc>
          <w:tcPr>
            <w:tcW w:type="dxa" w:w="2880"/>
          </w:tcPr>
          <w:p>
            <w:r/>
            <w:r>
              <w:rPr>
                <w:rFonts w:ascii="Calibri" w:hAnsi="Calibri"/>
                <w:b w:val="0"/>
                <w:sz w:val="20"/>
              </w:rPr>
              <w:t>05-conductores.md</w:t>
            </w:r>
          </w:p>
        </w:tc>
      </w:tr>
      <w:tr>
        <w:tc>
          <w:tcPr>
            <w:tcW w:type="dxa" w:w="2880"/>
          </w:tcPr>
          <w:p>
            <w:r/>
            <w:r>
              <w:rPr>
                <w:rFonts w:ascii="Calibri" w:hAnsi="Calibri"/>
                <w:b w:val="0"/>
                <w:sz w:val="20"/>
              </w:rPr>
              <w:t>6</w:t>
            </w:r>
          </w:p>
        </w:tc>
        <w:tc>
          <w:tcPr>
            <w:tcW w:type="dxa" w:w="2880"/>
          </w:tcPr>
          <w:p>
            <w:r/>
            <w:r>
              <w:rPr>
                <w:rFonts w:ascii="Calibri" w:hAnsi="Calibri"/>
                <w:b w:val="0"/>
                <w:sz w:val="20"/>
              </w:rPr>
              <w:t>Transporte · Calendario</w:t>
            </w:r>
          </w:p>
        </w:tc>
        <w:tc>
          <w:tcPr>
            <w:tcW w:type="dxa" w:w="2880"/>
          </w:tcPr>
          <w:p>
            <w:r/>
            <w:r>
              <w:rPr>
                <w:rFonts w:ascii="Calibri" w:hAnsi="Calibri"/>
                <w:b w:val="0"/>
                <w:sz w:val="20"/>
              </w:rPr>
              <w:t>06-calendario.md</w:t>
            </w:r>
          </w:p>
        </w:tc>
      </w:tr>
      <w:tr>
        <w:tc>
          <w:tcPr>
            <w:tcW w:type="dxa" w:w="2880"/>
          </w:tcPr>
          <w:p>
            <w:r/>
            <w:r>
              <w:rPr>
                <w:rFonts w:ascii="Calibri" w:hAnsi="Calibri"/>
                <w:b w:val="0"/>
                <w:sz w:val="20"/>
              </w:rPr>
              <w:t>7</w:t>
            </w:r>
          </w:p>
        </w:tc>
        <w:tc>
          <w:tcPr>
            <w:tcW w:type="dxa" w:w="2880"/>
          </w:tcPr>
          <w:p>
            <w:r/>
            <w:r>
              <w:rPr>
                <w:rFonts w:ascii="Calibri" w:hAnsi="Calibri"/>
                <w:b w:val="0"/>
                <w:sz w:val="20"/>
              </w:rPr>
              <w:t>Historial y trazabilidad</w:t>
            </w:r>
          </w:p>
        </w:tc>
        <w:tc>
          <w:tcPr>
            <w:tcW w:type="dxa" w:w="2880"/>
          </w:tcPr>
          <w:p>
            <w:r/>
            <w:r>
              <w:rPr>
                <w:rFonts w:ascii="Calibri" w:hAnsi="Calibri"/>
                <w:b w:val="0"/>
                <w:sz w:val="20"/>
              </w:rPr>
              <w:t>07-historial.md</w:t>
            </w:r>
          </w:p>
        </w:tc>
      </w:tr>
      <w:tr>
        <w:tc>
          <w:tcPr>
            <w:tcW w:type="dxa" w:w="2880"/>
          </w:tcPr>
          <w:p>
            <w:r/>
            <w:r>
              <w:rPr>
                <w:rFonts w:ascii="Calibri" w:hAnsi="Calibri"/>
                <w:b w:val="0"/>
                <w:sz w:val="20"/>
              </w:rPr>
              <w:t>8</w:t>
            </w:r>
          </w:p>
        </w:tc>
        <w:tc>
          <w:tcPr>
            <w:tcW w:type="dxa" w:w="2880"/>
          </w:tcPr>
          <w:p>
            <w:r/>
            <w:r>
              <w:rPr>
                <w:rFonts w:ascii="Calibri" w:hAnsi="Calibri"/>
                <w:b w:val="0"/>
                <w:sz w:val="20"/>
              </w:rPr>
              <w:t>Centro de reportería</w:t>
            </w:r>
          </w:p>
        </w:tc>
        <w:tc>
          <w:tcPr>
            <w:tcW w:type="dxa" w:w="2880"/>
          </w:tcPr>
          <w:p>
            <w:r/>
            <w:r>
              <w:rPr>
                <w:rFonts w:ascii="Calibri" w:hAnsi="Calibri"/>
                <w:b w:val="0"/>
                <w:sz w:val="20"/>
              </w:rPr>
              <w:t>08-reporteria.md</w:t>
            </w:r>
          </w:p>
        </w:tc>
      </w:tr>
      <w:tr>
        <w:tc>
          <w:tcPr>
            <w:tcW w:type="dxa" w:w="2880"/>
          </w:tcPr>
          <w:p>
            <w:r/>
            <w:r>
              <w:rPr>
                <w:rFonts w:ascii="Calibri" w:hAnsi="Calibri"/>
                <w:b w:val="0"/>
                <w:sz w:val="20"/>
              </w:rPr>
              <w:t>9</w:t>
            </w:r>
          </w:p>
        </w:tc>
        <w:tc>
          <w:tcPr>
            <w:tcW w:type="dxa" w:w="2880"/>
          </w:tcPr>
          <w:p>
            <w:r/>
            <w:r>
              <w:rPr>
                <w:rFonts w:ascii="Calibri" w:hAnsi="Calibri"/>
                <w:b w:val="0"/>
                <w:sz w:val="20"/>
              </w:rPr>
              <w:t>Gestión humana</w:t>
            </w:r>
          </w:p>
        </w:tc>
        <w:tc>
          <w:tcPr>
            <w:tcW w:type="dxa" w:w="2880"/>
          </w:tcPr>
          <w:p>
            <w:r/>
            <w:r>
              <w:rPr>
                <w:rFonts w:ascii="Calibri" w:hAnsi="Calibri"/>
                <w:b w:val="0"/>
                <w:sz w:val="20"/>
              </w:rPr>
              <w:t>09-gestion-humana.md</w:t>
            </w:r>
          </w:p>
        </w:tc>
      </w:tr>
      <w:tr>
        <w:tc>
          <w:tcPr>
            <w:tcW w:type="dxa" w:w="2880"/>
          </w:tcPr>
          <w:p>
            <w:r/>
            <w:r>
              <w:rPr>
                <w:rFonts w:ascii="Calibri" w:hAnsi="Calibri"/>
                <w:b w:val="0"/>
                <w:sz w:val="20"/>
              </w:rPr>
              <w:t>10</w:t>
            </w:r>
          </w:p>
        </w:tc>
        <w:tc>
          <w:tcPr>
            <w:tcW w:type="dxa" w:w="2880"/>
          </w:tcPr>
          <w:p>
            <w:r/>
            <w:r>
              <w:rPr>
                <w:rFonts w:ascii="Calibri" w:hAnsi="Calibri"/>
                <w:b w:val="0"/>
                <w:sz w:val="20"/>
              </w:rPr>
              <w:t>Contratación</w:t>
            </w:r>
          </w:p>
        </w:tc>
        <w:tc>
          <w:tcPr>
            <w:tcW w:type="dxa" w:w="2880"/>
          </w:tcPr>
          <w:p>
            <w:r/>
            <w:r>
              <w:rPr>
                <w:rFonts w:ascii="Calibri" w:hAnsi="Calibri"/>
                <w:b w:val="0"/>
                <w:sz w:val="20"/>
              </w:rPr>
              <w:t>10-contratacion.md</w:t>
            </w:r>
          </w:p>
        </w:tc>
      </w:tr>
      <w:tr>
        <w:tc>
          <w:tcPr>
            <w:tcW w:type="dxa" w:w="2880"/>
          </w:tcPr>
          <w:p>
            <w:r/>
            <w:r>
              <w:rPr>
                <w:rFonts w:ascii="Calibri" w:hAnsi="Calibri"/>
                <w:b w:val="0"/>
                <w:sz w:val="20"/>
              </w:rPr>
              <w:t>11</w:t>
            </w:r>
          </w:p>
        </w:tc>
        <w:tc>
          <w:tcPr>
            <w:tcW w:type="dxa" w:w="2880"/>
          </w:tcPr>
          <w:p>
            <w:r/>
            <w:r>
              <w:rPr>
                <w:rFonts w:ascii="Calibri" w:hAnsi="Calibri"/>
                <w:b w:val="0"/>
                <w:sz w:val="20"/>
              </w:rPr>
              <w:t>Cumplimiento laboral y SST</w:t>
            </w:r>
          </w:p>
        </w:tc>
        <w:tc>
          <w:tcPr>
            <w:tcW w:type="dxa" w:w="2880"/>
          </w:tcPr>
          <w:p>
            <w:r/>
            <w:r>
              <w:rPr>
                <w:rFonts w:ascii="Calibri" w:hAnsi="Calibri"/>
                <w:b w:val="0"/>
                <w:sz w:val="20"/>
              </w:rPr>
              <w:t>11-cumplimiento-laboral.md</w:t>
            </w:r>
          </w:p>
        </w:tc>
      </w:tr>
      <w:tr>
        <w:tc>
          <w:tcPr>
            <w:tcW w:type="dxa" w:w="2880"/>
          </w:tcPr>
          <w:p>
            <w:r/>
            <w:r>
              <w:rPr>
                <w:rFonts w:ascii="Calibri" w:hAnsi="Calibri"/>
                <w:b w:val="0"/>
                <w:sz w:val="20"/>
              </w:rPr>
              <w:t>12</w:t>
            </w:r>
          </w:p>
        </w:tc>
        <w:tc>
          <w:tcPr>
            <w:tcW w:type="dxa" w:w="2880"/>
          </w:tcPr>
          <w:p>
            <w:r/>
            <w:r>
              <w:rPr>
                <w:rFonts w:ascii="Calibri" w:hAnsi="Calibri"/>
                <w:b w:val="0"/>
                <w:sz w:val="20"/>
              </w:rPr>
              <w:t>Contacto web (B2B)</w:t>
            </w:r>
          </w:p>
        </w:tc>
        <w:tc>
          <w:tcPr>
            <w:tcW w:type="dxa" w:w="2880"/>
          </w:tcPr>
          <w:p>
            <w:r/>
            <w:r>
              <w:rPr>
                <w:rFonts w:ascii="Calibri" w:hAnsi="Calibri"/>
                <w:b w:val="0"/>
                <w:sz w:val="20"/>
              </w:rPr>
              <w:t>12-contacto-b2b.md</w:t>
            </w:r>
          </w:p>
        </w:tc>
      </w:tr>
      <w:tr>
        <w:tc>
          <w:tcPr>
            <w:tcW w:type="dxa" w:w="2880"/>
          </w:tcPr>
          <w:p>
            <w:r/>
            <w:r>
              <w:rPr>
                <w:rFonts w:ascii="Calibri" w:hAnsi="Calibri"/>
                <w:b w:val="0"/>
                <w:sz w:val="20"/>
              </w:rPr>
              <w:t>13</w:t>
            </w:r>
          </w:p>
        </w:tc>
        <w:tc>
          <w:tcPr>
            <w:tcW w:type="dxa" w:w="2880"/>
          </w:tcPr>
          <w:p>
            <w:r/>
            <w:r>
              <w:rPr>
                <w:rFonts w:ascii="Calibri" w:hAnsi="Calibri"/>
                <w:b w:val="0"/>
                <w:sz w:val="20"/>
              </w:rPr>
              <w:t>Usuarios y permisos</w:t>
            </w:r>
          </w:p>
        </w:tc>
        <w:tc>
          <w:tcPr>
            <w:tcW w:type="dxa" w:w="2880"/>
          </w:tcPr>
          <w:p>
            <w:r/>
            <w:r>
              <w:rPr>
                <w:rFonts w:ascii="Calibri" w:hAnsi="Calibri"/>
                <w:b w:val="0"/>
                <w:sz w:val="20"/>
              </w:rPr>
              <w:t>13-usuarios-permisos.md</w:t>
            </w:r>
          </w:p>
        </w:tc>
      </w:tr>
      <w:tr>
        <w:tc>
          <w:tcPr>
            <w:tcW w:type="dxa" w:w="2880"/>
          </w:tcPr>
          <w:p>
            <w:r/>
            <w:r>
              <w:rPr>
                <w:rFonts w:ascii="Calibri" w:hAnsi="Calibri"/>
                <w:b w:val="0"/>
                <w:sz w:val="20"/>
              </w:rPr>
              <w:t>14</w:t>
            </w:r>
          </w:p>
        </w:tc>
        <w:tc>
          <w:tcPr>
            <w:tcW w:type="dxa" w:w="2880"/>
          </w:tcPr>
          <w:p>
            <w:r/>
            <w:r>
              <w:rPr>
                <w:rFonts w:ascii="Calibri" w:hAnsi="Calibri"/>
                <w:b w:val="0"/>
                <w:sz w:val="20"/>
              </w:rPr>
              <w:t>Centro de aprobaciones (Autorizaciones)</w:t>
            </w:r>
          </w:p>
        </w:tc>
        <w:tc>
          <w:tcPr>
            <w:tcW w:type="dxa" w:w="2880"/>
          </w:tcPr>
          <w:p>
            <w:r/>
            <w:r>
              <w:rPr>
                <w:rFonts w:ascii="Calibri" w:hAnsi="Calibri"/>
                <w:b w:val="0"/>
                <w:sz w:val="20"/>
              </w:rPr>
              <w:t>14-autorizaciones.md</w:t>
            </w:r>
          </w:p>
        </w:tc>
      </w:tr>
      <w:tr>
        <w:tc>
          <w:tcPr>
            <w:tcW w:type="dxa" w:w="2880"/>
          </w:tcPr>
          <w:p>
            <w:r/>
            <w:r>
              <w:rPr>
                <w:rFonts w:ascii="Calibri" w:hAnsi="Calibri"/>
                <w:b w:val="0"/>
                <w:sz w:val="20"/>
              </w:rPr>
              <w:t>15</w:t>
            </w:r>
          </w:p>
        </w:tc>
        <w:tc>
          <w:tcPr>
            <w:tcW w:type="dxa" w:w="2880"/>
          </w:tcPr>
          <w:p>
            <w:r/>
            <w:r>
              <w:rPr>
                <w:rFonts w:ascii="Calibri" w:hAnsi="Calibri"/>
                <w:b w:val="0"/>
                <w:sz w:val="20"/>
              </w:rPr>
              <w:t>Notificaciones</w:t>
            </w:r>
          </w:p>
        </w:tc>
        <w:tc>
          <w:tcPr>
            <w:tcW w:type="dxa" w:w="2880"/>
          </w:tcPr>
          <w:p>
            <w:r/>
            <w:r>
              <w:rPr>
                <w:rFonts w:ascii="Calibri" w:hAnsi="Calibri"/>
                <w:b w:val="0"/>
                <w:sz w:val="20"/>
              </w:rPr>
              <w:t>15-notificaciones.md</w:t>
            </w:r>
          </w:p>
        </w:tc>
      </w:tr>
      <w:tr>
        <w:tc>
          <w:tcPr>
            <w:tcW w:type="dxa" w:w="2880"/>
          </w:tcPr>
          <w:p>
            <w:r/>
            <w:r>
              <w:rPr>
                <w:rFonts w:ascii="Calibri" w:hAnsi="Calibri"/>
                <w:b w:val="0"/>
                <w:sz w:val="20"/>
              </w:rPr>
              <w:t>16</w:t>
            </w:r>
          </w:p>
        </w:tc>
        <w:tc>
          <w:tcPr>
            <w:tcW w:type="dxa" w:w="2880"/>
          </w:tcPr>
          <w:p>
            <w:r/>
            <w:r>
              <w:rPr>
                <w:rFonts w:ascii="Calibri" w:hAnsi="Calibri"/>
                <w:b w:val="0"/>
                <w:sz w:val="20"/>
              </w:rPr>
              <w:t>Mi perfil</w:t>
            </w:r>
          </w:p>
        </w:tc>
        <w:tc>
          <w:tcPr>
            <w:tcW w:type="dxa" w:w="2880"/>
          </w:tcPr>
          <w:p>
            <w:r/>
            <w:r>
              <w:rPr>
                <w:rFonts w:ascii="Calibri" w:hAnsi="Calibri"/>
                <w:b w:val="0"/>
                <w:sz w:val="20"/>
              </w:rPr>
              <w:t>16-mi-perfil.md</w:t>
            </w:r>
          </w:p>
        </w:tc>
      </w:tr>
    </w:tbl>
    <w:p/>
    <w:p>
      <w:pPr>
        <w:pStyle w:val="Heading2"/>
      </w:pPr>
      <w:r>
        <w:rPr>
          <w:rFonts w:ascii="Calibri" w:hAnsi="Calibri"/>
          <w:color w:val="377CC0"/>
        </w:rPr>
        <w:t>Estructura de la carpeta</w:t>
      </w:r>
    </w:p>
    <w:p>
      <w:pPr>
        <w:spacing w:after="120"/>
      </w:pPr>
      <w:r>
        <w:rPr>
          <w:rFonts w:ascii="Calibri" w:hAnsi="Calibri"/>
          <w:i w:val="0"/>
          <w:sz w:val="22"/>
        </w:rPr>
        <w:t>``</w:t>
      </w:r>
      <w:r>
        <w:rPr>
          <w:rFonts w:ascii="Consolas" w:hAnsi="Consolas"/>
          <w:sz w:val="20"/>
        </w:rPr>
        <w:t xml:space="preserve"> docs/manuales-usuario/ ├── README.md                  (este índice) ├── 00-introduccion.md ├── 01-dashboard.md ├── ... ├── 16-mi-perfil.md └── assets/ ├── introduccion/ ├── dashboard/ ├── solicitudes/ ├── viajes/ ├── camiones/ ├── conductores/ ├── calendario/ ├── historial/ ├── reporteria/ ├── gestion-humana/ ├── contratacion/ ├── cumplimiento-laboral/ ├── contacto-b2b/ ├── usuarios-permisos/ ├── autorizaciones/ ├── notificaciones/ └── mi-perfil/ </w:t>
      </w:r>
      <w:r>
        <w:rPr>
          <w:rFonts w:ascii="Calibri" w:hAnsi="Calibri"/>
          <w:i w:val="0"/>
          <w:sz w:val="22"/>
        </w:rPr>
        <w:t>``</w:t>
      </w:r>
    </w:p>
    <w:p>
      <w:pPr>
        <w:spacing w:after="120"/>
      </w:pPr>
      <w:r>
        <w:rPr>
          <w:rFonts w:ascii="Calibri" w:hAnsi="Calibri"/>
          <w:i w:val="0"/>
          <w:sz w:val="22"/>
        </w:rPr>
        <w:t xml:space="preserve">Cada subcarpeta de </w:t>
      </w:r>
      <w:r>
        <w:rPr>
          <w:rFonts w:ascii="Consolas" w:hAnsi="Consolas"/>
          <w:sz w:val="20"/>
        </w:rPr>
        <w:t>assets/</w:t>
      </w:r>
      <w:r>
        <w:rPr>
          <w:rFonts w:ascii="Calibri" w:hAnsi="Calibri"/>
          <w:i w:val="0"/>
          <w:sz w:val="22"/>
        </w:rPr>
        <w:t xml:space="preserve"> contiene las capturas de pantalla numeradas que ilustran los pasos descritos en el manual correspondiente.</w:t>
      </w:r>
    </w:p>
    <w:p>
      <w:pPr>
        <w:pStyle w:val="Heading2"/>
      </w:pPr>
      <w:r>
        <w:rPr>
          <w:rFonts w:ascii="Calibri" w:hAnsi="Calibri"/>
          <w:color w:val="377CC0"/>
        </w:rPr>
        <w:t>Nota sobre las capturas</w:t>
      </w:r>
    </w:p>
    <w:p>
      <w:pPr>
        <w:spacing w:after="120"/>
      </w:pPr>
      <w:r>
        <w:rPr>
          <w:rFonts w:ascii="Calibri" w:hAnsi="Calibri"/>
          <w:i w:val="0"/>
          <w:sz w:val="22"/>
        </w:rPr>
        <w:t xml:space="preserve">Las capturas se generaron con el script </w:t>
      </w:r>
      <w:r>
        <w:rPr>
          <w:rFonts w:ascii="Calibri" w:hAnsi="Calibri"/>
          <w:color w:val="377CC0"/>
          <w:sz w:val="22"/>
        </w:rPr>
        <w:t>`scripts/generate-manual-screenshots.mjs`</w:t>
      </w:r>
      <w:r>
        <w:rPr>
          <w:rFonts w:ascii="Calibri" w:hAnsi="Calibri"/>
          <w:i w:val="0"/>
          <w:sz w:val="22"/>
        </w:rPr>
        <w:t>, que levanta el portal estático (</w:t>
      </w:r>
      <w:r>
        <w:rPr>
          <w:rFonts w:ascii="Consolas" w:hAnsi="Consolas"/>
          <w:sz w:val="20"/>
        </w:rPr>
        <w:t>scripts/portal-static-server.mjs</w:t>
      </w:r>
      <w:r>
        <w:rPr>
          <w:rFonts w:ascii="Calibri" w:hAnsi="Calibri"/>
          <w:i w:val="0"/>
          <w:sz w:val="22"/>
        </w:rPr>
        <w:t xml:space="preserve">), siembra datos de demostración en </w:t>
      </w:r>
      <w:r>
        <w:rPr>
          <w:rFonts w:ascii="Consolas" w:hAnsi="Consolas"/>
          <w:sz w:val="20"/>
        </w:rPr>
        <w:t>localStorage</w:t>
      </w:r>
      <w:r>
        <w:rPr>
          <w:rFonts w:ascii="Calibri" w:hAnsi="Calibri"/>
          <w:i w:val="0"/>
          <w:sz w:val="22"/>
        </w:rPr>
        <w:t xml:space="preserve"> y navega automáticamente por cada módulo con Playwright. Los datos (empresas, usuarios, viajes, empleados, etc.) son ficticios y sirven únicamente para ilustrar la interfaz real del portal.</w:t>
      </w:r>
    </w:p>
    <w:p>
      <w:pPr>
        <w:spacing w:after="120"/>
      </w:pPr>
      <w:r>
        <w:rPr>
          <w:rFonts w:ascii="Calibri" w:hAnsi="Calibri"/>
          <w:i w:val="0"/>
          <w:sz w:val="22"/>
        </w:rPr>
        <w:t>Para regenerar las capturas tras un cambio visual del portal:</w:t>
      </w:r>
    </w:p>
    <w:p>
      <w:pPr>
        <w:spacing w:after="120"/>
      </w:pPr>
      <w:r>
        <w:rPr>
          <w:rFonts w:ascii="Calibri" w:hAnsi="Calibri"/>
          <w:i w:val="0"/>
          <w:sz w:val="22"/>
        </w:rPr>
        <w:t>``</w:t>
      </w:r>
      <w:r>
        <w:rPr>
          <w:rFonts w:ascii="Consolas" w:hAnsi="Consolas"/>
          <w:sz w:val="20"/>
        </w:rPr>
        <w:t xml:space="preserve">bash node scripts/portal-static-server.mjs      # en una terminal node scripts/generate-manual-screenshots.mjs   # en otra terminal </w:t>
      </w:r>
      <w:r>
        <w:rPr>
          <w:rFonts w:ascii="Calibri" w:hAnsi="Calibri"/>
          <w:i w:val="0"/>
          <w:sz w:val="22"/>
        </w:rPr>
        <w:t>``</w:t>
      </w:r>
    </w:p>
    <w:p>
      <w:pPr>
        <w:spacing w:after="120"/>
      </w:pPr>
      <w:r>
        <w:rPr>
          <w:rFonts w:ascii="Calibri" w:hAnsi="Calibri"/>
          <w:i w:val="0"/>
          <w:sz w:val="22"/>
        </w:rPr>
        <w:t xml:space="preserve">Puede limitar la regeneración a módulos puntuales con la variable de entorno </w:t>
      </w:r>
      <w:r>
        <w:rPr>
          <w:rFonts w:ascii="Consolas" w:hAnsi="Consolas"/>
          <w:sz w:val="20"/>
        </w:rPr>
        <w:t>ONLY_SLUGS</w:t>
      </w:r>
      <w:r>
        <w:rPr>
          <w:rFonts w:ascii="Calibri" w:hAnsi="Calibri"/>
          <w:i w:val="0"/>
          <w:sz w:val="22"/>
        </w:rPr>
        <w:t xml:space="preserve"> (lista separada por comas con los nombres de carpeta de </w:t>
      </w:r>
      <w:r>
        <w:rPr>
          <w:rFonts w:ascii="Consolas" w:hAnsi="Consolas"/>
          <w:sz w:val="20"/>
        </w:rPr>
        <w:t>assets/</w:t>
      </w:r>
      <w:r>
        <w:rPr>
          <w:rFonts w:ascii="Calibri" w:hAnsi="Calibri"/>
          <w:i w:val="0"/>
          <w:sz w:val="22"/>
        </w:rPr>
        <w:t>), por ejemplo:</w:t>
      </w:r>
    </w:p>
    <w:p>
      <w:pPr>
        <w:spacing w:after="120"/>
      </w:pPr>
      <w:r>
        <w:rPr>
          <w:rFonts w:ascii="Calibri" w:hAnsi="Calibri"/>
          <w:i w:val="0"/>
          <w:sz w:val="22"/>
        </w:rPr>
        <w:t>``</w:t>
      </w:r>
      <w:r>
        <w:rPr>
          <w:rFonts w:ascii="Consolas" w:hAnsi="Consolas"/>
          <w:sz w:val="20"/>
        </w:rPr>
        <w:t xml:space="preserve">bash ONLY_SLUGS=dashboard,viajes node scripts/generate-manual-screenshots.mjs </w:t>
      </w:r>
      <w:r>
        <w:rPr>
          <w:rFonts w:ascii="Calibri" w:hAnsi="Calibri"/>
          <w:i w:val="0"/>
          <w:sz w:val="22"/>
        </w:rPr>
        <w:t>``</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A5A78"/>
        <w:sz w:val="18"/>
      </w:rPr>
      <w:t xml:space="preserve">Transportes Antares S.A.S — Índice de manuales  ·  Pág. </w:t>
    </w:r>
    <w:r>
      <w:fldChar w:fldCharType="begin"/>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B21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4A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77C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4A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