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49039" cy="2896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49039" cy="289698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377CC0" w:val="clear"/>
          </w:tcPr>
          <w:p>
            <w:r/>
          </w:p>
          <w:p>
            <w:pPr>
              <w:spacing w:after="40"/>
              <w:jc w:val="center"/>
            </w:pPr>
            <w:r>
              <w:rPr>
                <w:b/>
                <w:sz w:val="44"/>
              </w:rPr>
              <w:t>TRANSPORTES ANTARES S.A.S.</w:t>
            </w:r>
          </w:p>
          <w:p>
            <w:pPr>
              <w:spacing w:after="40"/>
              <w:jc w:val="center"/>
            </w:pPr>
            <w:r>
              <w:rPr>
                <w:b/>
                <w:sz w:val="26"/>
              </w:rPr>
              <w:t>Plataforma Web Integral — Arquitectura técnica y experiencia de usuario</w:t>
            </w:r>
          </w:p>
          <w:p>
            <w:pPr>
              <w:spacing w:after="40"/>
              <w:jc w:val="center"/>
            </w:pPr>
            <w:r>
              <w:rPr>
                <w:b w:val="0"/>
                <w:sz w:val="22"/>
              </w:rPr>
              <w:t>Estado AS-IS validado en código fuente · Mayo 2026</w:t>
            </w:r>
          </w:p>
        </w:tc>
      </w:tr>
    </w:tbl>
    <w:p/>
    <w:p>
      <w:pPr>
        <w:jc w:val="center"/>
      </w:pPr>
      <w:r>
        <w:rPr>
          <w:i/>
          <w:color w:val="3A5A78"/>
          <w:sz w:val="20"/>
        </w:rPr>
        <w:t>Versión 3.0  ·  16 de mayo de 2026  ·  Clasificación: Confidencial</w:t>
      </w:r>
    </w:p>
    <w:p>
      <w:pPr>
        <w:jc w:val="center"/>
      </w:pPr>
      <w:r>
        <w:rPr>
          <w:b/>
          <w:color w:val="D62828"/>
          <w:sz w:val="20"/>
        </w:rPr>
        <w:t>Entregable institucional — Comité técnico · Dirección · Cliente</w:t>
      </w:r>
    </w:p>
    <w:p>
      <w:r>
        <w:br w:type="page"/>
      </w:r>
    </w:p>
    <w:p>
      <w:pPr>
        <w:pStyle w:val="Heading1"/>
      </w:pPr>
      <w:r>
        <w:rPr>
          <w:color w:val="1E4A73"/>
        </w:rPr>
        <w:t>Índice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Sección</w:t>
            </w:r>
          </w:p>
        </w:tc>
        <w:tc>
          <w:tcPr>
            <w:tcW w:type="dxa" w:w="432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Pág. ref.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Resumen ejecutivo y métricas del sistema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Hoja de control documental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1. Propósito, audiencia y actores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2. Mapa funcional por módulo contractual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3. Portal operativo — vistas y roles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4. Marcos de referencia y diagramas C4-lite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5. Stack tecnológico y despliegue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16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6. Sistema de diseño UI/UX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17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7. Sincronización datos y API REST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8. Modelo de datos PostgreSQL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21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9. Atributos de calidad y pruebas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10. Roadmap, limitaciones y glosario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23</w:t>
            </w:r>
          </w:p>
        </w:tc>
      </w:tr>
    </w:tbl>
    <w:p/>
    <w:p>
      <w:pPr>
        <w:spacing w:after="240"/>
      </w:pPr>
      <w:r>
        <w:rPr>
          <w:rFonts w:ascii="Calibri" w:hAnsi="Calibri"/>
          <w:b w:val="0"/>
          <w:i/>
          <w:sz w:val="22"/>
        </w:rPr>
        <w:t>Nota: al abrir en Microsoft Word puede insertar tabla de contenido automática (Referencias → Tabla de contenido) usando los estilos Título 1–3 de este documento.</w:t>
      </w:r>
    </w:p>
    <w:p>
      <w:r>
        <w:br w:type="page"/>
      </w:r>
    </w:p>
    <w:p>
      <w:pPr>
        <w:pStyle w:val="Heading1"/>
      </w:pPr>
      <w:r>
        <w:rPr>
          <w:color w:val="1E4A73"/>
        </w:rPr>
        <w:t>Resumen ejecutivo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8F4FC" w:val="clear"/>
          </w:tcPr>
          <w:p>
            <w:r/>
            <w:r>
              <w:rPr>
                <w:rFonts w:ascii="Calibri" w:hAnsi="Calibri"/>
                <w:b/>
                <w:color w:val="1E4A73"/>
                <w:sz w:val="22"/>
              </w:rPr>
              <w:t>Hallazgo principal (validación 16 de mayo de 2026)</w:t>
            </w:r>
          </w:p>
          <w:p>
            <w:pPr>
              <w:spacing w:before="80"/>
            </w:pPr>
            <w:r>
              <w:rPr>
                <w:rFonts w:ascii="Calibri" w:hAnsi="Calibri"/>
                <w:color w:val="0B2138"/>
                <w:sz w:val="21"/>
              </w:rPr>
              <w:t>La plataforma Antares opera como solución full-stack integrada: sitio público B2B y portal autenticado multi-rol sobre un único SPA (`index.html` + `app.js` + `styles.css`), con persistencia autoritativa en PostgreSQL y API NestJS 10. Los cinco módulos del contrato tienen implementación funcional verificable; el trabajo restante se concentra en endurecimiento QA de producción, documentación OpenAPI formal y pulido de entregables finales.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Valor AS-IS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Migraciones SQL versionadas (`BD/postgres/`)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40 scripts numerados</w:t>
            </w:r>
          </w:p>
        </w:tc>
      </w:tr>
      <w:tr>
        <w:tc>
          <w:tcPr>
            <w:tcW w:type="dxa" w:w="432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Vistas de portal registradas</w:t>
            </w:r>
          </w:p>
        </w:tc>
        <w:tc>
          <w:tcPr>
            <w:tcW w:type="dxa" w:w="432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16 rutas en PortalArchitecture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Módulos NestJS (`AppModule`)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Auth · Portal · Payroll · Mail · Files · Uploads · B2B</w:t>
            </w:r>
          </w:p>
        </w:tc>
      </w:tr>
      <w:tr>
        <w:tc>
          <w:tcPr>
            <w:tcW w:type="dxa" w:w="432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Roles de negocio</w:t>
            </w:r>
          </w:p>
        </w:tc>
        <w:tc>
          <w:tcPr>
            <w:tcW w:type="dxa" w:w="432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Admin · Cliente · RRHH · Administración · Auxiliar · Líder admin.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Cliente canónico en producción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SPA raíz (`index.html`) — `apps/web` es workspace auxiliar</w:t>
            </w:r>
          </w:p>
        </w:tc>
      </w:tr>
      <w:tr>
        <w:tc>
          <w:tcPr>
            <w:tcW w:type="dxa" w:w="432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Pruebas automatizadas portal</w:t>
            </w:r>
          </w:p>
        </w:tc>
        <w:tc>
          <w:tcPr>
            <w:tcW w:type="dxa" w:w="432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`npm run test:portal-qa` · `npm run smoke:api`</w:t>
            </w:r>
          </w:p>
        </w:tc>
      </w:tr>
    </w:tbl>
    <w:p/>
    <w:p>
      <w:pPr>
        <w:pStyle w:val="ListBullet"/>
      </w:pPr>
      <w:r>
        <w:t>Arquitectura modular en el navegador: capas portal (`modules/portal/*`), dominio (`DomainRegistry`) y sincronización (`PortalDataLayer`, `portal-sync`).</w:t>
      </w:r>
    </w:p>
    <w:p>
      <w:pPr>
        <w:pStyle w:val="ListBullet"/>
      </w:pPr>
      <w:r>
        <w:t>API `/api/portal/bootstrap` hidrata el estado tras login; escrituras incrementales vía `POST /api/portal/sync-key`.</w:t>
      </w:r>
    </w:p>
    <w:p>
      <w:pPr>
        <w:pStyle w:val="ListBullet"/>
      </w:pPr>
      <w:r>
        <w:t>Seguridad: JWT + refresh rotativo, bcrypt, Cloudflare Turnstile, CSP, throttling 80 req/min, sesión BD en `America/Bogota`.</w:t>
      </w:r>
    </w:p>
    <w:p>
      <w:pPr>
        <w:pStyle w:val="ListBullet"/>
      </w:pPr>
      <w:r>
        <w:t>Almacenamiento de documentos: UploadsModule con R2/S3 presigned; correo transaccional Resend.</w:t>
      </w:r>
    </w:p>
    <w:p>
      <w:r>
        <w:br w:type="page"/>
      </w:r>
    </w:p>
    <w:p>
      <w:pPr>
        <w:pStyle w:val="Heading1"/>
      </w:pPr>
      <w:r>
        <w:rPr>
          <w:color w:val="1E4A73"/>
        </w:rPr>
        <w:t>Hoja de control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32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Título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Arquitectura técnica y UI/UX — Plataforma Antares (AS-IS)</w:t>
            </w:r>
          </w:p>
        </w:tc>
      </w:tr>
      <w:tr>
        <w:tc>
          <w:tcPr>
            <w:tcW w:type="dxa" w:w="432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Versión</w:t>
            </w:r>
          </w:p>
        </w:tc>
        <w:tc>
          <w:tcPr>
            <w:tcW w:type="dxa" w:w="432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3.0 — validada contra repositorio «Antares Nuevo»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Fecha de corte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16 de mayo de 2026</w:t>
            </w:r>
          </w:p>
        </w:tc>
      </w:tr>
      <w:tr>
        <w:tc>
          <w:tcPr>
            <w:tcW w:type="dxa" w:w="432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Clasificación</w:t>
            </w:r>
          </w:p>
        </w:tc>
        <w:tc>
          <w:tcPr>
            <w:tcW w:type="dxa" w:w="432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Confidencial — Transportes Antares S.A.S. y equipo autorizado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Generación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C:\Users\User\Documents\Antares Nuevo\docs\generar_arquitectura_uiux.py</w:t>
            </w:r>
          </w:p>
        </w:tc>
      </w:tr>
      <w:tr>
        <w:tc>
          <w:tcPr>
            <w:tcW w:type="dxa" w:w="432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Diagramas</w:t>
            </w:r>
          </w:p>
        </w:tc>
        <w:tc>
          <w:tcPr>
            <w:tcW w:type="dxa" w:w="432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Matplotlib 220 dpi → _diagramas_antares_build/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Logo portada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C:\Users\User\Documents\Antares Nuevo\imagenes empresa\Logo.png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E4A73"/>
        </w:rPr>
        <w:t>1. Propósito, audiencia y actores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Documento de arquitectura de solución en estado AS-IS: describe lo implementado y observable en el código, no un diseño objetivo futuro. Complementa el contrato y el Anexo A sin sustituir actas de recibo ni políticas corporativas de seguridad.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Actor</w:t>
            </w:r>
          </w:p>
        </w:tc>
        <w:tc>
          <w:tcPr>
            <w:tcW w:type="dxa" w:w="288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Preocupación</w:t>
            </w:r>
          </w:p>
        </w:tc>
        <w:tc>
          <w:tcPr>
            <w:tcW w:type="dxa" w:w="288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Componentes que atiende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Visitante / prospecto B2B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Confianza de marca, contacto comercial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Sitio público · formulario prospectos</w:t>
            </w:r>
          </w:p>
        </w:tc>
      </w:tr>
      <w:tr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Usuario empresa (cliente)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Solicitar y rastrear transporte de carga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Portal solicitudes · notificaciones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Operaciones / Admin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Asignar flota, aprobar en ventana legal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Transporte · autorizaciones · reportes</w:t>
            </w:r>
          </w:p>
        </w:tc>
      </w:tr>
      <w:tr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RRHH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Nómina legal Colombia · contratación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Payroll · hiring · cumplimiento SST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TI / Seguridad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Superficie de ataque, secretos, auditoría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API NestJS · RLS · headers · rate limit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E4A73"/>
        </w:rPr>
        <w:t>2. Mapa funcional por módulo contractual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Matriz de madurez alineada al Anexo A del contrato de desarrollo (cinco módulos + transversal).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32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108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936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Avance ref.</w:t>
            </w:r>
          </w:p>
        </w:tc>
        <w:tc>
          <w:tcPr>
            <w:tcW w:type="dxa" w:w="5112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Capacidades verificadas en código</w:t>
            </w:r>
          </w:p>
        </w:tc>
      </w:tr>
      <w:tr>
        <w:tc>
          <w:tcPr>
            <w:tcW w:type="dxa" w:w="2232"/>
          </w:tcPr>
          <w:p>
            <w:r/>
            <w:r>
              <w:rPr>
                <w:rFonts w:ascii="Calibri" w:hAnsi="Calibri"/>
                <w:b w:val="0"/>
                <w:sz w:val="19"/>
              </w:rPr>
              <w:t>Módulo 1 — Sitio corporativo público</w:t>
            </w:r>
          </w:p>
        </w:tc>
        <w:tc>
          <w:tcPr>
            <w:tcW w:type="dxa" w:w="1080"/>
          </w:tcPr>
          <w:p>
            <w:r/>
            <w:r>
              <w:rPr>
                <w:rFonts w:ascii="Calibri" w:hAnsi="Calibri"/>
                <w:b w:val="0"/>
                <w:sz w:val="19"/>
              </w:rPr>
              <w:t>Operativo</w:t>
            </w:r>
          </w:p>
        </w:tc>
        <w:tc>
          <w:tcPr>
            <w:tcW w:type="dxa" w:w="936"/>
          </w:tcPr>
          <w:p>
            <w:r/>
            <w:r>
              <w:rPr>
                <w:rFonts w:ascii="Calibri" w:hAnsi="Calibri"/>
                <w:b w:val="0"/>
                <w:sz w:val="19"/>
              </w:rPr>
              <w:t>100 %</w:t>
            </w:r>
          </w:p>
        </w:tc>
        <w:tc>
          <w:tcPr>
            <w:tcW w:type="dxa" w:w="5112"/>
          </w:tcPr>
          <w:p>
            <w:r/>
            <w:r>
              <w:rPr>
                <w:rFonts w:ascii="Calibri" w:hAnsi="Calibri"/>
                <w:b w:val="0"/>
                <w:sz w:val="19"/>
              </w:rPr>
              <w:t>Hero, about, servicios, flota, cobertura, noticias, empleos, contacto B2B, testimonios</w:t>
            </w:r>
          </w:p>
        </w:tc>
      </w:tr>
      <w:tr>
        <w:tc>
          <w:tcPr>
            <w:tcW w:type="dxa" w:w="2232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Módulo 2 — Portal clientes empresariales</w:t>
            </w:r>
          </w:p>
        </w:tc>
        <w:tc>
          <w:tcPr>
            <w:tcW w:type="dxa" w:w="10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Operativo</w:t>
            </w:r>
          </w:p>
        </w:tc>
        <w:tc>
          <w:tcPr>
            <w:tcW w:type="dxa" w:w="936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95 %</w:t>
            </w:r>
          </w:p>
        </w:tc>
        <w:tc>
          <w:tcPr>
            <w:tcW w:type="dxa" w:w="5112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JWT, registro con aprobación admin, solicitudes, estados, adjuntos, notificaciones</w:t>
            </w:r>
          </w:p>
        </w:tc>
      </w:tr>
      <w:tr>
        <w:tc>
          <w:tcPr>
            <w:tcW w:type="dxa" w:w="2232"/>
          </w:tcPr>
          <w:p>
            <w:r/>
            <w:r>
              <w:rPr>
                <w:rFonts w:ascii="Calibri" w:hAnsi="Calibri"/>
                <w:b w:val="0"/>
                <w:sz w:val="19"/>
              </w:rPr>
              <w:t>Módulo 3 — Panel administración</w:t>
            </w:r>
          </w:p>
        </w:tc>
        <w:tc>
          <w:tcPr>
            <w:tcW w:type="dxa" w:w="1080"/>
          </w:tcPr>
          <w:p>
            <w:r/>
            <w:r>
              <w:rPr>
                <w:rFonts w:ascii="Calibri" w:hAnsi="Calibri"/>
                <w:b w:val="0"/>
                <w:sz w:val="19"/>
              </w:rPr>
              <w:t>Operativo</w:t>
            </w:r>
          </w:p>
        </w:tc>
        <w:tc>
          <w:tcPr>
            <w:tcW w:type="dxa" w:w="936"/>
          </w:tcPr>
          <w:p>
            <w:r/>
            <w:r>
              <w:rPr>
                <w:rFonts w:ascii="Calibri" w:hAnsi="Calibri"/>
                <w:b w:val="0"/>
                <w:sz w:val="19"/>
              </w:rPr>
              <w:t>90 %</w:t>
            </w:r>
          </w:p>
        </w:tc>
        <w:tc>
          <w:tcPr>
            <w:tcW w:type="dxa" w:w="5112"/>
          </w:tcPr>
          <w:p>
            <w:r/>
            <w:r>
              <w:rPr>
                <w:rFonts w:ascii="Calibri" w:hAnsi="Calibri"/>
                <w:b w:val="0"/>
                <w:sz w:val="19"/>
              </w:rPr>
              <w:t>Flota, conductores, viajes, calendario, historial, reportes, aprobaciones 10 min</w:t>
            </w:r>
          </w:p>
        </w:tc>
      </w:tr>
      <w:tr>
        <w:tc>
          <w:tcPr>
            <w:tcW w:type="dxa" w:w="2232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Módulo 4 — Nómina RRHH</w:t>
            </w:r>
          </w:p>
        </w:tc>
        <w:tc>
          <w:tcPr>
            <w:tcW w:type="dxa" w:w="10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Operativo</w:t>
            </w:r>
          </w:p>
        </w:tc>
        <w:tc>
          <w:tcPr>
            <w:tcW w:type="dxa" w:w="936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85 %</w:t>
            </w:r>
          </w:p>
        </w:tc>
        <w:tc>
          <w:tcPr>
            <w:tcW w:type="dxa" w:w="5112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Liquidación CO, períodos extendidos, prima/terminación, PDF, exportación</w:t>
            </w:r>
          </w:p>
        </w:tc>
      </w:tr>
      <w:tr>
        <w:tc>
          <w:tcPr>
            <w:tcW w:type="dxa" w:w="2232"/>
          </w:tcPr>
          <w:p>
            <w:r/>
            <w:r>
              <w:rPr>
                <w:rFonts w:ascii="Calibri" w:hAnsi="Calibri"/>
                <w:b w:val="0"/>
                <w:sz w:val="19"/>
              </w:rPr>
              <w:t>Módulo 5 — Contratación RRHH</w:t>
            </w:r>
          </w:p>
        </w:tc>
        <w:tc>
          <w:tcPr>
            <w:tcW w:type="dxa" w:w="1080"/>
          </w:tcPr>
          <w:p>
            <w:r/>
            <w:r>
              <w:rPr>
                <w:rFonts w:ascii="Calibri" w:hAnsi="Calibri"/>
                <w:b w:val="0"/>
                <w:sz w:val="19"/>
              </w:rPr>
              <w:t>Operativo</w:t>
            </w:r>
          </w:p>
        </w:tc>
        <w:tc>
          <w:tcPr>
            <w:tcW w:type="dxa" w:w="936"/>
          </w:tcPr>
          <w:p>
            <w:r/>
            <w:r>
              <w:rPr>
                <w:rFonts w:ascii="Calibri" w:hAnsi="Calibri"/>
                <w:b w:val="0"/>
                <w:sz w:val="19"/>
              </w:rPr>
              <w:t>80 %</w:t>
            </w:r>
          </w:p>
        </w:tc>
        <w:tc>
          <w:tcPr>
            <w:tcW w:type="dxa" w:w="5112"/>
          </w:tcPr>
          <w:p>
            <w:r/>
            <w:r>
              <w:rPr>
                <w:rFonts w:ascii="Calibri" w:hAnsi="Calibri"/>
                <w:b w:val="0"/>
                <w:sz w:val="19"/>
              </w:rPr>
              <w:t>Vacantes, pipeline selección, CV descarga API, contratos desde plantilla</w:t>
            </w:r>
          </w:p>
        </w:tc>
      </w:tr>
      <w:tr>
        <w:tc>
          <w:tcPr>
            <w:tcW w:type="dxa" w:w="2232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Transversal — API + datos + seguridad</w:t>
            </w:r>
          </w:p>
        </w:tc>
        <w:tc>
          <w:tcPr>
            <w:tcW w:type="dxa" w:w="10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Operativo</w:t>
            </w:r>
          </w:p>
        </w:tc>
        <w:tc>
          <w:tcPr>
            <w:tcW w:type="dxa" w:w="936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90 %</w:t>
            </w:r>
          </w:p>
        </w:tc>
        <w:tc>
          <w:tcPr>
            <w:tcW w:type="dxa" w:w="5112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NestJS 10, PostgreSQL 36+ migraciones, R2, Turnstile, RLS opcional Supabase</w:t>
            </w:r>
          </w:p>
        </w:tc>
      </w:tr>
    </w:tbl>
    <w:p/>
    <w:p>
      <w:pPr>
        <w:pStyle w:val="Heading2"/>
      </w:pPr>
      <w:r>
        <w:rPr>
          <w:color w:val="377CC0"/>
        </w:rPr>
        <w:t>2.1 Sitio público — secciones (`index.html`)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Anchor</w:t>
            </w:r>
          </w:p>
        </w:tc>
        <w:tc>
          <w:tcPr>
            <w:tcW w:type="dxa" w:w="288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Sección</w:t>
            </w:r>
          </w:p>
        </w:tc>
        <w:tc>
          <w:tcPr>
            <w:tcW w:type="dxa" w:w="288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Contenido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#hero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Hero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Propuesta de valor · CTA contacto / portal</w:t>
            </w:r>
          </w:p>
        </w:tc>
      </w:tr>
      <w:tr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#about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Quiénes somos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Misión, visión, valores (CMS vía admin)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#trusted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Confianza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Logos / partners</w:t>
            </w:r>
          </w:p>
        </w:tc>
      </w:tr>
      <w:tr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#testimonials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Testimonios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Carrusel reseñas clientes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#services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Servicios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Transporte general y especializado</w:t>
            </w:r>
          </w:p>
        </w:tc>
      </w:tr>
      <w:tr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#fleet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Flota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Turbo, camión, tractocamión, refrigeración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#process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Proceso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Pasos operativos de contratación</w:t>
            </w:r>
          </w:p>
        </w:tc>
      </w:tr>
      <w:tr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#coverage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Cobertura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Rutas y territorios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#news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Noticias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Novedades corporativas</w:t>
            </w:r>
          </w:p>
        </w:tc>
      </w:tr>
      <w:tr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#careers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Empleos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Enlace a vacantes / portal RRHH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#contact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Contacto B2B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Formulario → API `b2b-prospect`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E4A73"/>
        </w:rPr>
        <w:t>3. Portal operativo — vistas y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656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ID vista</w:t>
            </w:r>
          </w:p>
        </w:tc>
        <w:tc>
          <w:tcPr>
            <w:tcW w:type="dxa" w:w="1944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Título en UI</w:t>
            </w:r>
          </w:p>
        </w:tc>
        <w:tc>
          <w:tcPr>
            <w:tcW w:type="dxa" w:w="1512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Acceso</w:t>
            </w:r>
          </w:p>
        </w:tc>
        <w:tc>
          <w:tcPr>
            <w:tcW w:type="dxa" w:w="4248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Función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Calibri" w:hAnsi="Calibri"/>
                <w:b w:val="0"/>
                <w:sz w:val="19"/>
              </w:rPr>
              <w:t>dashboard</w:t>
            </w:r>
          </w:p>
        </w:tc>
        <w:tc>
          <w:tcPr>
            <w:tcW w:type="dxa" w:w="1944"/>
          </w:tcPr>
          <w:p>
            <w:r/>
            <w:r>
              <w:rPr>
                <w:rFonts w:ascii="Calibri" w:hAnsi="Calibri"/>
                <w:b w:val="0"/>
                <w:sz w:val="19"/>
              </w:rPr>
              <w:t>Dashboard</w:t>
            </w:r>
          </w:p>
        </w:tc>
        <w:tc>
          <w:tcPr>
            <w:tcW w:type="dxa" w:w="1512"/>
          </w:tcPr>
          <w:p>
            <w:r/>
            <w:r>
              <w:rPr>
                <w:rFonts w:ascii="Calibri" w:hAnsi="Calibri"/>
                <w:b w:val="0"/>
                <w:sz w:val="19"/>
              </w:rPr>
              <w:t>Cualquier rol autenticado</w:t>
            </w:r>
          </w:p>
        </w:tc>
        <w:tc>
          <w:tcPr>
            <w:tcW w:type="dxa" w:w="4248"/>
          </w:tcPr>
          <w:p>
            <w:r/>
            <w:r>
              <w:rPr>
                <w:rFonts w:ascii="Calibri" w:hAnsi="Calibri"/>
                <w:b w:val="0"/>
                <w:sz w:val="19"/>
              </w:rPr>
              <w:t>KPIs operativos y accesos rápidos</w:t>
            </w:r>
          </w:p>
        </w:tc>
      </w:tr>
      <w:tr>
        <w:tc>
          <w:tcPr>
            <w:tcW w:type="dxa" w:w="1656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requests</w:t>
            </w:r>
          </w:p>
        </w:tc>
        <w:tc>
          <w:tcPr>
            <w:tcW w:type="dxa" w:w="1944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Solicitudes</w:t>
            </w:r>
          </w:p>
        </w:tc>
        <w:tc>
          <w:tcPr>
            <w:tcW w:type="dxa" w:w="1512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Cliente · Admin</w:t>
            </w:r>
          </w:p>
        </w:tc>
        <w:tc>
          <w:tcPr>
            <w:tcW w:type="dxa" w:w="4248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Crear y listar solicitudes de transporte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Calibri" w:hAnsi="Calibri"/>
                <w:b w:val="0"/>
                <w:sz w:val="19"/>
              </w:rPr>
              <w:t>transport-trips</w:t>
            </w:r>
          </w:p>
        </w:tc>
        <w:tc>
          <w:tcPr>
            <w:tcW w:type="dxa" w:w="1944"/>
          </w:tcPr>
          <w:p>
            <w:r/>
            <w:r>
              <w:rPr>
                <w:rFonts w:ascii="Calibri" w:hAnsi="Calibri"/>
                <w:b w:val="0"/>
                <w:sz w:val="19"/>
              </w:rPr>
              <w:t>Transporte · Viajes</w:t>
            </w:r>
          </w:p>
        </w:tc>
        <w:tc>
          <w:tcPr>
            <w:tcW w:type="dxa" w:w="1512"/>
          </w:tcPr>
          <w:p>
            <w:r/>
            <w:r>
              <w:rPr>
                <w:rFonts w:ascii="Calibri" w:hAnsi="Calibri"/>
                <w:b w:val="0"/>
                <w:sz w:val="19"/>
              </w:rPr>
              <w:t>Admin</w:t>
            </w:r>
          </w:p>
        </w:tc>
        <w:tc>
          <w:tcPr>
            <w:tcW w:type="dxa" w:w="4248"/>
          </w:tcPr>
          <w:p>
            <w:r/>
            <w:r>
              <w:rPr>
                <w:rFonts w:ascii="Calibri" w:hAnsi="Calibri"/>
                <w:b w:val="0"/>
                <w:sz w:val="19"/>
              </w:rPr>
              <w:t>Viajes activos y asignación</w:t>
            </w:r>
          </w:p>
        </w:tc>
      </w:tr>
      <w:tr>
        <w:tc>
          <w:tcPr>
            <w:tcW w:type="dxa" w:w="1656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transport-vehicles</w:t>
            </w:r>
          </w:p>
        </w:tc>
        <w:tc>
          <w:tcPr>
            <w:tcW w:type="dxa" w:w="1944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Transporte · Camiones</w:t>
            </w:r>
          </w:p>
        </w:tc>
        <w:tc>
          <w:tcPr>
            <w:tcW w:type="dxa" w:w="1512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Admin</w:t>
            </w:r>
          </w:p>
        </w:tc>
        <w:tc>
          <w:tcPr>
            <w:tcW w:type="dxa" w:w="4248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Flota, disponibilidad, satélite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Calibri" w:hAnsi="Calibri"/>
                <w:b w:val="0"/>
                <w:sz w:val="19"/>
              </w:rPr>
              <w:t>transport-drivers</w:t>
            </w:r>
          </w:p>
        </w:tc>
        <w:tc>
          <w:tcPr>
            <w:tcW w:type="dxa" w:w="1944"/>
          </w:tcPr>
          <w:p>
            <w:r/>
            <w:r>
              <w:rPr>
                <w:rFonts w:ascii="Calibri" w:hAnsi="Calibri"/>
                <w:b w:val="0"/>
                <w:sz w:val="19"/>
              </w:rPr>
              <w:t>Transporte · Conductores</w:t>
            </w:r>
          </w:p>
        </w:tc>
        <w:tc>
          <w:tcPr>
            <w:tcW w:type="dxa" w:w="1512"/>
          </w:tcPr>
          <w:p>
            <w:r/>
            <w:r>
              <w:rPr>
                <w:rFonts w:ascii="Calibri" w:hAnsi="Calibri"/>
                <w:b w:val="0"/>
                <w:sz w:val="19"/>
              </w:rPr>
              <w:t>Admin</w:t>
            </w:r>
          </w:p>
        </w:tc>
        <w:tc>
          <w:tcPr>
            <w:tcW w:type="dxa" w:w="4248"/>
          </w:tcPr>
          <w:p>
            <w:r/>
            <w:r>
              <w:rPr>
                <w:rFonts w:ascii="Calibri" w:hAnsi="Calibri"/>
                <w:b w:val="0"/>
                <w:sz w:val="19"/>
              </w:rPr>
              <w:t>Licencias, fotos, disponibilidad</w:t>
            </w:r>
          </w:p>
        </w:tc>
      </w:tr>
      <w:tr>
        <w:tc>
          <w:tcPr>
            <w:tcW w:type="dxa" w:w="1656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transport-calendar</w:t>
            </w:r>
          </w:p>
        </w:tc>
        <w:tc>
          <w:tcPr>
            <w:tcW w:type="dxa" w:w="1944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Transporte · Calendario</w:t>
            </w:r>
          </w:p>
        </w:tc>
        <w:tc>
          <w:tcPr>
            <w:tcW w:type="dxa" w:w="1512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Admin</w:t>
            </w:r>
          </w:p>
        </w:tc>
        <w:tc>
          <w:tcPr>
            <w:tcW w:type="dxa" w:w="4248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Agenda y solapes horarios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Calibri" w:hAnsi="Calibri"/>
                <w:b w:val="0"/>
                <w:sz w:val="19"/>
              </w:rPr>
              <w:t>history</w:t>
            </w:r>
          </w:p>
        </w:tc>
        <w:tc>
          <w:tcPr>
            <w:tcW w:type="dxa" w:w="1944"/>
          </w:tcPr>
          <w:p>
            <w:r/>
            <w:r>
              <w:rPr>
                <w:rFonts w:ascii="Calibri" w:hAnsi="Calibri"/>
                <w:b w:val="0"/>
                <w:sz w:val="19"/>
              </w:rPr>
              <w:t>Historial y reportes</w:t>
            </w:r>
          </w:p>
        </w:tc>
        <w:tc>
          <w:tcPr>
            <w:tcW w:type="dxa" w:w="1512"/>
          </w:tcPr>
          <w:p>
            <w:r/>
            <w:r>
              <w:rPr>
                <w:rFonts w:ascii="Calibri" w:hAnsi="Calibri"/>
                <w:b w:val="0"/>
                <w:sz w:val="19"/>
              </w:rPr>
              <w:t>Admin</w:t>
            </w:r>
          </w:p>
        </w:tc>
        <w:tc>
          <w:tcPr>
            <w:tcW w:type="dxa" w:w="4248"/>
          </w:tcPr>
          <w:p>
            <w:r/>
            <w:r>
              <w:rPr>
                <w:rFonts w:ascii="Calibri" w:hAnsi="Calibri"/>
                <w:b w:val="0"/>
                <w:sz w:val="19"/>
              </w:rPr>
              <w:t>Filtros por fecha, cliente, estado</w:t>
            </w:r>
          </w:p>
        </w:tc>
      </w:tr>
      <w:tr>
        <w:tc>
          <w:tcPr>
            <w:tcW w:type="dxa" w:w="1656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reports</w:t>
            </w:r>
          </w:p>
        </w:tc>
        <w:tc>
          <w:tcPr>
            <w:tcW w:type="dxa" w:w="1944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Centro de reportería</w:t>
            </w:r>
          </w:p>
        </w:tc>
        <w:tc>
          <w:tcPr>
            <w:tcW w:type="dxa" w:w="1512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Admin · RRHH</w:t>
            </w:r>
          </w:p>
        </w:tc>
        <w:tc>
          <w:tcPr>
            <w:tcW w:type="dxa" w:w="4248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Métricas operativas consolidadas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Calibri" w:hAnsi="Calibri"/>
                <w:b w:val="0"/>
                <w:sz w:val="19"/>
              </w:rPr>
              <w:t>payroll</w:t>
            </w:r>
          </w:p>
        </w:tc>
        <w:tc>
          <w:tcPr>
            <w:tcW w:type="dxa" w:w="1944"/>
          </w:tcPr>
          <w:p>
            <w:r/>
            <w:r>
              <w:rPr>
                <w:rFonts w:ascii="Calibri" w:hAnsi="Calibri"/>
                <w:b w:val="0"/>
                <w:sz w:val="19"/>
              </w:rPr>
              <w:t>Gestión humana / Nómina</w:t>
            </w:r>
          </w:p>
        </w:tc>
        <w:tc>
          <w:tcPr>
            <w:tcW w:type="dxa" w:w="1512"/>
          </w:tcPr>
          <w:p>
            <w:r/>
            <w:r>
              <w:rPr>
                <w:rFonts w:ascii="Calibri" w:hAnsi="Calibri"/>
                <w:b w:val="0"/>
                <w:sz w:val="19"/>
              </w:rPr>
              <w:t>RRHH</w:t>
            </w:r>
          </w:p>
        </w:tc>
        <w:tc>
          <w:tcPr>
            <w:tcW w:type="dxa" w:w="4248"/>
          </w:tcPr>
          <w:p>
            <w:r/>
            <w:r>
              <w:rPr>
                <w:rFonts w:ascii="Calibri" w:hAnsi="Calibri"/>
                <w:b w:val="0"/>
                <w:sz w:val="19"/>
              </w:rPr>
              <w:t>Empleados, liquidación, desprendibles</w:t>
            </w:r>
          </w:p>
        </w:tc>
      </w:tr>
      <w:tr>
        <w:tc>
          <w:tcPr>
            <w:tcW w:type="dxa" w:w="1656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hiring</w:t>
            </w:r>
          </w:p>
        </w:tc>
        <w:tc>
          <w:tcPr>
            <w:tcW w:type="dxa" w:w="1944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Contratación</w:t>
            </w:r>
          </w:p>
        </w:tc>
        <w:tc>
          <w:tcPr>
            <w:tcW w:type="dxa" w:w="1512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RRHH</w:t>
            </w:r>
          </w:p>
        </w:tc>
        <w:tc>
          <w:tcPr>
            <w:tcW w:type="dxa" w:w="4248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Vacantes, candidatos, entrevistas, contratos DOCX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Calibri" w:hAnsi="Calibri"/>
                <w:b w:val="0"/>
                <w:sz w:val="19"/>
              </w:rPr>
              <w:t>labor-compliance</w:t>
            </w:r>
          </w:p>
        </w:tc>
        <w:tc>
          <w:tcPr>
            <w:tcW w:type="dxa" w:w="1944"/>
          </w:tcPr>
          <w:p>
            <w:r/>
            <w:r>
              <w:rPr>
                <w:rFonts w:ascii="Calibri" w:hAnsi="Calibri"/>
                <w:b w:val="0"/>
                <w:sz w:val="19"/>
              </w:rPr>
              <w:t>Cumplimiento laboral y SST</w:t>
            </w:r>
          </w:p>
        </w:tc>
        <w:tc>
          <w:tcPr>
            <w:tcW w:type="dxa" w:w="1512"/>
          </w:tcPr>
          <w:p>
            <w:r/>
            <w:r>
              <w:rPr>
                <w:rFonts w:ascii="Calibri" w:hAnsi="Calibri"/>
                <w:b w:val="0"/>
                <w:sz w:val="19"/>
              </w:rPr>
              <w:t>RRHH</w:t>
            </w:r>
          </w:p>
        </w:tc>
        <w:tc>
          <w:tcPr>
            <w:tcW w:type="dxa" w:w="4248"/>
          </w:tcPr>
          <w:p>
            <w:r/>
            <w:r>
              <w:rPr>
                <w:rFonts w:ascii="Calibri" w:hAnsi="Calibri"/>
                <w:b w:val="0"/>
                <w:sz w:val="19"/>
              </w:rPr>
              <w:t>Exámenes ocupacionales, intravehicular</w:t>
            </w:r>
          </w:p>
        </w:tc>
      </w:tr>
      <w:tr>
        <w:tc>
          <w:tcPr>
            <w:tcW w:type="dxa" w:w="1656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admin-users</w:t>
            </w:r>
          </w:p>
        </w:tc>
        <w:tc>
          <w:tcPr>
            <w:tcW w:type="dxa" w:w="1944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Usuarios y permisos</w:t>
            </w:r>
          </w:p>
        </w:tc>
        <w:tc>
          <w:tcPr>
            <w:tcW w:type="dxa" w:w="1512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Admin</w:t>
            </w:r>
          </w:p>
        </w:tc>
        <w:tc>
          <w:tcPr>
            <w:tcW w:type="dxa" w:w="4248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Altas, roles, sesiones, credenciales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Calibri" w:hAnsi="Calibri"/>
                <w:b w:val="0"/>
                <w:sz w:val="19"/>
              </w:rPr>
              <w:t>authorizations</w:t>
            </w:r>
          </w:p>
        </w:tc>
        <w:tc>
          <w:tcPr>
            <w:tcW w:type="dxa" w:w="1944"/>
          </w:tcPr>
          <w:p>
            <w:r/>
            <w:r>
              <w:rPr>
                <w:rFonts w:ascii="Calibri" w:hAnsi="Calibri"/>
                <w:b w:val="0"/>
                <w:sz w:val="19"/>
              </w:rPr>
              <w:t>Centro de aprobaciones</w:t>
            </w:r>
          </w:p>
        </w:tc>
        <w:tc>
          <w:tcPr>
            <w:tcW w:type="dxa" w:w="1512"/>
          </w:tcPr>
          <w:p>
            <w:r/>
            <w:r>
              <w:rPr>
                <w:rFonts w:ascii="Calibri" w:hAnsi="Calibri"/>
                <w:b w:val="0"/>
                <w:sz w:val="19"/>
              </w:rPr>
              <w:t>Admin</w:t>
            </w:r>
          </w:p>
        </w:tc>
        <w:tc>
          <w:tcPr>
            <w:tcW w:type="dxa" w:w="4248"/>
          </w:tcPr>
          <w:p>
            <w:r/>
            <w:r>
              <w:rPr>
                <w:rFonts w:ascii="Calibri" w:hAnsi="Calibri"/>
                <w:b w:val="0"/>
                <w:sz w:val="19"/>
              </w:rPr>
              <w:t>Ventana 10 min · auto-aprobación</w:t>
            </w:r>
          </w:p>
        </w:tc>
      </w:tr>
      <w:tr>
        <w:tc>
          <w:tcPr>
            <w:tcW w:type="dxa" w:w="1656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contact-leads</w:t>
            </w:r>
          </w:p>
        </w:tc>
        <w:tc>
          <w:tcPr>
            <w:tcW w:type="dxa" w:w="1944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Contacto web B2B</w:t>
            </w:r>
          </w:p>
        </w:tc>
        <w:tc>
          <w:tcPr>
            <w:tcW w:type="dxa" w:w="1512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Admin · permiso contact_b2b</w:t>
            </w:r>
          </w:p>
        </w:tc>
        <w:tc>
          <w:tcPr>
            <w:tcW w:type="dxa" w:w="4248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Prospectos formulario público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Calibri" w:hAnsi="Calibri"/>
                <w:b w:val="0"/>
                <w:sz w:val="19"/>
              </w:rPr>
              <w:t>profile</w:t>
            </w:r>
          </w:p>
        </w:tc>
        <w:tc>
          <w:tcPr>
            <w:tcW w:type="dxa" w:w="1944"/>
          </w:tcPr>
          <w:p>
            <w:r/>
            <w:r>
              <w:rPr>
                <w:rFonts w:ascii="Calibri" w:hAnsi="Calibri"/>
                <w:b w:val="0"/>
                <w:sz w:val="19"/>
              </w:rPr>
              <w:t>Mi perfil</w:t>
            </w:r>
          </w:p>
        </w:tc>
        <w:tc>
          <w:tcPr>
            <w:tcW w:type="dxa" w:w="1512"/>
          </w:tcPr>
          <w:p>
            <w:r/>
            <w:r>
              <w:rPr>
                <w:rFonts w:ascii="Calibri" w:hAnsi="Calibri"/>
                <w:b w:val="0"/>
                <w:sz w:val="19"/>
              </w:rPr>
              <w:t>Todos</w:t>
            </w:r>
          </w:p>
        </w:tc>
        <w:tc>
          <w:tcPr>
            <w:tcW w:type="dxa" w:w="4248"/>
          </w:tcPr>
          <w:p>
            <w:r/>
            <w:r>
              <w:rPr>
                <w:rFonts w:ascii="Calibri" w:hAnsi="Calibri"/>
                <w:b w:val="0"/>
                <w:sz w:val="19"/>
              </w:rPr>
              <w:t>Datos de cuenta y preferencias</w:t>
            </w:r>
          </w:p>
        </w:tc>
      </w:tr>
      <w:tr>
        <w:tc>
          <w:tcPr>
            <w:tcW w:type="dxa" w:w="1656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notifications</w:t>
            </w:r>
          </w:p>
        </w:tc>
        <w:tc>
          <w:tcPr>
            <w:tcW w:type="dxa" w:w="1944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Notificaciones</w:t>
            </w:r>
          </w:p>
        </w:tc>
        <w:tc>
          <w:tcPr>
            <w:tcW w:type="dxa" w:w="1512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Todos</w:t>
            </w:r>
          </w:p>
        </w:tc>
        <w:tc>
          <w:tcPr>
            <w:tcW w:type="dxa" w:w="4248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Bandeja, sonido, preferencias push/correo</w:t>
            </w:r>
          </w:p>
        </w:tc>
      </w:tr>
    </w:tbl>
    <w:p/>
    <w:p>
      <w:pPr>
        <w:spacing w:after="120"/>
      </w:pPr>
      <w:r>
        <w:rPr>
          <w:rFonts w:ascii="Calibri" w:hAnsi="Calibri"/>
          <w:b w:val="0"/>
          <w:i w:val="0"/>
          <w:sz w:val="22"/>
        </w:rPr>
        <w:t>Patrones UX transversales del portal: shell modular con `fleet-hero-strip`, barras de comando `.ops-command-bar`, tablas responsivas `.table-wrap`, estados vacíos `.empty-state`, tema claro/oscuro `data-theme` y navegación lateral con badges de notificación.</w:t>
      </w:r>
    </w:p>
    <w:p>
      <w:r>
        <w:br w:type="page"/>
      </w:r>
    </w:p>
    <w:p>
      <w:pPr>
        <w:pStyle w:val="Heading1"/>
      </w:pPr>
      <w:r>
        <w:rPr>
          <w:color w:val="1E4A73"/>
        </w:rPr>
        <w:t>4. Marcos de referencia y diagramas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Vistas inspiradas en ISO/IEC/IEEE 42010 y notación C4 (niveles 1–3 simplificados). Figuras generadas automáticamente para auditoría reproducible.</w:t>
      </w:r>
    </w:p>
    <w:p>
      <w:pPr>
        <w:pStyle w:val="Heading2"/>
      </w:pPr>
      <w:r>
        <w:rPr>
          <w:color w:val="377CC0"/>
        </w:rPr>
        <w:t>4.1 Vista contextual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4177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_contexto_siste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17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3A5A78"/>
          <w:sz w:val="18"/>
        </w:rPr>
        <w:t>Figura A — Actores, frontera del sistema y sistemas externos.</w:t>
      </w:r>
    </w:p>
    <w:p>
      <w:pPr>
        <w:pStyle w:val="Heading2"/>
      </w:pPr>
      <w:r>
        <w:rPr>
          <w:color w:val="377CC0"/>
        </w:rPr>
        <w:t>4.2 Vista de contenedores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8137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_contenedo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81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3A5A78"/>
          <w:sz w:val="18"/>
        </w:rPr>
        <w:t>Figura B — SPA, CDN, API NestJS, PostgreSQL y object storage.</w:t>
      </w:r>
    </w:p>
    <w:p>
      <w:r>
        <w:br w:type="page"/>
      </w:r>
    </w:p>
    <w:p>
      <w:pPr>
        <w:pStyle w:val="Heading2"/>
      </w:pPr>
      <w:r>
        <w:rPr>
          <w:color w:val="377CC0"/>
        </w:rPr>
        <w:t>4.3 Vista de despliegue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1901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_despliegue_nub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190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3A5A78"/>
          <w:sz w:val="18"/>
        </w:rPr>
        <w:t>Figura C — Patrón Cloudflare + API + Postgres administrado (Supabase/Render).</w:t>
      </w:r>
    </w:p>
    <w:p>
      <w:pPr>
        <w:pStyle w:val="Heading2"/>
      </w:pPr>
      <w:r>
        <w:rPr>
          <w:color w:val="377CC0"/>
        </w:rPr>
        <w:t>4.4 Componentes backend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2408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_componentes_ap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240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3A5A78"/>
          <w:sz w:val="18"/>
        </w:rPr>
        <w:t>Figura D — Módulos NestJS 10 desplegados bajo prefijo `/api`.</w:t>
      </w:r>
    </w:p>
    <w:p>
      <w:pPr>
        <w:pStyle w:val="Heading2"/>
      </w:pPr>
      <w:r>
        <w:rPr>
          <w:color w:val="377CC0"/>
        </w:rPr>
        <w:t>4.5 Contextos de dominio / datos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0497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_contextos_dat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04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3A5A78"/>
          <w:sz w:val="18"/>
        </w:rPr>
        <w:t>Figura E — Bounded contexts alineados al DDL `BD/postgres/`.</w:t>
      </w:r>
    </w:p>
    <w:p>
      <w:r>
        <w:br w:type="page"/>
      </w:r>
    </w:p>
    <w:p>
      <w:pPr>
        <w:pStyle w:val="Heading2"/>
      </w:pPr>
      <w:r>
        <w:rPr>
          <w:color w:val="377CC0"/>
        </w:rPr>
        <w:t>4.6 Seguridad en profundidad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97880" cy="29829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_capas_segurid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982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3A5A78"/>
          <w:sz w:val="18"/>
        </w:rPr>
        <w:t>Figura F — Controles desde perímetro CDN hasta integridad en BD.</w:t>
      </w:r>
    </w:p>
    <w:p>
      <w:r>
        <w:br w:type="page"/>
      </w:r>
    </w:p>
    <w:p>
      <w:pPr>
        <w:pStyle w:val="Heading1"/>
      </w:pPr>
      <w:r>
        <w:rPr>
          <w:color w:val="1E4A73"/>
        </w:rPr>
        <w:t>5. Stack tecnológico y despliegue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Capa</w:t>
            </w:r>
          </w:p>
        </w:tc>
        <w:tc>
          <w:tcPr>
            <w:tcW w:type="dxa" w:w="288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Tecnología AS-IS</w:t>
            </w:r>
          </w:p>
        </w:tc>
        <w:tc>
          <w:tcPr>
            <w:tcW w:type="dxa" w:w="288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Ubicación / 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Frontend principal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HTML5 · CSS3 · JavaScript ES modules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`index.html` · `app.js` · `styles.css` · `modules/`</w:t>
            </w:r>
          </w:p>
        </w:tc>
      </w:tr>
      <w:tr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Frontend auxiliar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Next.js (workspace `apps/web`)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Módulos espejo parciales — no canónico en prod.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Backend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Node.js 20+ · NestJS 10 · TypeScript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`apps/api` — build `tsc`</w:t>
            </w:r>
          </w:p>
        </w:tc>
      </w:tr>
      <w:tr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Base de datos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PostgreSQL 15+ · `pg` pool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Scripts `BD/postgres/` · TZ sesión Bogotá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Auth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Passport JWT · refresh hash en `usuarios`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`apps/api/src/auth`</w:t>
            </w:r>
          </w:p>
        </w:tc>
      </w:tr>
      <w:tr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Archivos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AWS SDK S3 · Cloudflare R2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`apps/api/src/uploads/r2.service.ts`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Correo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Resend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`MailModule`</w:t>
            </w:r>
          </w:p>
        </w:tc>
      </w:tr>
      <w:tr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Edge / DNS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Cloudflare Pages + Tunnel (documentado)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`.cfignore` · runbooks en `docs/`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Opcional BD host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Supabase (Auth, Storage, RLS)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Scripts `09_rls_tablas.sql`, `10_rls_storage`</w:t>
            </w:r>
          </w:p>
        </w:tc>
      </w:tr>
    </w:tbl>
    <w:p/>
    <w:p>
      <w:pPr>
        <w:pStyle w:val="Heading1"/>
      </w:pPr>
      <w:r>
        <w:rPr>
          <w:color w:val="1E4A73"/>
        </w:rPr>
        <w:t>6. Sistema de diseño UI/UX institucional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Tokens de marca centralizados en `:root` de `styles.css` — coherencia entre sitio público y portal.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Token / rol</w:t>
            </w:r>
          </w:p>
        </w:tc>
        <w:tc>
          <w:tcPr>
            <w:tcW w:type="dxa" w:w="288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--brand-blue-deep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#377CC0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Primario · botones · acentos módulo</w:t>
            </w:r>
          </w:p>
        </w:tc>
      </w:tr>
      <w:tr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--brand-blue-mid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#83BEE9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Gradientes · hover · acento secundario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--gradient-hero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135° deep → mid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Hero sitio público</w:t>
            </w:r>
          </w:p>
        </w:tc>
      </w:tr>
      <w:tr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--font-body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Montserrat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Texto general y UI densa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--font-display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Poppins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Títulos y jerarquía visual</w:t>
            </w:r>
          </w:p>
        </w:tc>
      </w:tr>
      <w:tr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--font-tertiary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Roboto / Lato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Datos tabulares y microcopy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--radius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16px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Tarjetas glass / módulos portal</w:t>
            </w:r>
          </w:p>
        </w:tc>
      </w:tr>
      <w:tr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Modo oscuro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`body[data-theme="dark"]`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Portal y sitio — contraste AA orientativo</w:t>
            </w:r>
          </w:p>
        </w:tc>
      </w:tr>
    </w:tbl>
    <w:p/>
    <w:p>
      <w:pPr>
        <w:pStyle w:val="Heading2"/>
      </w:pPr>
      <w:r>
        <w:rPr>
          <w:color w:val="377CC0"/>
        </w:rPr>
        <w:t>6.1 Arquitectura de información — sitio público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6355080" cy="160742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_ia_sitio_public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160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3A5A78"/>
          <w:sz w:val="18"/>
        </w:rPr>
        <w:t>Figura G — Secuencia de anclas y scroll del menú principal.</w:t>
      </w:r>
    </w:p>
    <w:p>
      <w:pPr>
        <w:pStyle w:val="ListBullet"/>
      </w:pPr>
      <w:r>
        <w:t>Navegación sticky con blur (`--public-nav-bg`) y menú móvil con panel deslizable.</w:t>
      </w:r>
    </w:p>
    <w:p>
      <w:pPr>
        <w:pStyle w:val="ListBullet"/>
      </w:pPr>
      <w:r>
        <w:t>Componentes reutilizables: `.glass-card`, `.hero`, `.section-dark`, grids de flota.</w:t>
      </w:r>
    </w:p>
    <w:p>
      <w:pPr>
        <w:pStyle w:val="ListBullet"/>
      </w:pPr>
      <w:r>
        <w:t>Formulario B2B con validación cliente (`modules/core/validation.js`) y anti-bot Turnstile.</w:t>
      </w:r>
    </w:p>
    <w:p>
      <w:pPr>
        <w:pStyle w:val="ListBullet"/>
      </w:pPr>
      <w:r>
        <w:t>Portal: overlay de autenticación, sidebar por rol, shells `.module-shell` por vista.</w:t>
      </w:r>
    </w:p>
    <w:p>
      <w:r>
        <w:br w:type="page"/>
      </w:r>
    </w:p>
    <w:p>
      <w:pPr>
        <w:pStyle w:val="Heading1"/>
      </w:pPr>
      <w:r>
        <w:rPr>
          <w:color w:val="1E4A73"/>
        </w:rPr>
        <w:t>7. Sincronización de datos y API REST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Colección lógica (KEYS)</w:t>
            </w:r>
          </w:p>
        </w:tc>
        <w:tc>
          <w:tcPr>
            <w:tcW w:type="dxa" w:w="288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Tabla(s) PostgreSQL</w:t>
            </w:r>
          </w:p>
        </w:tc>
        <w:tc>
          <w:tcPr>
            <w:tcW w:type="dxa" w:w="288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usuarios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Roles, permisos_usuario, refresh_token_hash</w:t>
            </w:r>
          </w:p>
        </w:tc>
      </w:tr>
      <w:tr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companies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empresas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Logo URL, contacto, tipo relación, activo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requests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solicitudes_transporte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Refrigeración, fuelles, tipo camión</w:t>
            </w:r>
          </w:p>
        </w:tc>
      </w:tr>
      <w:tr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vehicles / drivers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vehiculos / conductores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Satélite, fotos, solape horarios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payrollEmployees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empleados_nomina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Periodicidad canónica vía API</w:t>
            </w:r>
          </w:p>
        </w:tc>
      </w:tr>
      <w:tr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payrollRuns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liquidaciones_nomina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Automática, prima, terminación, intereses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approvals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solicitudes_autorizacion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Ventana 10 minutos</w:t>
            </w:r>
          </w:p>
        </w:tc>
      </w:tr>
      <w:tr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notifications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notificaciones + preferencias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Sonido configurable por usuario</w:t>
            </w:r>
          </w:p>
        </w:tc>
      </w:tr>
    </w:tbl>
    <w:p/>
    <w:p>
      <w:pPr>
        <w:spacing w:after="120"/>
      </w:pPr>
      <w:r>
        <w:rPr>
          <w:rFonts w:ascii="Calibri" w:hAnsi="Calibri"/>
          <w:b/>
          <w:i w:val="0"/>
          <w:sz w:val="22"/>
        </w:rPr>
        <w:t>Endpoints representativos del `PortalController`:</w:t>
      </w:r>
    </w:p>
    <w:p>
      <w:pPr>
        <w:pStyle w:val="ListBullet"/>
      </w:pPr>
      <w:r>
        <w:t>GET `/api/portal/bootstrap` — hidratación inicial post-login.</w:t>
      </w:r>
    </w:p>
    <w:p>
      <w:pPr>
        <w:pStyle w:val="ListBullet"/>
      </w:pPr>
      <w:r>
        <w:t>POST `/api/portal/sync-key` — escritura incremental por clave.</w:t>
      </w:r>
    </w:p>
    <w:p>
      <w:pPr>
        <w:pStyle w:val="ListBullet"/>
      </w:pPr>
      <w:r>
        <w:t>POST `/api/portal/approve-pending-user` — alta de empresas cliente.</w:t>
      </w:r>
    </w:p>
    <w:p>
      <w:pPr>
        <w:pStyle w:val="ListBullet"/>
      </w:pPr>
      <w:r>
        <w:t>POST `/api/portal/transport-schedule-busy` — validación solapes de agenda.</w:t>
      </w:r>
    </w:p>
    <w:p>
      <w:pPr>
        <w:pStyle w:val="ListBullet"/>
      </w:pPr>
      <w:r>
        <w:t>GET `/api/portal/candidates/:id/cv-download` — descarga segura de hojas de vida.</w:t>
      </w:r>
    </w:p>
    <w:p>
      <w:pPr>
        <w:pStyle w:val="Heading1"/>
      </w:pPr>
      <w:r>
        <w:rPr>
          <w:color w:val="1E4A73"/>
        </w:rPr>
        <w:t>8. Modelo de datos PostgreSQL</w:t>
      </w:r>
    </w:p>
    <w:p>
      <w:pPr>
        <w:pStyle w:val="ListBullet"/>
      </w:pPr>
      <w:r>
        <w:t>Núcleo: `01_extensions` … `07_indices` — enums, empresas, usuarios, transporte, RRHH, sistema.</w:t>
      </w:r>
    </w:p>
    <w:p>
      <w:pPr>
        <w:pStyle w:val="ListBullet"/>
      </w:pPr>
      <w:r>
        <w:t>Evolución: 33 migraciones incrementales (08–36+) — tarifas, RLS, nómina automática, B2B, SST.</w:t>
      </w:r>
    </w:p>
    <w:p>
      <w:pPr>
        <w:pStyle w:val="ListBullet"/>
      </w:pPr>
      <w:r>
        <w:t>Índices de rendimiento: cobertura pública solicitudes, solape horarios viajes.</w:t>
      </w:r>
    </w:p>
    <w:p>
      <w:pPr>
        <w:pStyle w:val="ListBullet"/>
      </w:pPr>
      <w:r>
        <w:t>Auditoría: `25_transporte_auditoria_eliminados` y soft-delete operativo en API.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Migración reciente</w:t>
            </w:r>
          </w:p>
        </w:tc>
        <w:tc>
          <w:tcPr>
            <w:tcW w:type="dxa" w:w="432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Propósito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30_idx_solicitudes_transporte_cobertura_publica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Consultas portal cliente</w:t>
            </w:r>
          </w:p>
        </w:tc>
      </w:tr>
      <w:tr>
        <w:tc>
          <w:tcPr>
            <w:tcW w:type="dxa" w:w="432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33_empleados_examen_ocupacional_intravehicular</w:t>
            </w:r>
          </w:p>
        </w:tc>
        <w:tc>
          <w:tcPr>
            <w:tcW w:type="dxa" w:w="432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Cumplimiento SST / intravehicular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35_idx_viajes_horario_solape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Calendario sin doble asignación</w:t>
            </w:r>
          </w:p>
        </w:tc>
      </w:tr>
      <w:tr>
        <w:tc>
          <w:tcPr>
            <w:tcW w:type="dxa" w:w="432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36_drop_prospectos_b2b_volumen_mensual</w:t>
            </w:r>
          </w:p>
        </w:tc>
        <w:tc>
          <w:tcPr>
            <w:tcW w:type="dxa" w:w="432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Alineación formulario B2B actual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E4A73"/>
        </w:rPr>
        <w:t>9. Atributos de calidad y pruebas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Atributo (ISO 25010)</w:t>
            </w:r>
          </w:p>
        </w:tc>
        <w:tc>
          <w:tcPr>
            <w:tcW w:type="dxa" w:w="432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Implementación observable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Seguridad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JWT, bcrypt, Turnstile, CSP meta, X-Frame-Options, CORS allowlist, Throttler</w:t>
            </w:r>
          </w:p>
        </w:tc>
      </w:tr>
      <w:tr>
        <w:tc>
          <w:tcPr>
            <w:tcW w:type="dxa" w:w="432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Fiabilidad</w:t>
            </w:r>
          </w:p>
        </w:tc>
        <w:tc>
          <w:tcPr>
            <w:tcW w:type="dxa" w:w="432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Pool PG con reconexión; bootstrap idempotente; auditoría eliminados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Mantenibilidad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Módulos Nest inyectables; dominios JS desacoplados; DDL versionado</w:t>
            </w:r>
          </w:p>
        </w:tc>
      </w:tr>
      <w:tr>
        <w:tc>
          <w:tcPr>
            <w:tcW w:type="dxa" w:w="432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Compatibilidad</w:t>
            </w:r>
          </w:p>
        </w:tc>
        <w:tc>
          <w:tcPr>
            <w:tcW w:type="dxa" w:w="432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Toggle ES/EN; formatos fecha/monetary regionalizados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Portabilidad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Docker Compose local; despliegue nube documentado</w:t>
            </w:r>
          </w:p>
        </w:tc>
      </w:tr>
    </w:tbl>
    <w:p/>
    <w:p>
      <w:pPr>
        <w:spacing w:after="120"/>
      </w:pPr>
      <w:r>
        <w:rPr>
          <w:rFonts w:ascii="Calibri" w:hAnsi="Calibri"/>
          <w:b/>
          <w:i w:val="0"/>
          <w:sz w:val="22"/>
        </w:rPr>
        <w:t>Automatización de regresión:</w:t>
      </w:r>
    </w:p>
    <w:p>
      <w:pPr>
        <w:pStyle w:val="ListBullet"/>
      </w:pPr>
      <w:r>
        <w:t>`qa/portal-regression-tests.mjs` — flujos críticos portal.</w:t>
      </w:r>
    </w:p>
    <w:p>
      <w:pPr>
        <w:pStyle w:val="ListBullet"/>
      </w:pPr>
      <w:r>
        <w:t>`scripts/smoke-api.mjs` — salud API.</w:t>
      </w:r>
    </w:p>
    <w:p>
      <w:pPr>
        <w:pStyle w:val="ListBullet"/>
      </w:pPr>
      <w:r>
        <w:t>`npm run verify` — build API/web, lint y QA en cadena.</w:t>
      </w:r>
    </w:p>
    <w:p>
      <w:pPr>
        <w:pStyle w:val="Heading1"/>
      </w:pPr>
      <w:r>
        <w:rPr>
          <w:color w:val="1E4A73"/>
        </w:rPr>
        <w:t>10. Roadmap, limitaciones y glosario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Tema pendiente / limitación</w:t>
            </w:r>
          </w:p>
        </w:tc>
        <w:tc>
          <w:tcPr>
            <w:tcW w:type="dxa" w:w="288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Impacto</w:t>
            </w:r>
          </w:p>
        </w:tc>
        <w:tc>
          <w:tcPr>
            <w:tcW w:type="dxa" w:w="288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Prioridad sugerida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OpenAPI/Swagger formal publicado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Integraciones externas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Media — pre-entrega final</w:t>
            </w:r>
          </w:p>
        </w:tc>
      </w:tr>
      <w:tr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Unificación SPA vs `apps/web` Next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Doble mantenimiento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Baja — definir canónico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Pruebas de carga (PEN) y threat modeling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Riesgo producción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9"/>
              </w:rPr>
              <w:t>Alta — pre go-live</w:t>
            </w:r>
          </w:p>
        </w:tc>
      </w:tr>
      <w:tr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RLS Supabase en prod si aplica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Seguridad multi-tenant</w:t>
            </w:r>
          </w:p>
        </w:tc>
        <w:tc>
          <w:tcPr>
            <w:tcW w:type="dxa" w:w="288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Según arquitectura host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432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Definición en Antares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AS-IS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Estado actual del código en el repositorio, no diseño futuro.</w:t>
            </w:r>
          </w:p>
        </w:tc>
      </w:tr>
      <w:tr>
        <w:tc>
          <w:tcPr>
            <w:tcW w:type="dxa" w:w="432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Bootstrap</w:t>
            </w:r>
          </w:p>
        </w:tc>
        <w:tc>
          <w:tcPr>
            <w:tcW w:type="dxa" w:w="432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Carga inicial servidor → caché local vía GET `/portal/bootstrap`.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KEYS.*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9"/>
              </w:rPr>
              <w:t>Identificadores de colecciones en `app.js` / DomainRegistry.</w:t>
            </w:r>
          </w:p>
        </w:tc>
      </w:tr>
      <w:tr>
        <w:tc>
          <w:tcPr>
            <w:tcW w:type="dxa" w:w="432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Ventana 10 min</w:t>
            </w:r>
          </w:p>
        </w:tc>
        <w:tc>
          <w:tcPr>
            <w:tcW w:type="dxa" w:w="432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Tiempo para aprobación manual antes de auto-aprobación.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E4A73"/>
        </w:rPr>
        <w:t>Aprobación y trazabilidad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Rol</w:t>
            </w:r>
          </w:p>
        </w:tc>
        <w:tc>
          <w:tcPr>
            <w:tcW w:type="dxa" w:w="216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Nombre</w:t>
            </w:r>
          </w:p>
        </w:tc>
        <w:tc>
          <w:tcPr>
            <w:tcW w:type="dxa" w:w="216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Firma</w:t>
            </w:r>
          </w:p>
        </w:tc>
        <w:tc>
          <w:tcPr>
            <w:tcW w:type="dxa" w:w="2160"/>
            <w:shd w:fill="377CC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Fecha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9"/>
              </w:rPr>
              <w:t>Elaboró (arquitectura / desarrollo)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9"/>
              </w:rPr>
              <w:t>JULIÁN DE JESÚS TOBÓN BOTERO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9"/>
              </w:rPr>
            </w:r>
          </w:p>
        </w:tc>
      </w:tr>
      <w:tr>
        <w:tc>
          <w:tcPr>
            <w:tcW w:type="dxa" w:w="216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Revisó (cliente / TI)</w:t>
            </w:r>
          </w:p>
        </w:tc>
        <w:tc>
          <w:tcPr>
            <w:tcW w:type="dxa" w:w="216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  <w:t>TRANSPORTES ANTARES S.A.S.</w:t>
            </w:r>
          </w:p>
        </w:tc>
        <w:tc>
          <w:tcPr>
            <w:tcW w:type="dxa" w:w="216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</w:r>
          </w:p>
        </w:tc>
        <w:tc>
          <w:tcPr>
            <w:tcW w:type="dxa" w:w="2160"/>
            <w:shd w:fill="E8F4FC" w:val="clear"/>
          </w:tcPr>
          <w:p>
            <w:r/>
            <w:r>
              <w:rPr>
                <w:rFonts w:ascii="Calibri" w:hAnsi="Calibri"/>
                <w:b w:val="0"/>
                <w:sz w:val="19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9"/>
              </w:rPr>
              <w:t>Aprobó (dirección)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19"/>
              </w:rPr>
            </w:r>
          </w:p>
        </w:tc>
      </w:tr>
    </w:tbl>
    <w:p/>
    <w:p>
      <w:pPr>
        <w:spacing w:before="240"/>
      </w:pPr>
      <w:r>
        <w:rPr>
          <w:rFonts w:ascii="Consolas" w:hAnsi="Consolas"/>
          <w:color w:val="3A5A78"/>
          <w:sz w:val="16"/>
        </w:rPr>
        <w:t>Generado: Antares_Arquitectura_UI_UX.docx</w:t>
        <w:br/>
        <w:t>Versión 3.0 · 16 de mayo de 2026</w:t>
        <w:br/>
        <w:t>Comando: python docs/generar_arquitectura_uiux.py</w:t>
        <w:br/>
        <w:t>Diagramas: C:\Users\User\Documents\Antares Nuevo\docs\_diagramas_antares_build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4A7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377CC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377CC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