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2543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54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0"/>
        </w:rPr>
        <w:t>TRANSPORTES ANTARES S.A.S.</w:t>
      </w:r>
    </w:p>
    <w:p>
      <w:pPr>
        <w:jc w:val="center"/>
      </w:pPr>
      <w:r>
        <w:rPr>
          <w:b/>
          <w:sz w:val="28"/>
        </w:rPr>
        <w:t>Acta de aprobación escrita — Hito intermedio de desarrollo</w:t>
      </w:r>
    </w:p>
    <w:p>
      <w:pPr>
        <w:jc w:val="center"/>
      </w:pPr>
      <w:r>
        <w:rPr>
          <w:b/>
          <w:sz w:val="24"/>
        </w:rPr>
        <w:t>50 % de avance · Pago Hito 2 — Contrato de Desarrollo de Software</w:t>
      </w:r>
    </w:p>
    <w:p>
      <w:pPr>
        <w:jc w:val="center"/>
      </w:pPr>
      <w:r>
        <w:rPr>
          <w:b w:val="0"/>
          <w:sz w:val="22"/>
        </w:rPr>
        <w:t>Plataforma Web Integral para Empresa de Transporte de Carga</w:t>
      </w:r>
    </w:p>
    <w:p/>
    <w:p>
      <w:pPr>
        <w:jc w:val="center"/>
      </w:pPr>
      <w:r>
        <w:rPr>
          <w:i/>
          <w:sz w:val="20"/>
        </w:rPr>
        <w:t>La Ceja, Antioquia — 16 de mayo de 2026</w:t>
      </w:r>
    </w:p>
    <w:p>
      <w:pPr>
        <w:jc w:val="center"/>
      </w:pPr>
      <w:r>
        <w:rPr>
          <w:b/>
          <w:color w:val="B71C1C"/>
          <w:sz w:val="20"/>
        </w:rPr>
        <w:t>DOCUMENTO CONTRACTUAL — Dos (2) ejemplares de igual tenor</w:t>
      </w:r>
    </w:p>
    <w:p>
      <w:r>
        <w:br w:type="page"/>
      </w:r>
    </w:p>
    <w:p>
      <w:pPr>
        <w:pStyle w:val="Heading1"/>
      </w:pPr>
      <w:r>
        <w:t>1. Identificación del documento y marco contractual</w:t>
      </w:r>
    </w:p>
    <w:p>
      <w:r>
        <w:rPr>
          <w:b w:val="0"/>
          <w:sz w:val="22"/>
        </w:rPr>
        <w:t>El presente instrumento constituye la APROBACIÓN ESCRITA de EL CONTRATANTE respecto del cumplimiento del cincuenta por ciento (50 %) del desarrollo de la Plataforma Web Integral objeto del Contrato de Desarrollo de Software celebrado entre TRANSPORTES ANTARES S.A.S. y JULIÁN DE JESÚS TOBÓN BOTERO, suscrito en La Ceja, Antioquia, el 24 de abril de 2026, cuyo valor total asciende a VEINTICINCO MILLONES DE PESOS COLOMBIANOS M/CTE ($ 25.000.000 COP), de los cuales $ 20.000.000 COP corresponden al desarrollo y $ 5.000.000 COP al cierre del período de garantía.</w:t>
      </w:r>
    </w:p>
    <w:p>
      <w:r>
        <w:rPr>
          <w:b w:val="0"/>
          <w:sz w:val="22"/>
        </w:rPr>
        <w:t>Esta acta habilita el reconocimiento y pago del HITO 2 — HITO INTERMEDIO previsto en la Cláusula Cuarta del contrato: treinta por ciento (30 %) del valor del desarrollo, equivalente a SEIS MILLONES DE PESOS COLOMBIANOS M/CTE ($ 6.000.000 COP), pagadero al completar el 50 % del desarrollo y con la aprobación escrita de EL CONTRATANTE que se formaliza mediante las firmas al final de este documento.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Referencia contractual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Contrato</w:t>
            </w:r>
          </w:p>
        </w:tc>
        <w:tc>
          <w:tcPr>
            <w:tcW w:type="dxa" w:w="4320"/>
          </w:tcPr>
          <w:p>
            <w:r>
              <w:t>Contrato de Desarrollo de Software — Plataforma Web Integral</w:t>
            </w:r>
          </w:p>
        </w:tc>
      </w:tr>
      <w:tr>
        <w:tc>
          <w:tcPr>
            <w:tcW w:type="dxa" w:w="4320"/>
          </w:tcPr>
          <w:p>
            <w:r>
              <w:t>Contratante</w:t>
            </w:r>
          </w:p>
        </w:tc>
        <w:tc>
          <w:tcPr>
            <w:tcW w:type="dxa" w:w="4320"/>
          </w:tcPr>
          <w:p>
            <w:r>
              <w:t>TRANSPORTES ANTARES S.A.S. — NIT 900.830.324-2</w:t>
            </w:r>
          </w:p>
        </w:tc>
      </w:tr>
      <w:tr>
        <w:tc>
          <w:tcPr>
            <w:tcW w:type="dxa" w:w="4320"/>
          </w:tcPr>
          <w:p>
            <w:r>
              <w:t>Representante legal</w:t>
            </w:r>
          </w:p>
        </w:tc>
        <w:tc>
          <w:tcPr>
            <w:tcW w:type="dxa" w:w="4320"/>
          </w:tcPr>
          <w:p>
            <w:r>
              <w:t>Alfredo de Jesús Botero Castañeda — C.C. 15.383.391</w:t>
            </w:r>
          </w:p>
        </w:tc>
      </w:tr>
      <w:tr>
        <w:tc>
          <w:tcPr>
            <w:tcW w:type="dxa" w:w="4320"/>
          </w:tcPr>
          <w:p>
            <w:r>
              <w:t>Contratista</w:t>
            </w:r>
          </w:p>
        </w:tc>
        <w:tc>
          <w:tcPr>
            <w:tcW w:type="dxa" w:w="4320"/>
          </w:tcPr>
          <w:p>
            <w:r>
              <w:t>JULIÁN DE JESÚS TOBÓN BOTERO — C.C. 1.040.046.958</w:t>
            </w:r>
          </w:p>
        </w:tc>
      </w:tr>
      <w:tr>
        <w:tc>
          <w:tcPr>
            <w:tcW w:type="dxa" w:w="4320"/>
          </w:tcPr>
          <w:p>
            <w:r>
              <w:t>Alcance integral</w:t>
            </w:r>
          </w:p>
        </w:tc>
        <w:tc>
          <w:tcPr>
            <w:tcW w:type="dxa" w:w="4320"/>
          </w:tcPr>
          <w:p>
            <w:r>
              <w:t>Anexo A — cinco (5) módulos funcionales + stack y seguridad</w:t>
            </w:r>
          </w:p>
        </w:tc>
      </w:tr>
      <w:tr>
        <w:tc>
          <w:tcPr>
            <w:tcW w:type="dxa" w:w="4320"/>
          </w:tcPr>
          <w:p>
            <w:r>
              <w:t>Plazo estimado</w:t>
            </w:r>
          </w:p>
        </w:tc>
        <w:tc>
          <w:tcPr>
            <w:tcW w:type="dxa" w:w="4320"/>
          </w:tcPr>
          <w:p>
            <w:r>
              <w:t>Dos (2) meses calendario (inicio 25-abr-2026 · entrega est. 25-jun-2026)</w:t>
            </w:r>
          </w:p>
        </w:tc>
      </w:tr>
      <w:tr>
        <w:tc>
          <w:tcPr>
            <w:tcW w:type="dxa" w:w="4320"/>
          </w:tcPr>
          <w:p>
            <w:r>
              <w:t>Hito que se aprueba</w:t>
            </w:r>
          </w:p>
        </w:tc>
        <w:tc>
          <w:tcPr>
            <w:tcW w:type="dxa" w:w="4320"/>
          </w:tcPr>
          <w:p>
            <w:r>
              <w:t>Hito 2 — 30 % — $ 6.000.000 COP (50 % desarrollo + aprobación escrita)</w:t>
            </w:r>
          </w:p>
        </w:tc>
      </w:tr>
      <w:tr>
        <w:tc>
          <w:tcPr>
            <w:tcW w:type="dxa" w:w="4320"/>
          </w:tcPr>
          <w:p>
            <w:r>
              <w:t>Repositorio de entrega técnica</w:t>
            </w:r>
          </w:p>
        </w:tc>
        <w:tc>
          <w:tcPr>
            <w:tcW w:type="dxa" w:w="4320"/>
          </w:tcPr>
          <w:p>
            <w:r>
              <w:t>Monorepo «Antares Nuevo» (código fuente, BD/postgres, apps/api)</w:t>
            </w:r>
          </w:p>
        </w:tc>
      </w:tr>
    </w:tbl>
    <w:p>
      <w:pPr>
        <w:pStyle w:val="Heading1"/>
      </w:pPr>
      <w:r>
        <w:t>2. Partes</w:t>
      </w:r>
    </w:p>
    <w:p>
      <w:r>
        <w:rPr>
          <w:b/>
          <w:sz w:val="22"/>
        </w:rPr>
        <w:t>EL CONTRATANTE:</w:t>
      </w:r>
    </w:p>
    <w:p>
      <w:pPr>
        <w:pStyle w:val="ListBullet"/>
      </w:pPr>
      <w:r>
        <w:t>Razón social: TRANSPORTES ANTARES S.A.S.</w:t>
      </w:r>
    </w:p>
    <w:p>
      <w:pPr>
        <w:pStyle w:val="ListBullet"/>
      </w:pPr>
      <w:r>
        <w:t>NIT: 900.830.324-2</w:t>
      </w:r>
    </w:p>
    <w:p>
      <w:pPr>
        <w:pStyle w:val="ListBullet"/>
      </w:pPr>
      <w:r>
        <w:t>Domicilio: La Ceja, Antioquia, Colombia</w:t>
      </w:r>
    </w:p>
    <w:p>
      <w:pPr>
        <w:pStyle w:val="ListBullet"/>
      </w:pPr>
      <w:r>
        <w:t>Representante legal para efectos de esta acta: Alfredo de Jesús Botero Castañeda</w:t>
      </w:r>
    </w:p>
    <w:p>
      <w:r>
        <w:rPr>
          <w:b/>
          <w:sz w:val="22"/>
        </w:rPr>
        <w:t>EL CONTRATISTA:</w:t>
      </w:r>
    </w:p>
    <w:p>
      <w:pPr>
        <w:pStyle w:val="ListBullet"/>
      </w:pPr>
      <w:r>
        <w:t>Nombre: JULIÁN DE JESÚS TOBÓN BOTERO</w:t>
      </w:r>
    </w:p>
    <w:p>
      <w:pPr>
        <w:pStyle w:val="ListBullet"/>
      </w:pPr>
      <w:r>
        <w:t>C.C.: 1.040.046.958</w:t>
      </w:r>
    </w:p>
    <w:p>
      <w:pPr>
        <w:pStyle w:val="ListBullet"/>
      </w:pPr>
      <w:r>
        <w:t>Calidad: Desarrollador de software independiente</w:t>
      </w:r>
    </w:p>
    <w:p>
      <w:pPr>
        <w:pStyle w:val="ListBullet"/>
      </w:pPr>
      <w:r>
        <w:t>Correo de contacto contractual: judtobon3006@gmail.com</w:t>
      </w:r>
    </w:p>
    <w:p>
      <w:pPr>
        <w:pStyle w:val="ListBullet"/>
      </w:pPr>
      <w:r>
        <w:t>Ciudad: La Ceja, Antioquia</w:t>
      </w:r>
    </w:p>
    <w:p>
      <w:pPr>
        <w:pStyle w:val="Heading1"/>
      </w:pPr>
      <w:r>
        <w:t>3. Metodología de medición del avance (50 %)</w:t>
      </w:r>
    </w:p>
    <w:p>
      <w:r>
        <w:rPr>
          <w:b w:val="0"/>
          <w:sz w:val="22"/>
        </w:rPr>
        <w:t>Las partes acuerdan medir el porcentaje global de desarrollo conforme al cronograma por fases de la Cláusula Segunda del contrato y al desglose por módulos del Anexo A, utilizando los siguientes criterios objetivos:</w:t>
      </w:r>
    </w:p>
    <w:p>
      <w:pPr>
        <w:pStyle w:val="ListBullet"/>
      </w:pPr>
      <w:r>
        <w:t>Peso por fase contractual: Fase 1 (12,5 %), Fase 2 (37,5 %), Fase 3 (37,5 %), Fase 4 (12,5 %).</w:t>
      </w:r>
    </w:p>
    <w:p>
      <w:pPr>
        <w:pStyle w:val="ListBullet"/>
      </w:pPr>
      <w:r>
        <w:t>Criterio de completitud: funcionalidad operativa en ambiente de desarrollo/pruebas, persistencia en PostgreSQL, integración API NestJS y evidencia en repositorio versionado.</w:t>
      </w:r>
    </w:p>
    <w:p>
      <w:pPr>
        <w:pStyle w:val="ListBullet"/>
      </w:pPr>
      <w:r>
        <w:t>Informes quincenales de avance (Cláusula Tercera, numeral 3.1) como soporte de seguimiento.</w:t>
      </w:r>
    </w:p>
    <w:p>
      <w:pPr>
        <w:pStyle w:val="ListBullet"/>
      </w:pPr>
      <w:r>
        <w:t>La aprobación no sustituye el Acta de Entrega y Recibo a Satisfacción del cierre (Hito 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 contractual</w:t>
            </w:r>
          </w:p>
        </w:tc>
        <w:tc>
          <w:tcPr>
            <w:tcW w:type="dxa" w:w="1728"/>
          </w:tcPr>
          <w:p>
            <w:r>
              <w:t>Contenido (Cláusula Segunda)</w:t>
            </w:r>
          </w:p>
        </w:tc>
        <w:tc>
          <w:tcPr>
            <w:tcW w:type="dxa" w:w="1728"/>
          </w:tcPr>
          <w:p>
            <w:r>
              <w:t>% fase</w:t>
            </w:r>
          </w:p>
        </w:tc>
        <w:tc>
          <w:tcPr>
            <w:tcW w:type="dxa" w:w="1728"/>
          </w:tcPr>
          <w:p>
            <w:r>
              <w:t>Peso sobre total</w:t>
            </w:r>
          </w:p>
        </w:tc>
        <w:tc>
          <w:tcPr>
            <w:tcW w:type="dxa" w:w="1728"/>
          </w:tcPr>
          <w:p>
            <w:r>
              <w:t>Aporte al 50 %</w:t>
            </w:r>
          </w:p>
        </w:tc>
      </w:tr>
      <w:tr>
        <w:tc>
          <w:tcPr>
            <w:tcW w:type="dxa" w:w="1728"/>
          </w:tcPr>
          <w:p>
            <w:r>
              <w:t>Fase 1</w:t>
            </w:r>
          </w:p>
        </w:tc>
        <w:tc>
          <w:tcPr>
            <w:tcW w:type="dxa" w:w="1728"/>
          </w:tcPr>
          <w:p>
            <w:r>
              <w:t>Arquitectura, diseño UI/UX, modelo de datos</w:t>
            </w:r>
          </w:p>
        </w:tc>
        <w:tc>
          <w:tcPr>
            <w:tcW w:type="dxa" w:w="1728"/>
          </w:tcPr>
          <w:p>
            <w:r>
              <w:t>100 %</w:t>
            </w:r>
          </w:p>
        </w:tc>
        <w:tc>
          <w:tcPr>
            <w:tcW w:type="dxa" w:w="1728"/>
          </w:tcPr>
          <w:p>
            <w:r>
              <w:t>12,5 %</w:t>
            </w:r>
          </w:p>
        </w:tc>
        <w:tc>
          <w:tcPr>
            <w:tcW w:type="dxa" w:w="1728"/>
          </w:tcPr>
          <w:p>
            <w:r>
              <w:t>12,5 %</w:t>
            </w:r>
          </w:p>
        </w:tc>
      </w:tr>
      <w:tr>
        <w:tc>
          <w:tcPr>
            <w:tcW w:type="dxa" w:w="1728"/>
          </w:tcPr>
          <w:p>
            <w:r>
              <w:t>Fase 2</w:t>
            </w:r>
          </w:p>
        </w:tc>
        <w:tc>
          <w:tcPr>
            <w:tcW w:type="dxa" w:w="1728"/>
          </w:tcPr>
          <w:p>
            <w:r>
              <w:t>Sitio público + portal clientes empresariales</w:t>
            </w:r>
          </w:p>
        </w:tc>
        <w:tc>
          <w:tcPr>
            <w:tcW w:type="dxa" w:w="1728"/>
          </w:tcPr>
          <w:p>
            <w:r>
              <w:t>100 %</w:t>
            </w:r>
          </w:p>
        </w:tc>
        <w:tc>
          <w:tcPr>
            <w:tcW w:type="dxa" w:w="1728"/>
          </w:tcPr>
          <w:p>
            <w:r>
              <w:t>37,5 %</w:t>
            </w:r>
          </w:p>
        </w:tc>
        <w:tc>
          <w:tcPr>
            <w:tcW w:type="dxa" w:w="1728"/>
          </w:tcPr>
          <w:p>
            <w:r>
              <w:t>37,5 %</w:t>
            </w:r>
          </w:p>
        </w:tc>
      </w:tr>
      <w:tr>
        <w:tc>
          <w:tcPr>
            <w:tcW w:type="dxa" w:w="1728"/>
          </w:tcPr>
          <w:p>
            <w:r>
              <w:t>Fase 3</w:t>
            </w:r>
          </w:p>
        </w:tc>
        <w:tc>
          <w:tcPr>
            <w:tcW w:type="dxa" w:w="1728"/>
          </w:tcPr>
          <w:p>
            <w:r>
              <w:t>Panel administración + módulos RRHH (parcial)</w:t>
            </w:r>
          </w:p>
        </w:tc>
        <w:tc>
          <w:tcPr>
            <w:tcW w:type="dxa" w:w="1728"/>
          </w:tcPr>
          <w:p>
            <w:r>
              <w:t>0 %*</w:t>
            </w:r>
          </w:p>
        </w:tc>
        <w:tc>
          <w:tcPr>
            <w:tcW w:type="dxa" w:w="1728"/>
          </w:tcPr>
          <w:p>
            <w:r>
              <w:t>37,5 %</w:t>
            </w:r>
          </w:p>
        </w:tc>
        <w:tc>
          <w:tcPr>
            <w:tcW w:type="dxa" w:w="1728"/>
          </w:tcPr>
          <w:p>
            <w:r>
              <w:t>0 %*</w:t>
            </w:r>
          </w:p>
        </w:tc>
      </w:tr>
      <w:tr>
        <w:tc>
          <w:tcPr>
            <w:tcW w:type="dxa" w:w="1728"/>
          </w:tcPr>
          <w:p>
            <w:r>
              <w:t>Fase 4</w:t>
            </w:r>
          </w:p>
        </w:tc>
        <w:tc>
          <w:tcPr>
            <w:tcW w:type="dxa" w:w="1728"/>
          </w:tcPr>
          <w:p>
            <w:r>
              <w:t>Integración, QA, ajustes y despliegue producción</w:t>
            </w:r>
          </w:p>
        </w:tc>
        <w:tc>
          <w:tcPr>
            <w:tcW w:type="dxa" w:w="1728"/>
          </w:tcPr>
          <w:p>
            <w:r>
              <w:t>0 %</w:t>
            </w:r>
          </w:p>
        </w:tc>
        <w:tc>
          <w:tcPr>
            <w:tcW w:type="dxa" w:w="1728"/>
          </w:tcPr>
          <w:p>
            <w:r>
              <w:t>12,5 %</w:t>
            </w:r>
          </w:p>
        </w:tc>
        <w:tc>
          <w:tcPr>
            <w:tcW w:type="dxa" w:w="1728"/>
          </w:tcPr>
          <w:p>
            <w:r>
              <w:t>0 %</w:t>
            </w:r>
          </w:p>
        </w:tc>
      </w:tr>
      <w:tr>
        <w:tc>
          <w:tcPr>
            <w:tcW w:type="dxa" w:w="1728"/>
          </w:tcPr>
          <w:p>
            <w:r>
              <w:t>TOTAL GLOBAL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100 %</w:t>
            </w:r>
          </w:p>
        </w:tc>
        <w:tc>
          <w:tcPr>
            <w:tcW w:type="dxa" w:w="1728"/>
          </w:tcPr>
          <w:p>
            <w:r>
              <w:t>50,0 %</w:t>
            </w:r>
          </w:p>
        </w:tc>
      </w:tr>
    </w:tbl>
    <w:p>
      <w:r>
        <w:rPr>
          <w:b w:val="0"/>
          <w:sz w:val="22"/>
        </w:rPr>
        <w:t>* Nota: Existe avance técnico adelantado en componentes de la Fase 3 (estimado ~35–45 % de dicha fase) que las partes NO incorporan al cómputo del 50 % objeto de este hito, para mantener coherencia con el desglose contractual y reservar su validación formal al cierre de la Fase 3 y al Acta final.</w:t>
      </w:r>
    </w:p>
    <w:p>
      <w:r>
        <w:br w:type="page"/>
      </w:r>
    </w:p>
    <w:p>
      <w:pPr>
        <w:pStyle w:val="Heading1"/>
      </w:pPr>
      <w:r>
        <w:t>4. Detalle de entregables aprobados al 50 %</w:t>
      </w:r>
    </w:p>
    <w:p>
      <w:pPr>
        <w:pStyle w:val="Heading2"/>
      </w:pPr>
      <w:r>
        <w:t>4.1 Fase 1 — Arquitectura, diseño y modelo de datos</w:t>
      </w:r>
    </w:p>
    <w:p>
      <w:pPr>
        <w:pStyle w:val="ListBullet"/>
      </w:pPr>
      <w:r>
        <w:t>Documento de arquitectura técnica y sistema de diseño UX/UI (docs/Antares_Arquitectura_UI_UX.docx).</w:t>
      </w:r>
    </w:p>
    <w:p>
      <w:pPr>
        <w:pStyle w:val="ListBullet"/>
      </w:pPr>
      <w:r>
        <w:t>Esquema relacional PostgreSQL versionado (carpeta BD/postgres/, migraciones 01–36+).</w:t>
      </w:r>
    </w:p>
    <w:p>
      <w:pPr>
        <w:pStyle w:val="ListBullet"/>
      </w:pPr>
      <w:r>
        <w:t>API REST modular NestJS 10 (apps/api): auth JWT + refresh, portal bootstrap/sync, nómina, B2B, archivos.</w:t>
      </w:r>
    </w:p>
    <w:p>
      <w:pPr>
        <w:pStyle w:val="ListBullet"/>
      </w:pPr>
      <w:r>
        <w:t>Arquitectura portal por capas (modules/portal, domain-bootstrap, persistencia híbrida API ↔ caché).</w:t>
      </w:r>
    </w:p>
    <w:p>
      <w:pPr>
        <w:pStyle w:val="ListBullet"/>
      </w:pPr>
      <w:r>
        <w:t>Manual y runbook de despliegue (DEPLOYMENT_RUNBOOK.md, CONFIGURACION_SUPABASE_RENDER_POSTGRES.md).</w:t>
      </w:r>
    </w:p>
    <w:p>
      <w:pPr>
        <w:pStyle w:val="Heading2"/>
      </w:pPr>
      <w:r>
        <w:t>4.2 Fase 2 — Módulo 1: Sitio web corporativo público (Anexo A.1)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Requerimiento Anexo 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Evidencia / observación</w:t>
            </w:r>
          </w:p>
        </w:tc>
      </w:tr>
      <w:tr>
        <w:tc>
          <w:tcPr>
            <w:tcW w:type="dxa" w:w="2880"/>
          </w:tcPr>
          <w:p>
            <w:r>
              <w:t>Hero + llamada a contacto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index.html — sección corporativa</w:t>
            </w:r>
          </w:p>
        </w:tc>
      </w:tr>
      <w:tr>
        <w:tc>
          <w:tcPr>
            <w:tcW w:type="dxa" w:w="2880"/>
          </w:tcPr>
          <w:p>
            <w:r>
              <w:t>Quiénes somos (misión, visión, valores)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Contenido editable vía portal admin</w:t>
            </w:r>
          </w:p>
        </w:tc>
      </w:tr>
      <w:tr>
        <w:tc>
          <w:tcPr>
            <w:tcW w:type="dxa" w:w="2880"/>
          </w:tcPr>
          <w:p>
            <w:r>
              <w:t>Flota (tipos de vehículo, fichas)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Presentación turbo, camión, tractocamión, etc.</w:t>
            </w:r>
          </w:p>
        </w:tc>
      </w:tr>
      <w:tr>
        <w:tc>
          <w:tcPr>
            <w:tcW w:type="dxa" w:w="2880"/>
          </w:tcPr>
          <w:p>
            <w:r>
              <w:t>Servicios y ventajas competitivas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Cobertura nacional, flota propia, conductores</w:t>
            </w:r>
          </w:p>
        </w:tc>
      </w:tr>
      <w:tr>
        <w:tc>
          <w:tcPr>
            <w:tcW w:type="dxa" w:w="2880"/>
          </w:tcPr>
          <w:p>
            <w:r>
              <w:t>Cobertura (rutas / ciudades)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Listado territorial integrado</w:t>
            </w:r>
          </w:p>
        </w:tc>
      </w:tr>
      <w:tr>
        <w:tc>
          <w:tcPr>
            <w:tcW w:type="dxa" w:w="2880"/>
          </w:tcPr>
          <w:p>
            <w:r>
              <w:t>Formulario contacto B2B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API b2b-prospect + tabla prospectos_contacto_b2b</w:t>
            </w:r>
          </w:p>
        </w:tc>
      </w:tr>
      <w:tr>
        <w:tc>
          <w:tcPr>
            <w:tcW w:type="dxa" w:w="2880"/>
          </w:tcPr>
          <w:p>
            <w:r>
              <w:t>Footer (redes, teléfono, dirección)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Datos de empresa configurables</w:t>
            </w:r>
          </w:p>
        </w:tc>
      </w:tr>
    </w:tbl>
    <w:p>
      <w:pPr>
        <w:pStyle w:val="Heading2"/>
      </w:pPr>
      <w:r>
        <w:t>4.3 Fase 2 — Módulo 2: Portal clientes empresariales (Anexo A.2)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Requerimiento Anexo 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Evidencia / observación</w:t>
            </w:r>
          </w:p>
        </w:tc>
      </w:tr>
      <w:tr>
        <w:tc>
          <w:tcPr>
            <w:tcW w:type="dxa" w:w="2880"/>
          </w:tcPr>
          <w:p>
            <w:r>
              <w:t>Login, registro empresas, recuperación contraseña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auth + aprobación admin de cuentas</w:t>
            </w:r>
          </w:p>
        </w:tc>
      </w:tr>
      <w:tr>
        <w:tc>
          <w:tcPr>
            <w:tcW w:type="dxa" w:w="2880"/>
          </w:tcPr>
          <w:p>
            <w:r>
              <w:t>Sesiones JWT + refresh tokens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apps/api/auth, columna refresh_token_hash</w:t>
            </w:r>
          </w:p>
        </w:tc>
      </w:tr>
      <w:tr>
        <w:tc>
          <w:tcPr>
            <w:tcW w:type="dxa" w:w="2880"/>
          </w:tcPr>
          <w:p>
            <w:r>
              <w:t>Dashboard solicitudes activas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Vista dashboard / solicitudes cliente</w:t>
            </w:r>
          </w:p>
        </w:tc>
      </w:tr>
      <w:tr>
        <w:tc>
          <w:tcPr>
            <w:tcW w:type="dxa" w:w="2880"/>
          </w:tcPr>
          <w:p>
            <w:r>
              <w:t>Creación solicitud de viaje (origen, destino, carga, adjuntos)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Módulo solicitudes + validaciones</w:t>
            </w:r>
          </w:p>
        </w:tc>
      </w:tr>
      <w:tr>
        <w:tc>
          <w:tcPr>
            <w:tcW w:type="dxa" w:w="2880"/>
          </w:tcPr>
          <w:p>
            <w:r>
              <w:t>Estados Pendiente → Aprobada → En tránsito → Completada/Cancelada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Flujo operativo en BD y UI</w:t>
            </w:r>
          </w:p>
        </w:tc>
      </w:tr>
      <w:tr>
        <w:tc>
          <w:tcPr>
            <w:tcW w:type="dxa" w:w="2880"/>
          </w:tcPr>
          <w:p>
            <w:r>
              <w:t>Flujo aprobación 10 min + auto-aprobación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Centro autorizaciones + temporizador</w:t>
            </w:r>
          </w:p>
        </w:tc>
      </w:tr>
      <w:tr>
        <w:tc>
          <w:tcPr>
            <w:tcW w:type="dxa" w:w="2880"/>
          </w:tcPr>
          <w:p>
            <w:r>
              <w:t>Detalle viaje asignado (vehículo, conductor, ruta)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Vista detalle y notificaciones</w:t>
            </w:r>
          </w:p>
        </w:tc>
      </w:tr>
      <w:tr>
        <w:tc>
          <w:tcPr>
            <w:tcW w:type="dxa" w:w="2880"/>
          </w:tcPr>
          <w:p>
            <w:r>
              <w:t>Notificaciones al cliente en tiempo real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  <w:tc>
          <w:tcPr>
            <w:tcW w:type="dxa" w:w="2880"/>
          </w:tcPr>
          <w:p>
            <w:r>
              <w:t>Módulo notificaciones + preferencias usuario</w:t>
            </w:r>
          </w:p>
        </w:tc>
      </w:tr>
    </w:tbl>
    <w:p>
      <w:pPr>
        <w:pStyle w:val="Heading2"/>
      </w:pPr>
      <w:r>
        <w:t>4.4 Resumen por módulo contractual (ponderación referencial)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Módulo (Anexo A)</w:t>
            </w:r>
          </w:p>
        </w:tc>
        <w:tc>
          <w:tcPr>
            <w:tcW w:type="dxa" w:w="2160"/>
          </w:tcPr>
          <w:p>
            <w:r>
              <w:t>Peso referencial</w:t>
            </w:r>
          </w:p>
        </w:tc>
        <w:tc>
          <w:tcPr>
            <w:tcW w:type="dxa" w:w="2160"/>
          </w:tcPr>
          <w:p>
            <w:r>
              <w:t>% avance módulo</w:t>
            </w:r>
          </w:p>
        </w:tc>
        <w:tc>
          <w:tcPr>
            <w:tcW w:type="dxa" w:w="2160"/>
          </w:tcPr>
          <w:p>
            <w:r>
              <w:t>Contribución</w:t>
            </w:r>
          </w:p>
        </w:tc>
      </w:tr>
      <w:tr>
        <w:tc>
          <w:tcPr>
            <w:tcW w:type="dxa" w:w="2160"/>
          </w:tcPr>
          <w:p>
            <w:r>
              <w:t>Módulo 1 — Sitio público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20,0 %</w:t>
            </w:r>
          </w:p>
        </w:tc>
      </w:tr>
      <w:tr>
        <w:tc>
          <w:tcPr>
            <w:tcW w:type="dxa" w:w="2160"/>
          </w:tcPr>
          <w:p>
            <w:r>
              <w:t>Módulo 2 — Portal clientes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20,0 %</w:t>
            </w:r>
          </w:p>
        </w:tc>
      </w:tr>
      <w:tr>
        <w:tc>
          <w:tcPr>
            <w:tcW w:type="dxa" w:w="2160"/>
          </w:tcPr>
          <w:p>
            <w:r>
              <w:t>Módulo 3 — Panel administración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  <w:tc>
          <w:tcPr>
            <w:tcW w:type="dxa" w:w="2160"/>
          </w:tcPr>
          <w:p>
            <w:r>
              <w:t>0 %*</w:t>
            </w:r>
          </w:p>
        </w:tc>
        <w:tc>
          <w:tcPr>
            <w:tcW w:type="dxa" w:w="2160"/>
          </w:tcPr>
          <w:p>
            <w:r>
              <w:t>0,0 %</w:t>
            </w:r>
          </w:p>
        </w:tc>
      </w:tr>
      <w:tr>
        <w:tc>
          <w:tcPr>
            <w:tcW w:type="dxa" w:w="2160"/>
          </w:tcPr>
          <w:p>
            <w:r>
              <w:t>Módulo 4 — Nómina RRHH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  <w:tc>
          <w:tcPr>
            <w:tcW w:type="dxa" w:w="2160"/>
          </w:tcPr>
          <w:p>
            <w:r>
              <w:t>0 %*</w:t>
            </w:r>
          </w:p>
        </w:tc>
        <w:tc>
          <w:tcPr>
            <w:tcW w:type="dxa" w:w="2160"/>
          </w:tcPr>
          <w:p>
            <w:r>
              <w:t>0,0 %</w:t>
            </w:r>
          </w:p>
        </w:tc>
      </w:tr>
      <w:tr>
        <w:tc>
          <w:tcPr>
            <w:tcW w:type="dxa" w:w="2160"/>
          </w:tcPr>
          <w:p>
            <w:r>
              <w:t>Módulo 5 — Contratación RRHH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  <w:tc>
          <w:tcPr>
            <w:tcW w:type="dxa" w:w="2160"/>
          </w:tcPr>
          <w:p>
            <w:r>
              <w:t>0 %*</w:t>
            </w:r>
          </w:p>
        </w:tc>
        <w:tc>
          <w:tcPr>
            <w:tcW w:type="dxa" w:w="2160"/>
          </w:tcPr>
          <w:p>
            <w:r>
              <w:t>0,0 %</w:t>
            </w:r>
          </w:p>
        </w:tc>
      </w:tr>
      <w:tr>
        <w:tc>
          <w:tcPr>
            <w:tcW w:type="dxa" w:w="2160"/>
          </w:tcPr>
          <w:p>
            <w:r>
              <w:t>TOTAL (criterio fases 1–2)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50,0 %</w:t>
            </w:r>
          </w:p>
        </w:tc>
      </w:tr>
    </w:tbl>
    <w:p>
      <w:pPr>
        <w:pStyle w:val="Heading1"/>
      </w:pPr>
      <w:r>
        <w:t>5. Declaración del contratista</w:t>
      </w:r>
    </w:p>
    <w:p>
      <w:r>
        <w:rPr>
          <w:b w:val="0"/>
          <w:sz w:val="22"/>
        </w:rPr>
        <w:t>EL CONTRATISTA declara bajo la gravedad de juramento que, a la fecha de esta acta, ha ejecutado de manera diligente y conforme al Anexo A y a las buenas prácticas de ingeniería de software, el cincuenta por ciento (50 %) del desarrollo pactado, correspondiente a la finalización de las Fases 1 y 2 del cronograma contractual, con los entregables técnicos descritos en la sección 4; que el código se encuentra en repositorio privado accesible para revisión de EL CONTRATANTE; y que los informes de avance quincenales han reportado de forma consistente dicho porcentaje y los riesgos asociados al tramo restante.</w:t>
      </w:r>
    </w:p>
    <w:p>
      <w:pPr>
        <w:pStyle w:val="Heading1"/>
      </w:pPr>
      <w:r>
        <w:t>6. Aprobación escrita del contratante y autorización de pago</w:t>
      </w:r>
    </w:p>
    <w:p>
      <w:r>
        <w:rPr>
          <w:b w:val="0"/>
          <w:sz w:val="22"/>
        </w:rPr>
        <w:t>Con fundamento en la revisión de los entregables relacionados, en los informes de avance presentados por EL CONTRATISTA y en el cumplimiento del umbral del cincuenta por ciento (50 %) del desarrollo conforme a la metodología acordada en la sección 3, EL CONTRATANTE:</w:t>
      </w:r>
    </w:p>
    <w:p>
      <w:pPr>
        <w:pStyle w:val="ListBullet"/>
      </w:pPr>
      <w:r>
        <w:t>APRUEBA de manera expresa y escrita el avance del 50 % del desarrollo de la Plataforma.</w:t>
      </w:r>
    </w:p>
    <w:p>
      <w:pPr>
        <w:pStyle w:val="ListBullet"/>
      </w:pPr>
      <w:r>
        <w:t>AUTORIZA el pago del HITO 2 — HITO INTERMEDIO por valor de SEIS MILLONES DE PESOS COLOMBIANOS M/CTE ($ 6.000.000 COP), equivalente al treinta por ciento (30 %) del valor total del contrato, dentro de los plazos de la Cláusula Cuarta.</w:t>
      </w:r>
    </w:p>
    <w:p>
      <w:pPr>
        <w:pStyle w:val="ListBullet"/>
      </w:pPr>
      <w:r>
        <w:t>Reconoce que el anticipo (Hito 1 — $ 6.000.000 COP) fue exigido antes del inicio del desarrollo conforme al contrato, sin perjuicio de que las partes verifiquen su constancia en los soportes contables respectivos.</w:t>
      </w:r>
    </w:p>
    <w:p>
      <w:pPr>
        <w:pStyle w:val="ListBullet"/>
      </w:pPr>
      <w:r>
        <w:t>Manifiesta que la presente aprobación NO constituye recibo a satisfacción final ni inicio del período de garantía; ello ocurrirá con el Acta de Entrega del Hito 3.</w:t>
      </w:r>
    </w:p>
    <w:p>
      <w:pPr>
        <w:pStyle w:val="Heading1"/>
      </w:pPr>
      <w:r>
        <w:t>7. Alcance pendiente para el 50 % restante (compromiso de ejecución)</w:t>
      </w:r>
    </w:p>
    <w:p>
      <w:r>
        <w:rPr>
          <w:b w:val="0"/>
          <w:sz w:val="22"/>
        </w:rPr>
        <w:t>Para transparencia del hito y continuidad del proyecto, las partes dejan constancia del trabajo programado que integrará el cincuenta por ciento (50 %) restante y los hitos 3 y 4:</w:t>
      </w:r>
    </w:p>
    <w:p>
      <w:pPr>
        <w:pStyle w:val="ListBullet"/>
      </w:pPr>
      <w:r>
        <w:t>Completar Fase 3: Panel de administración (bandeja solicitudes, flota, conductores, historial, reportes operativos) con validación formal de EL CONTRATANTE.</w:t>
      </w:r>
    </w:p>
    <w:p>
      <w:pPr>
        <w:pStyle w:val="ListBullet"/>
      </w:pPr>
      <w:r>
        <w:t>Completar Módulo 4: Nómina — liquidación mensual, PDF desprendibles, exportación Excel, alertas.</w:t>
      </w:r>
    </w:p>
    <w:p>
      <w:pPr>
        <w:pStyle w:val="ListBullet"/>
      </w:pPr>
      <w:r>
        <w:t>Completar Módulo 5: Contratación — vacantes, selección, entrevistas, contratos y gestión documental.</w:t>
      </w:r>
    </w:p>
    <w:p>
      <w:pPr>
        <w:pStyle w:val="ListBullet"/>
      </w:pPr>
      <w:r>
        <w:t>Fase 4: Pruebas QA integrales, ajustes, despliegue producción y documentación OpenAPI/Swagger.</w:t>
      </w:r>
    </w:p>
    <w:p>
      <w:pPr>
        <w:pStyle w:val="ListBullet"/>
      </w:pPr>
      <w:r>
        <w:t>Entrega final: Acta de Recibo a Satisfacción (Hito 3 — $ 8.000.000 COP) y garantía (Hito 4).</w:t>
      </w:r>
    </w:p>
    <w:p>
      <w:pPr>
        <w:pStyle w:val="Heading1"/>
      </w:pPr>
      <w:r>
        <w:t>8. Condiciones generales</w:t>
      </w:r>
    </w:p>
    <w:p>
      <w:pPr>
        <w:pStyle w:val="ListBullet"/>
      </w:pPr>
      <w:r>
        <w:t>Vigencia de confidencialidad y protección de datos (Cláusulas Novena y Ley 1581 de 2012).</w:t>
      </w:r>
    </w:p>
    <w:p>
      <w:pPr>
        <w:pStyle w:val="ListBullet"/>
      </w:pPr>
      <w:r>
        <w:t>Propiedad intelectual: licencia de uso no exclusiva hasta pago total (Cláusula Sexta).</w:t>
      </w:r>
    </w:p>
    <w:p>
      <w:pPr>
        <w:pStyle w:val="ListBullet"/>
      </w:pPr>
      <w:r>
        <w:t>Modificaciones de alcance solo por otrosí escrito (Cláusula Décima Cuarta).</w:t>
      </w:r>
    </w:p>
    <w:p>
      <w:pPr>
        <w:pStyle w:val="ListBullet"/>
      </w:pPr>
      <w:r>
        <w:t>Solución de controversias: arreglo directo, conciliación y jurisdicción de La Ceja (Cláusula Décima Tercera).</w:t>
      </w:r>
    </w:p>
    <w:p>
      <w:pPr>
        <w:pStyle w:val="ListBullet"/>
      </w:pPr>
      <w:r>
        <w:t>El presente documento se firma en dos (2) ejemplares del mismo tenor, uno para cada parte.</w:t>
      </w:r>
    </w:p>
    <w:p>
      <w:pPr>
        <w:pStyle w:val="Heading1"/>
      </w:pPr>
      <w:r>
        <w:t>9. Firmas</w:t>
      </w:r>
    </w:p>
    <w:p>
      <w:r>
        <w:rPr>
          <w:b w:val="0"/>
          <w:sz w:val="22"/>
        </w:rPr>
        <w:t>En La Ceja, Antioquia, a los 16 días del mes de mayo de 2026.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 CONTRATANTE</w:t>
              <w:br/>
              <w:t>TRANSPORTES ANTARES S.A.S.</w:t>
              <w:br/>
              <w:t>NIT: 900.830.324-2</w:t>
              <w:br/>
              <w:br/>
              <w:t>_________________________________________</w:t>
              <w:br/>
              <w:t>Alfredo de Jesús Botero Castañeda</w:t>
              <w:br/>
              <w:t>Representante Legal</w:t>
              <w:br/>
              <w:t>C.C. 15.383.391</w:t>
              <w:br/>
              <w:br/>
              <w:t>Aprobación del 50 % del desarrollo y autorización de pago Hito 2 ($ 6.000.000 COP)</w:t>
            </w:r>
          </w:p>
        </w:tc>
        <w:tc>
          <w:tcPr>
            <w:tcW w:type="dxa" w:w="4320"/>
          </w:tcPr>
          <w:p>
            <w:r>
              <w:t>EL CONTRATISTA</w:t>
              <w:br/>
              <w:t>JULIÁN DE JESÚS TOBÓN BOTERO</w:t>
              <w:br/>
              <w:t>Desarrollador de Software independiente</w:t>
              <w:br/>
              <w:br/>
              <w:t>_________________________________________</w:t>
              <w:br/>
              <w:t>JULIÁN DE JESÚS TOBÓN BOTERO</w:t>
              <w:br/>
              <w:t>C.C. 1.040.046.958</w:t>
              <w:br/>
              <w:t>La Ceja, Antioquia</w:t>
              <w:br/>
              <w:br/>
              <w:t>Certificación de cumplimiento del 50 % del desarrollo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Anexo — Checklist de verificación para EL CONTRATANTE (opcional)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Ítem de verificación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Sitio público navegable y formulario B2B operativo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Registro/login cliente y creación de solicitud de viaje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Flujo de aprobación con ventana de 10 minutos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 y base de datos accesibles para demostración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Documentación de arquitectura y despliegue entregada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