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3611880" cy="2790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11880" cy="2790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44"/>
        </w:rPr>
        <w:t>TRANSPORTES ANTARES S.A.S</w:t>
      </w:r>
    </w:p>
    <w:p>
      <w:pPr>
        <w:jc w:val="center"/>
      </w:pPr>
      <w:r>
        <w:rPr>
          <w:b/>
          <w:sz w:val="29"/>
        </w:rPr>
        <w:t>Solución digital — Documento de arquitectura técnica (AS-IS)</w:t>
      </w:r>
    </w:p>
    <w:p>
      <w:pPr>
        <w:jc w:val="center"/>
      </w:pPr>
      <w:r>
        <w:rPr>
          <w:b w:val="0"/>
          <w:sz w:val="22"/>
        </w:rPr>
        <w:t>Vistas contextuales, contenedores, despliegue, dominio datos y sistema de diseño UX/UI</w:t>
      </w:r>
    </w:p>
    <w:p>
      <w:pPr>
        <w:jc w:val="center"/>
      </w:pPr>
      <w:r>
        <w:rPr>
          <w:b w:val="0"/>
          <w:sz w:val="21"/>
        </w:rPr>
        <w:t>Presentación institucional para validación cliente / equipo de arquitectura empresarial</w:t>
      </w:r>
    </w:p>
    <w:p/>
    <w:p/>
    <w:p>
      <w:pPr>
        <w:jc w:val="center"/>
      </w:pPr>
      <w:r>
        <w:rPr>
          <w:b/>
          <w:color w:val="D62828"/>
          <w:sz w:val="22"/>
        </w:rPr>
        <w:t>CONFIDENCIAL — Uso corporativo por destinatarios autorizados</w:t>
      </w:r>
    </w:p>
    <w:p>
      <w:pPr>
        <w:jc w:val="center"/>
      </w:pPr>
      <w:r>
        <w:rPr>
          <w:i/>
          <w:sz w:val="20"/>
        </w:rPr>
        <w:t>Mayo de 2026 — Versión reproducible automatizada desde repositorio</w:t>
      </w:r>
    </w:p>
    <w:p>
      <w:r>
        <w:br w:type="page"/>
      </w:r>
    </w:p>
    <w:p>
      <w:pPr>
        <w:pStyle w:val="Heading1"/>
      </w:pPr>
      <w:r>
        <w:t>Hoja de control documental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Campo de control documental</w:t>
            </w:r>
          </w:p>
        </w:tc>
        <w:tc>
          <w:tcPr>
            <w:tcW w:type="dxa" w:w="4320"/>
          </w:tcPr>
          <w:p>
            <w:r>
              <w:t>Valor</w:t>
            </w:r>
          </w:p>
        </w:tc>
      </w:tr>
      <w:tr>
        <w:tc>
          <w:tcPr>
            <w:tcW w:type="dxa" w:w="4320"/>
          </w:tcPr>
          <w:p>
            <w:r>
              <w:t>Clasificación sugerida</w:t>
            </w:r>
          </w:p>
        </w:tc>
        <w:tc>
          <w:tcPr>
            <w:tcW w:type="dxa" w:w="4320"/>
          </w:tcPr>
          <w:p>
            <w:r>
              <w:t>Confidencial — uso cliente y socios tecnológicos bajo acuerdos de confidencialidad aplicables</w:t>
            </w:r>
          </w:p>
        </w:tc>
      </w:tr>
      <w:tr>
        <w:tc>
          <w:tcPr>
            <w:tcW w:type="dxa" w:w="4320"/>
          </w:tcPr>
          <w:p>
            <w:r>
              <w:t>Versión del entregable</w:t>
            </w:r>
          </w:p>
        </w:tc>
        <w:tc>
          <w:tcPr>
            <w:tcW w:type="dxa" w:w="4320"/>
          </w:tcPr>
          <w:p>
            <w:r>
              <w:t>2.1 — portada institucional + vistas gráficas (PNG 220 dpi) + PDF opcional (Word/LibreOffice)</w:t>
            </w:r>
          </w:p>
        </w:tc>
      </w:tr>
      <w:tr>
        <w:tc>
          <w:tcPr>
            <w:tcW w:type="dxa" w:w="4320"/>
          </w:tcPr>
          <w:p>
            <w:r>
              <w:t>Alcance técnico</w:t>
            </w:r>
          </w:p>
        </w:tc>
        <w:tc>
          <w:tcPr>
            <w:tcW w:type="dxa" w:w="4320"/>
          </w:tcPr>
          <w:p>
            <w:r>
              <w:t>Implementación repositorio “Antares Nuevo”</w:t>
            </w:r>
          </w:p>
        </w:tc>
      </w:tr>
      <w:tr>
        <w:tc>
          <w:tcPr>
            <w:tcW w:type="dxa" w:w="4320"/>
          </w:tcPr>
          <w:p>
            <w:r>
              <w:t>Identidad visual (portada)</w:t>
            </w:r>
          </w:p>
        </w:tc>
        <w:tc>
          <w:tcPr>
            <w:tcW w:type="dxa" w:w="4320"/>
          </w:tcPr>
          <w:p>
            <w:r>
              <w:t>Logo embebido desde C:\Users\User\Documents\Antares Nuevo\imagenes empresa\Logo.png</w:t>
            </w:r>
          </w:p>
        </w:tc>
      </w:tr>
      <w:tr>
        <w:tc>
          <w:tcPr>
            <w:tcW w:type="dxa" w:w="4320"/>
          </w:tcPr>
          <w:p>
            <w:r>
              <w:t>Reproductibilidad diagramas / Word</w:t>
            </w:r>
          </w:p>
        </w:tc>
        <w:tc>
          <w:tcPr>
            <w:tcW w:type="dxa" w:w="4320"/>
          </w:tcPr>
          <w:p>
            <w:r>
              <w:t>C:\Users\User\Documents\Antares Nuevo\docs\generar_arquitectura_uiux.py</w:t>
            </w:r>
          </w:p>
        </w:tc>
      </w:tr>
    </w:tbl>
    <w:p>
      <w:r>
        <w:rPr>
          <w:b w:val="0"/>
        </w:rPr>
        <w:t>El cuerpo del informe sintetiza arquitectura AS-IS observable en código fuente (`index.html` / `app.js` / `apps/api`). Las figuras se generaron con Matplotlib para permitir auditoría reproducible ante comités de revisión tecnológica.</w:t>
      </w:r>
    </w:p>
    <w:p>
      <w:r>
        <w:br w:type="page"/>
      </w:r>
    </w:p>
    <w:p>
      <w:pPr>
        <w:pStyle w:val="Heading1"/>
      </w:pPr>
      <w:r>
        <w:t>Resumen ejecutivo</w:t>
      </w:r>
    </w:p>
    <w:p>
      <w:pPr>
        <w:pStyle w:val="ListBullet"/>
      </w:pPr>
      <w:r>
        <w:t>Plataforma monolítica en el lado cliente (`index.html` + `styles.css` + `app.js`) combinando marca pública B2B y portal empresarial con roles.</w:t>
      </w:r>
    </w:p>
    <w:p>
      <w:pPr>
        <w:pStyle w:val="ListBullet"/>
      </w:pPr>
      <w:r>
        <w:t>API REST modular NestJS 10 (`/api`) orquestando autenticación, hidratación/sync de estado y reglas específicas Colombia (liquidación período Bogotá).</w:t>
      </w:r>
    </w:p>
    <w:p>
      <w:pPr>
        <w:pStyle w:val="ListBullet"/>
      </w:pPr>
      <w:r>
        <w:t>Relacional PostgreSQL como fuente autoritativa; contrato físico DDL versionado bajo `BD/postgres/` con opción RLS y Supabase cuando se proyecta.</w:t>
      </w:r>
    </w:p>
    <w:p>
      <w:pPr>
        <w:pStyle w:val="ListBullet"/>
      </w:pPr>
      <w:r>
        <w:t>Capas de seguridad transversales: JWT, hashing bcrypt, CORS parametrizado, cabeceras de endurecimiento, rate limiting y zona horaria de sesión BD `America/Bogota`.</w:t>
      </w:r>
    </w:p>
    <w:p>
      <w:r>
        <w:br w:type="page"/>
      </w:r>
    </w:p>
    <w:p>
      <w:pPr>
        <w:pStyle w:val="Heading1"/>
      </w:pPr>
      <w:r>
        <w:t>1. Propósito, audiencia y criterios de revisión</w:t>
      </w:r>
    </w:p>
    <w:p>
      <w:r>
        <w:rPr>
          <w:b w:val="0"/>
        </w:rPr>
        <w:t>Dirigido a perfiles enterprise (arquitectos de solución, líder técnico, CISO funcionales, auditors de integración SaaS): consolida vistas C4-lite, modelo de información y referencias DDL sin sustituir un ADR formales ni políticas corporativas del cliente.</w:t>
      </w:r>
    </w:p>
    <w:p>
      <w:pPr>
        <w:pStyle w:val="Heading2"/>
      </w:pPr>
      <w:r>
        <w:t>1.1 Actores y preocupaciones transversales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Actor / stakehol.</w:t>
            </w:r>
          </w:p>
        </w:tc>
        <w:tc>
          <w:tcPr>
            <w:tcW w:type="dxa" w:w="4320"/>
          </w:tcPr>
          <w:p>
            <w:r>
              <w:t>Interés arquitectónico</w:t>
            </w:r>
          </w:p>
        </w:tc>
      </w:tr>
      <w:tr>
        <w:tc>
          <w:tcPr>
            <w:tcW w:type="dxa" w:w="4320"/>
          </w:tcPr>
          <w:p>
            <w:r>
              <w:t>Negocio logístico</w:t>
            </w:r>
          </w:p>
        </w:tc>
        <w:tc>
          <w:tcPr>
            <w:tcW w:type="dxa" w:w="4320"/>
          </w:tcPr>
          <w:p>
            <w:r>
              <w:t>Continuidad operativa, trazabilidad transporte, cumplimiento cadena de frío.</w:t>
            </w:r>
          </w:p>
        </w:tc>
      </w:tr>
      <w:tr>
        <w:tc>
          <w:tcPr>
            <w:tcW w:type="dxa" w:w="4320"/>
          </w:tcPr>
          <w:p>
            <w:r>
              <w:t>RRHH / Nómina</w:t>
            </w:r>
          </w:p>
        </w:tc>
        <w:tc>
          <w:tcPr>
            <w:tcW w:type="dxa" w:w="4320"/>
          </w:tcPr>
          <w:p>
            <w:r>
              <w:t>Homologación periodicidad pago empleado ↔ motor liquidación; cumplimiento normativo CO.</w:t>
            </w:r>
          </w:p>
        </w:tc>
      </w:tr>
      <w:tr>
        <w:tc>
          <w:tcPr>
            <w:tcW w:type="dxa" w:w="4320"/>
          </w:tcPr>
          <w:p>
            <w:r>
              <w:t>TI / Seguridad</w:t>
            </w:r>
          </w:p>
        </w:tc>
        <w:tc>
          <w:tcPr>
            <w:tcW w:type="dxa" w:w="4320"/>
          </w:tcPr>
          <w:p>
            <w:r>
              <w:t>Minimizar superficie de ataque, secretos fuera del navegador, observabilidad.</w:t>
            </w:r>
          </w:p>
        </w:tc>
      </w:tr>
      <w:tr>
        <w:tc>
          <w:tcPr>
            <w:tcW w:type="dxa" w:w="4320"/>
          </w:tcPr>
          <w:p>
            <w:r>
              <w:t>Marketing / Marca</w:t>
            </w:r>
          </w:p>
        </w:tc>
        <w:tc>
          <w:tcPr>
            <w:tcW w:type="dxa" w:w="4320"/>
          </w:tcPr>
          <w:p>
            <w:r>
              <w:t>Consistencia visual tokens CSS, accesibilidad y rendimiento percepción.</w:t>
            </w:r>
          </w:p>
        </w:tc>
      </w:tr>
    </w:tbl>
    <w:p>
      <w:r>
        <w:br w:type="page"/>
      </w:r>
    </w:p>
    <w:p>
      <w:pPr>
        <w:pStyle w:val="Heading1"/>
      </w:pPr>
      <w:r>
        <w:t>2. Marcos de referencia (lectura arquitectónica)</w:t>
      </w:r>
    </w:p>
    <w:p>
      <w:r>
        <w:rPr>
          <w:b w:val="0"/>
        </w:rPr>
        <w:t>Las siguientes figuras adoptan el espíritu de modelado en capas (ISO/IEC/IEEE 42010 + prácticas C4 / arc42) sin pretender certificación: sirven como punta de anclaje para walkthrough con un comité de arquitectura.</w:t>
      </w:r>
    </w:p>
    <w:p>
      <w:pPr>
        <w:pStyle w:val="Heading2"/>
      </w:pPr>
      <w:r>
        <w:t>2.1 Vista contextual (C4 Level 1 equivalente)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61888" cy="34548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_contexto_sistem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61888" cy="3454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A — Actores humanos, sistema digital Antares y sistemas satélite (correo, CAPTCHA, base relacional, almacenamiento opcional).</w:t>
      </w:r>
    </w:p>
    <w:p>
      <w:r>
        <w:rPr>
          <w:b w:val="0"/>
        </w:rPr>
        <w:t>La frontera del sistema recoge explícitamente la dualidad sitio público + portal y el acoplamiento débil vía proveedores (SMTP, objeto S3-compat, Postgres administrado).</w:t>
      </w:r>
    </w:p>
    <w:p>
      <w:pPr>
        <w:pStyle w:val="Heading2"/>
      </w:pPr>
      <w:r>
        <w:t>2.2 Vista de contenedores (lógicos)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61888" cy="38551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_contenedor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61888" cy="3855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B — Contenedor SPA, infraestructura estática CDN, runtime NestJS, persistencia y object storage opcional.</w:t>
      </w:r>
    </w:p>
    <w:p>
      <w:r>
        <w:br w:type="page"/>
      </w:r>
    </w:p>
    <w:p>
      <w:pPr>
        <w:pStyle w:val="Heading2"/>
      </w:pPr>
      <w:r>
        <w:t>2.3 Vista de despliegue físico / ambiente típico nube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61888" cy="32247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_despliegue_nub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61888" cy="3224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C — Separación perímetro público CDN/WAF versus runtime API segregado y cluster Postgres administrado.</w:t>
      </w:r>
    </w:p>
    <w:p>
      <w:r>
        <w:rPr>
          <w:b w:val="0"/>
        </w:rPr>
        <w:t>Este patrón es coherente con despliegues documentados auxiliares (`BD/docs/Manual_Despliegue_Supabase_Cloudflare.docx`): edge estático, API stateful detrás del perímetro aplicativo y Postgres como servicio administrado.</w:t>
      </w:r>
    </w:p>
    <w:p>
      <w:r>
        <w:br w:type="page"/>
      </w:r>
    </w:p>
    <w:p>
      <w:pPr>
        <w:pStyle w:val="Heading2"/>
      </w:pPr>
      <w:r>
        <w:t>2.4 Vista de componentes — backend NestJS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61888" cy="33207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_componentes_ap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61888" cy="3320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D — Descomposición AppModule NestJS incluyendo módulos de dominio y cross-cutting infraestructura.</w:t>
      </w:r>
    </w:p>
    <w:p>
      <w:pPr>
        <w:pStyle w:val="Heading2"/>
      </w:pPr>
      <w:r>
        <w:t>2.5 Contextos dominio / modelo de información persistido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61888" cy="308283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_contextos_dat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61888" cy="3082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E — Bounded contexts agrupados según DDL (03–06_*). FKs garantizan coherencia inter-contexto.</w:t>
      </w:r>
    </w:p>
    <w:p>
      <w:r>
        <w:br w:type="page"/>
      </w:r>
    </w:p>
    <w:p>
      <w:pPr>
        <w:pStyle w:val="Heading2"/>
      </w:pPr>
      <w:r>
        <w:t>2.6 Capas seguridad — defensa en profundidad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61888" cy="301532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_capas_segurida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61888" cy="3015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F — Controles distribuidos de borde hasta integridad datos en BD.</w:t>
      </w:r>
    </w:p>
    <w:p>
      <w:r>
        <w:br w:type="page"/>
      </w:r>
    </w:p>
    <w:p>
      <w:pPr>
        <w:pStyle w:val="Heading1"/>
      </w:pPr>
      <w:r>
        <w:t>3. Atributos de calidad observables en código AS-IS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Atributo ISO 25010 (referencia)</w:t>
            </w:r>
          </w:p>
        </w:tc>
        <w:tc>
          <w:tcPr>
            <w:tcW w:type="dxa" w:w="4320"/>
          </w:tcPr>
          <w:p>
            <w:r>
              <w:t>Evidencias en repos</w:t>
            </w:r>
          </w:p>
        </w:tc>
      </w:tr>
      <w:tr>
        <w:tc>
          <w:tcPr>
            <w:tcW w:type="dxa" w:w="4320"/>
          </w:tcPr>
          <w:p>
            <w:r>
              <w:t>Seguridad</w:t>
            </w:r>
          </w:p>
        </w:tc>
        <w:tc>
          <w:tcPr>
            <w:tcW w:type="dxa" w:w="4320"/>
          </w:tcPr>
          <w:p>
            <w:r>
              <w:t>JWT, bcrypt; Turnstile; CSP; DENY iframe; TZ sesión Postgres Bogotá; Throttler 80 rpm.</w:t>
            </w:r>
          </w:p>
        </w:tc>
      </w:tr>
      <w:tr>
        <w:tc>
          <w:tcPr>
            <w:tcW w:type="dxa" w:w="4320"/>
          </w:tcPr>
          <w:p>
            <w:r>
              <w:t>Compatibilidad / i18n</w:t>
            </w:r>
          </w:p>
        </w:tc>
        <w:tc>
          <w:tcPr>
            <w:tcW w:type="dxa" w:w="4320"/>
          </w:tcPr>
          <w:p>
            <w:r>
              <w:t>Toggle ES/en; formato fechas/monetary adaptación regional.</w:t>
            </w:r>
          </w:p>
        </w:tc>
      </w:tr>
      <w:tr>
        <w:tc>
          <w:tcPr>
            <w:tcW w:type="dxa" w:w="4320"/>
          </w:tcPr>
          <w:p>
            <w:r>
              <w:t>Mantenibilidad modular API</w:t>
            </w:r>
          </w:p>
        </w:tc>
        <w:tc>
          <w:tcPr>
            <w:tcW w:type="dxa" w:w="4320"/>
          </w:tcPr>
          <w:p>
            <w:r>
              <w:t>Inyección Nest, módulos separados Payroll/Portal/Mail...</w:t>
            </w:r>
          </w:p>
        </w:tc>
      </w:tr>
      <w:tr>
        <w:tc>
          <w:tcPr>
            <w:tcW w:type="dxa" w:w="4320"/>
          </w:tcPr>
          <w:p>
            <w:r>
              <w:t>Portabilidad</w:t>
            </w:r>
          </w:p>
        </w:tc>
        <w:tc>
          <w:tcPr>
            <w:tcW w:type="dxa" w:w="4320"/>
          </w:tcPr>
          <w:p>
            <w:r>
              <w:t>Node PostgreSQL estándares; DDL scriptable migrations.</w:t>
            </w:r>
          </w:p>
        </w:tc>
      </w:tr>
    </w:tbl>
    <w:p>
      <w:r>
        <w:br w:type="page"/>
      </w:r>
    </w:p>
    <w:p>
      <w:pPr>
        <w:pStyle w:val="Heading1"/>
      </w:pPr>
      <w:r>
        <w:t>4. Sistema de diseño UI/UX institucional</w:t>
      </w:r>
    </w:p>
    <w:p>
      <w:r>
        <w:rPr>
          <w:b w:val="0"/>
        </w:rPr>
        <w:t>`styles.css` materializa paleta marca #377CC0 derivados claros/obscuros (`:root`) y modo oscuro vía `data-theme`.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Rol tipográfico</w:t>
            </w:r>
          </w:p>
        </w:tc>
        <w:tc>
          <w:tcPr>
            <w:tcW w:type="dxa" w:w="4320"/>
          </w:tcPr>
          <w:p>
            <w:r>
              <w:t>Implementación</w:t>
            </w:r>
          </w:p>
        </w:tc>
      </w:tr>
      <w:tr>
        <w:tc>
          <w:tcPr>
            <w:tcW w:type="dxa" w:w="4320"/>
          </w:tcPr>
          <w:p>
            <w:r>
              <w:t>Títulos</w:t>
            </w:r>
          </w:p>
        </w:tc>
        <w:tc>
          <w:tcPr>
            <w:tcW w:type="dxa" w:w="4320"/>
          </w:tcPr>
          <w:p>
            <w:r>
              <w:t>Montserrat 600 (--font-display)</w:t>
            </w:r>
          </w:p>
        </w:tc>
      </w:tr>
      <w:tr>
        <w:tc>
          <w:tcPr>
            <w:tcW w:type="dxa" w:w="4320"/>
          </w:tcPr>
          <w:p>
            <w:r>
              <w:t>CTA destacados</w:t>
            </w:r>
          </w:p>
        </w:tc>
        <w:tc>
          <w:tcPr>
            <w:tcW w:type="dxa" w:w="4320"/>
          </w:tcPr>
          <w:p>
            <w:r>
              <w:t>Poppins (--font-secondary)</w:t>
            </w:r>
          </w:p>
        </w:tc>
      </w:tr>
      <w:tr>
        <w:tc>
          <w:tcPr>
            <w:tcW w:type="dxa" w:w="4320"/>
          </w:tcPr>
          <w:p>
            <w:r>
              <w:t>Cuerpo/UI</w:t>
            </w:r>
          </w:p>
        </w:tc>
        <w:tc>
          <w:tcPr>
            <w:tcW w:type="dxa" w:w="4320"/>
          </w:tcPr>
          <w:p>
            <w:r>
              <w:t>Roboto (--font-body)</w:t>
            </w:r>
          </w:p>
        </w:tc>
      </w:tr>
    </w:tbl>
    <w:p>
      <w:pPr>
        <w:pStyle w:val="Heading2"/>
      </w:pPr>
      <w:r>
        <w:t>4.1 Arquitectura de información — página pública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27648" cy="160048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_ia_sitio_public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27648" cy="1600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G — Secuencia de anclas sitio marca (orden scroll coherente con menú navegación). Anchors `services` antes `fleet`.</w:t>
      </w:r>
    </w:p>
    <w:p>
      <w:r>
        <w:rPr>
          <w:b w:val="0"/>
        </w:rPr>
        <w:t>Los patrones táctico UI (hero gradient, glass-cards, navegación sticky blur, portal overlay con backdrop móvil) se implementan mediante clases reutilizables — no mediante kit de UI comercial cerrado.</w:t>
      </w:r>
    </w:p>
    <w:p>
      <w:r>
        <w:br w:type="page"/>
      </w:r>
    </w:p>
    <w:p>
      <w:pPr>
        <w:pStyle w:val="Heading1"/>
      </w:pPr>
      <w:r>
        <w:t>5. Sincronización datos portal ↔ servidor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Colección lógica (KEYS.*)</w:t>
            </w:r>
          </w:p>
        </w:tc>
        <w:tc>
          <w:tcPr>
            <w:tcW w:type="dxa" w:w="4320"/>
          </w:tcPr>
          <w:p>
            <w:r>
              <w:t>Persistencia física Postgres</w:t>
            </w:r>
          </w:p>
        </w:tc>
      </w:tr>
      <w:tr>
        <w:tc>
          <w:tcPr>
            <w:tcW w:type="dxa" w:w="4320"/>
          </w:tcPr>
          <w:p>
            <w:r>
              <w:t>users</w:t>
            </w:r>
          </w:p>
        </w:tc>
        <w:tc>
          <w:tcPr>
            <w:tcW w:type="dxa" w:w="4320"/>
          </w:tcPr>
          <w:p>
            <w:r>
              <w:t>usuarios</w:t>
            </w:r>
          </w:p>
        </w:tc>
      </w:tr>
      <w:tr>
        <w:tc>
          <w:tcPr>
            <w:tcW w:type="dxa" w:w="4320"/>
          </w:tcPr>
          <w:p>
            <w:r>
              <w:t>companies</w:t>
            </w:r>
          </w:p>
        </w:tc>
        <w:tc>
          <w:tcPr>
            <w:tcW w:type="dxa" w:w="4320"/>
          </w:tcPr>
          <w:p>
            <w:r>
              <w:t>empresas</w:t>
            </w:r>
          </w:p>
        </w:tc>
      </w:tr>
      <w:tr>
        <w:tc>
          <w:tcPr>
            <w:tcW w:type="dxa" w:w="4320"/>
          </w:tcPr>
          <w:p>
            <w:r>
              <w:t>requests</w:t>
            </w:r>
          </w:p>
        </w:tc>
        <w:tc>
          <w:tcPr>
            <w:tcW w:type="dxa" w:w="4320"/>
          </w:tcPr>
          <w:p>
            <w:r>
              <w:t>solicitudes_transporte</w:t>
            </w:r>
          </w:p>
        </w:tc>
      </w:tr>
      <w:tr>
        <w:tc>
          <w:tcPr>
            <w:tcW w:type="dxa" w:w="4320"/>
          </w:tcPr>
          <w:p>
            <w:r>
              <w:t>vehicles / drivers</w:t>
            </w:r>
          </w:p>
        </w:tc>
        <w:tc>
          <w:tcPr>
            <w:tcW w:type="dxa" w:w="4320"/>
          </w:tcPr>
          <w:p>
            <w:r>
              <w:t>vehiculos / conductores</w:t>
            </w:r>
          </w:p>
        </w:tc>
      </w:tr>
      <w:tr>
        <w:tc>
          <w:tcPr>
            <w:tcW w:type="dxa" w:w="4320"/>
          </w:tcPr>
          <w:p>
            <w:r>
              <w:t>payrollEmployees</w:t>
            </w:r>
          </w:p>
        </w:tc>
        <w:tc>
          <w:tcPr>
            <w:tcW w:type="dxa" w:w="4320"/>
          </w:tcPr>
          <w:p>
            <w:r>
              <w:t>empleados_nomina.periodicidad_pago canónico `payFrequency`</w:t>
            </w:r>
          </w:p>
        </w:tc>
      </w:tr>
      <w:tr>
        <w:tc>
          <w:tcPr>
            <w:tcW w:type="dxa" w:w="4320"/>
          </w:tcPr>
          <w:p>
            <w:r>
              <w:t>payrollRuns</w:t>
            </w:r>
          </w:p>
        </w:tc>
        <w:tc>
          <w:tcPr>
            <w:tcW w:type="dxa" w:w="4320"/>
          </w:tcPr>
          <w:p>
            <w:r>
              <w:t>liquidaciones_nomina (periodos extendidos migr.23)</w:t>
            </w:r>
          </w:p>
        </w:tc>
      </w:tr>
      <w:tr>
        <w:tc>
          <w:tcPr>
            <w:tcW w:type="dxa" w:w="4320"/>
          </w:tcPr>
          <w:p>
            <w:r>
              <w:t>approvals</w:t>
            </w:r>
          </w:p>
        </w:tc>
        <w:tc>
          <w:tcPr>
            <w:tcW w:type="dxa" w:w="4320"/>
          </w:tcPr>
          <w:p>
            <w:r>
              <w:t>solicitudes_autorizacion</w:t>
            </w:r>
          </w:p>
        </w:tc>
      </w:tr>
    </w:tbl>
    <w:p>
      <w:r>
        <w:rPr>
          <w:b w:val="0"/>
        </w:rPr>
        <w:t>`PortalService.syncPayrollEmployees` normaliza etiquetas periodicidad mediante `canonicalPayFrequencyLabel` (archivo TS `apps/api/src/payroll/payroll-frequency.ts`) garantizando trazabilidad negocio↔motor liquidación.</w:t>
      </w:r>
    </w:p>
    <w:p>
      <w:r>
        <w:br w:type="page"/>
      </w:r>
    </w:p>
    <w:p>
      <w:pPr>
        <w:pStyle w:val="Heading1"/>
      </w:pPr>
      <w:r>
        <w:t>6. Modelo físico DDL (extracto)</w:t>
      </w:r>
    </w:p>
    <w:p>
      <w:pPr>
        <w:pStyle w:val="ListBullet"/>
      </w:pPr>
      <w:r>
        <w:t>01_extensions.sql … 06_sistema.sql: núcleo, transporte, RRHH &amp; sistema.</w:t>
      </w:r>
    </w:p>
    <w:p>
      <w:pPr>
        <w:pStyle w:val="ListBullet"/>
      </w:pPr>
      <w:r>
        <w:t>Migraciones 15–23: registro empresa, políticas cuenta, automatización líquidos, períodos extendidos nómina.</w:t>
      </w:r>
    </w:p>
    <w:p>
      <w:pPr>
        <w:pStyle w:val="ListBullet"/>
      </w:pPr>
      <w:r>
        <w:t>Opcional Supabase — RLS políticas declaradas pero activación dependiente de ambiente cliente.</w:t>
      </w:r>
    </w:p>
    <w:p>
      <w:r>
        <w:br w:type="page"/>
      </w:r>
    </w:p>
    <w:p>
      <w:pPr>
        <w:pStyle w:val="Heading1"/>
      </w:pPr>
      <w:r>
        <w:t>7. Supuestos, limitaciones conocidas</w:t>
      </w:r>
    </w:p>
    <w:p>
      <w:pPr>
        <w:pStyle w:val="ListBullet"/>
      </w:pPr>
      <w:r>
        <w:t>Se documenta SPA raíz dominante (`index.html`): `apps/web` Next coexist sin ser la experiencia canónica hoy día.</w:t>
      </w:r>
    </w:p>
    <w:p>
      <w:pPr>
        <w:pStyle w:val="ListBullet"/>
      </w:pPr>
      <w:r>
        <w:t>Diagramas sintéticos: no muestran despliegue multi-región/geo-HA hasta que proyecto lo compre.</w:t>
      </w:r>
    </w:p>
    <w:p>
      <w:pPr>
        <w:pStyle w:val="ListBullet"/>
      </w:pPr>
      <w:r>
        <w:t>No sustituye pruebas carga PEN nor formal threat modeling — son insumos de arranque comité técnico.</w:t>
      </w:r>
    </w:p>
    <w:p>
      <w:pPr>
        <w:pStyle w:val="Heading1"/>
      </w:pPr>
      <w:r>
        <w:t>8. Glosario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Término</w:t>
            </w:r>
          </w:p>
        </w:tc>
        <w:tc>
          <w:tcPr>
            <w:tcW w:type="dxa" w:w="4320"/>
          </w:tcPr>
          <w:p>
            <w:r>
              <w:t>Sentido proyecto</w:t>
            </w:r>
          </w:p>
        </w:tc>
      </w:tr>
      <w:tr>
        <w:tc>
          <w:tcPr>
            <w:tcW w:type="dxa" w:w="4320"/>
          </w:tcPr>
          <w:p>
            <w:r>
              <w:t>AS-IS / TO-BE</w:t>
            </w:r>
          </w:p>
        </w:tc>
        <w:tc>
          <w:tcPr>
            <w:tcW w:type="dxa" w:w="4320"/>
          </w:tcPr>
          <w:p>
            <w:r>
              <w:t>AS-IS = snapshot fuente disponible.</w:t>
            </w:r>
          </w:p>
        </w:tc>
      </w:tr>
      <w:tr>
        <w:tc>
          <w:tcPr>
            <w:tcW w:type="dxa" w:w="4320"/>
          </w:tcPr>
          <w:p>
            <w:r>
              <w:t>KEYS.*</w:t>
            </w:r>
          </w:p>
        </w:tc>
        <w:tc>
          <w:tcPr>
            <w:tcW w:type="dxa" w:w="4320"/>
          </w:tcPr>
          <w:p>
            <w:r>
              <w:t>Estructuras JSON colección UI cache localStorage antes sync.</w:t>
            </w:r>
          </w:p>
        </w:tc>
      </w:tr>
      <w:tr>
        <w:tc>
          <w:tcPr>
            <w:tcW w:type="dxa" w:w="4320"/>
          </w:tcPr>
          <w:p>
            <w:r>
              <w:t>Bootstrap portal</w:t>
            </w:r>
          </w:p>
        </w:tc>
        <w:tc>
          <w:tcPr>
            <w:tcW w:type="dxa" w:w="4320"/>
          </w:tcPr>
          <w:p>
            <w:r>
              <w:t>`/portal/bootstrap` hidratar usuario y listas servidor.</w:t>
            </w:r>
          </w:p>
        </w:tc>
      </w:tr>
    </w:tbl>
    <w:p>
      <w:r>
        <w:rPr>
          <w:rFonts w:ascii="Consolas" w:hAnsi="Consolas"/>
          <w:sz w:val="16"/>
        </w:rPr>
        <w:t>DOCX: C:\Users\User\Documents\Antares Nuevo\docs\Antares_Arquitectura_UI_UX.docx</w:t>
        <w:br/>
        <w:t>FIGURAS: C:\Users\User\Documents\Antares Nuevo\docs\_diagramas_antares_build</w:t>
        <w:br/>
        <w:t>Script: C:\Users\User\Documents\Antares Nuevo\docs\generar_arquitectura_uiux.py — PDF se intenta después de cerrar DOCX.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