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Transportes Antares S.A.S</w:t>
        <w:br/>
        <w:t>Arquitectura de software — Sistema de diseño UI/UX</w:t>
        <w:br/>
        <w:t>Modelo de datos y mockups de referencia</w:t>
      </w:r>
    </w:p>
    <w:p>
      <w:r>
        <w:rPr>
          <w:b w:val="0"/>
          <w:sz w:val="22"/>
        </w:rPr>
        <w:t>Documento descriptivo del estado actual del repositorio Antares Nuevo (sitio público SPA, portal operativo integrado y API NestJS). Fuente código: `C:\Users\User\Documents\Antares Nuevo`</w:t>
      </w:r>
    </w:p>
    <w:p>
      <w:r>
        <w:rPr>
          <w:b w:val="0"/>
          <w:sz w:val="22"/>
        </w:rPr>
      </w:r>
    </w:p>
    <w:p>
      <w:r>
        <w:t>Versión: 1.0 — referencia técnica y de producto para stakeholders y desarrollo.</w:t>
      </w:r>
    </w:p>
    <w:p>
      <w:r>
        <w:br w:type="page"/>
      </w:r>
    </w:p>
    <w:p>
      <w:pPr>
        <w:pStyle w:val="Heading1"/>
      </w:pPr>
      <w:r>
        <w:t>1. Alcance del producto</w:t>
      </w:r>
    </w:p>
    <w:p>
      <w:r>
        <w:rPr>
          <w:b w:val="0"/>
          <w:sz w:val="22"/>
        </w:rPr>
        <w:t>Dos caras coherentes sobre la misma identidad corporativa: (a) página de marca y captación B2B con formulario de contacto y contenido institucional; (b) portal autenticado para clientes y equipo interno según rol, con flujos operativos (solicitudes de transporte, flota, nómina, RRHH y aprobaciones). El front principal vive como aplicación contenida en `index.html`, `styles.css` y `app.js` (~Vanilla JS) con tema claro/oscuro e internacionalización (ES/en). Una API opcional en `apps/api` (NestJS) persiste contra PostgreSQL (Supabase/Render).</w:t>
      </w:r>
    </w:p>
    <w:p>
      <w:pPr>
        <w:pStyle w:val="Heading1"/>
      </w:pPr>
      <w:r>
        <w:t>2. Vista de arquitectura técnica</w:t>
      </w:r>
    </w:p>
    <w:p>
      <w:pPr>
        <w:pStyle w:val="Heading2"/>
      </w:pPr>
      <w:r>
        <w:t>2.1 Diagrama lógico (componentes)</w:t>
      </w:r>
    </w:p>
    <w:p>
      <w:r>
        <w:rPr>
          <w:rFonts w:ascii="Consolas" w:hAnsi="Consolas"/>
          <w:sz w:val="20"/>
        </w:rPr>
        <w:t xml:space="preserve">  [Visitante / Usuario navegador]</w:t>
        <w:br/>
        <w:t xml:space="preserve">            |  HTTPS + CSP meta (Turnstile, fuentes Google)</w:t>
        <w:br/>
        <w:t xml:space="preserve">            v</w:t>
        <w:br/>
        <w:t xml:space="preserve">      +-----------+       JWT /cookies        +------------------+</w:t>
        <w:br/>
        <w:t xml:space="preserve">      | index.html | &lt;----------------------&gt; | NestJS api (4000)|</w:t>
        <w:br/>
        <w:t xml:space="preserve">      | app.js    |    /api/auth, /portal/... | AppModule       |</w:t>
        <w:br/>
        <w:t xml:space="preserve">      +-----------+                          +--------+---------+</w:t>
        <w:br/>
        <w:t xml:space="preserve">            | POST sync /bootstrap                      |</w:t>
        <w:br/>
        <w:t xml:space="preserve">            | localStorage KEYS.*                       | pg Pool</w:t>
        <w:br/>
        <w:t xml:space="preserve">            v                                           v</w:t>
        <w:br/>
        <w:t xml:space="preserve">      [localStorage borrador ]              [PostgreSQL - esquema public]</w:t>
        <w:br/>
        <w:t xml:space="preserve">                                                       Supabase opcional</w:t>
      </w:r>
    </w:p>
    <w:p>
      <w:r>
        <w:rPr>
          <w:b w:val="0"/>
          <w:sz w:val="22"/>
        </w:rPr>
        <w:t>Los datos del portal pueden operar offline-first mediante `localStorage` y escritura al servidor cuando la API está configurada (`writeAwaitServer`, bootstrap `/portal/sync`). PostgreSQL replica el modelo de colecciones con comentarios `KEYS.&lt;nombre&gt;` en los scripts SQL.</w:t>
      </w:r>
    </w:p>
    <w:p>
      <w:pPr>
        <w:pStyle w:val="Heading2"/>
      </w:pPr>
      <w:r>
        <w:t>2.2 Módulos de la API (NestJS)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ConfigModule / Throttler</w:t>
            </w:r>
          </w:p>
        </w:tc>
        <w:tc>
          <w:tcPr>
            <w:tcW w:type="dxa" w:w="4320"/>
          </w:tcPr>
          <w:p>
            <w:r>
              <w:t>Variables `.env`; límite 80 req/min por IP.</w:t>
            </w:r>
          </w:p>
        </w:tc>
      </w:tr>
      <w:tr>
        <w:tc>
          <w:tcPr>
            <w:tcW w:type="dxa" w:w="4320"/>
          </w:tcPr>
          <w:p>
            <w:r>
              <w:t>DatabaseModule + pg Pool</w:t>
            </w:r>
          </w:p>
        </w:tc>
        <w:tc>
          <w:tcPr>
            <w:tcW w:type="dxa" w:w="4320"/>
          </w:tcPr>
          <w:p>
            <w:r>
              <w:t>Conexión Postgres; zona horaria de sesión `America/Bogota` donde aplica.</w:t>
            </w:r>
          </w:p>
        </w:tc>
      </w:tr>
      <w:tr>
        <w:tc>
          <w:tcPr>
            <w:tcW w:type="dxa" w:w="4320"/>
          </w:tcPr>
          <w:p>
            <w:r>
              <w:t>AuthModule</w:t>
            </w:r>
          </w:p>
        </w:tc>
        <w:tc>
          <w:tcPr>
            <w:tcW w:type="dxa" w:w="4320"/>
          </w:tcPr>
          <w:p>
            <w:r>
              <w:t>JWT (access token), bcrypt, Passport, Turnstile, correo recuperación/aprobación.</w:t>
            </w:r>
          </w:p>
        </w:tc>
      </w:tr>
      <w:tr>
        <w:tc>
          <w:tcPr>
            <w:tcW w:type="dxa" w:w="4320"/>
          </w:tcPr>
          <w:p>
            <w:r>
              <w:t>PortalModule</w:t>
            </w:r>
          </w:p>
        </w:tc>
        <w:tc>
          <w:tcPr>
            <w:tcW w:type="dxa" w:w="4320"/>
          </w:tcPr>
          <w:p>
            <w:r>
              <w:t>Bootstrap, sincronización de entidades (empresas, usuarios, nómina, viajes…).</w:t>
            </w:r>
          </w:p>
        </w:tc>
      </w:tr>
      <w:tr>
        <w:tc>
          <w:tcPr>
            <w:tcW w:type="dxa" w:w="4320"/>
          </w:tcPr>
          <w:p>
            <w:r>
              <w:t>PayrollModule</w:t>
            </w:r>
          </w:p>
        </w:tc>
        <w:tc>
          <w:tcPr>
            <w:tcW w:type="dxa" w:w="4320"/>
          </w:tcPr>
          <w:p>
            <w:r>
              <w:t>Liquidación/colombiano, autocorte por periodicidad Bogotá, `@nestjs/schedule`.</w:t>
            </w:r>
          </w:p>
        </w:tc>
      </w:tr>
      <w:tr>
        <w:tc>
          <w:tcPr>
            <w:tcW w:type="dxa" w:w="4320"/>
          </w:tcPr>
          <w:p>
            <w:r>
              <w:t>FilesModule / UploadsModule</w:t>
            </w:r>
          </w:p>
        </w:tc>
        <w:tc>
          <w:tcPr>
            <w:tcW w:type="dxa" w:w="4320"/>
          </w:tcPr>
          <w:p>
            <w:r>
              <w:t>Documentos firmados/presigned (ej. R2/S3 según configuración).</w:t>
            </w:r>
          </w:p>
        </w:tc>
      </w:tr>
      <w:tr>
        <w:tc>
          <w:tcPr>
            <w:tcW w:type="dxa" w:w="4320"/>
          </w:tcPr>
          <w:p>
            <w:r>
              <w:t>MailModule</w:t>
            </w:r>
          </w:p>
        </w:tc>
        <w:tc>
          <w:tcPr>
            <w:tcW w:type="dxa" w:w="4320"/>
          </w:tcPr>
          <w:p>
            <w:r>
              <w:t>Resend / alternativas.</w:t>
            </w:r>
          </w:p>
        </w:tc>
      </w:tr>
      <w:tr>
        <w:tc>
          <w:tcPr>
            <w:tcW w:type="dxa" w:w="4320"/>
          </w:tcPr>
          <w:p>
            <w:r>
              <w:t>B2bProspectModule</w:t>
            </w:r>
          </w:p>
        </w:tc>
        <w:tc>
          <w:tcPr>
            <w:tcW w:type="dxa" w:w="4320"/>
          </w:tcPr>
          <w:p>
            <w:r>
              <w:t>Prospectos formulario institucional.</w:t>
            </w:r>
          </w:p>
        </w:tc>
      </w:tr>
    </w:tbl>
    <w:p>
      <w:pPr>
        <w:pStyle w:val="Heading2"/>
      </w:pPr>
      <w:r>
        <w:t>2.3 Seguridad y cabeceras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Lista explícita dev + dominios prod Antares (*.vercel, pages.dev opcional); credenciales.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`X-Content-Type-Options: nosniff`, `X-Frame-Options: DENY`, Referrer-Policy.</w:t>
            </w:r>
          </w:p>
        </w:tc>
      </w:tr>
      <w:tr>
        <w:tc>
          <w:tcPr>
            <w:tcW w:type="dxa" w:w="4320"/>
          </w:tcPr>
          <w:p>
            <w:r>
              <w:t>Front</w:t>
            </w:r>
          </w:p>
        </w:tc>
        <w:tc>
          <w:tcPr>
            <w:tcW w:type="dxa" w:w="4320"/>
          </w:tcPr>
          <w:p>
            <w:r>
              <w:t>CSP en meta (base-uri, frame-ancestors, form-action), Turnstile anti-bot en auth.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ValidationPipe global Nest (whitelist, forbidNonWhitelisted).</w:t>
            </w:r>
          </w:p>
        </w:tc>
      </w:tr>
    </w:tbl>
    <w:p>
      <w:pPr>
        <w:pStyle w:val="Heading2"/>
      </w:pPr>
      <w:r>
        <w:t>2.4 Front secundario</w:t>
      </w:r>
    </w:p>
    <w:p>
      <w:r>
        <w:rPr>
          <w:b w:val="0"/>
          <w:sz w:val="22"/>
        </w:rPr>
        <w:t>Existe `apps/web` (Next.js + Tailwind) con variables de marca alineadas en `globals.css`. La experiencia principal documentada aquí corresponde al SPA raíz (`index.html` + `styles.css`).</w:t>
      </w:r>
    </w:p>
    <w:p>
      <w:r>
        <w:br w:type="page"/>
      </w:r>
    </w:p>
    <w:p>
      <w:pPr>
        <w:pStyle w:val="Heading1"/>
      </w:pPr>
      <w:r>
        <w:t>3. Sistema de diseño UI</w:t>
      </w:r>
    </w:p>
    <w:p>
      <w:r>
        <w:rPr>
          <w:b w:val="0"/>
          <w:sz w:val="22"/>
        </w:rPr>
        <w:t>Las variables CSS en `:root` y `body[data-theme="dark"]` definen el sistema visual: paleta corporativa azul Antares, elevación de tarjetas, radios y tipografía institucional. No hay librería de componentes tipo Material; los patrones son clases CSS reutilizables (`.btn`, `.card`, `.glass-card`, secciones hero/section-soft).</w:t>
      </w:r>
    </w:p>
    <w:p>
      <w:pPr>
        <w:pStyle w:val="Heading2"/>
      </w:pPr>
      <w:r>
        <w:t>3.1 Tokens de color (modo claro — referencia `:root`)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 CSS</w:t>
            </w:r>
          </w:p>
        </w:tc>
        <w:tc>
          <w:tcPr>
            <w:tcW w:type="dxa" w:w="4320"/>
          </w:tcPr>
          <w:p>
            <w:r>
              <w:t>Hex / uso</w:t>
            </w:r>
          </w:p>
        </w:tc>
      </w:tr>
      <w:tr>
        <w:tc>
          <w:tcPr>
            <w:tcW w:type="dxa" w:w="4320"/>
          </w:tcPr>
          <w:p>
            <w:r>
              <w:t>--brand-blue-deep / --primary</w:t>
            </w:r>
          </w:p>
        </w:tc>
        <w:tc>
          <w:tcPr>
            <w:tcW w:type="dxa" w:w="4320"/>
          </w:tcPr>
          <w:p>
            <w:r>
              <w:t>#377CC0 · acento marca, enlaces fuertes, theme-color meta</w:t>
            </w:r>
          </w:p>
        </w:tc>
      </w:tr>
      <w:tr>
        <w:tc>
          <w:tcPr>
            <w:tcW w:type="dxa" w:w="4320"/>
          </w:tcPr>
          <w:p>
            <w:r>
              <w:t>--brand-blue-mid / --accent</w:t>
            </w:r>
          </w:p>
        </w:tc>
        <w:tc>
          <w:tcPr>
            <w:tcW w:type="dxa" w:w="4320"/>
          </w:tcPr>
          <w:p>
            <w:r>
              <w:t>#83BEE9 · acentos suaves</w:t>
            </w:r>
          </w:p>
        </w:tc>
      </w:tr>
      <w:tr>
        <w:tc>
          <w:tcPr>
            <w:tcW w:type="dxa" w:w="4320"/>
          </w:tcPr>
          <w:p>
            <w:r>
              <w:t>--brand-blue-soft</w:t>
            </w:r>
          </w:p>
        </w:tc>
        <w:tc>
          <w:tcPr>
            <w:tcW w:type="dxa" w:w="4320"/>
          </w:tcPr>
          <w:p>
            <w:r>
              <w:t>#CCE5F8 · fondos de módulos</w:t>
            </w:r>
          </w:p>
        </w:tc>
      </w:tr>
      <w:tr>
        <w:tc>
          <w:tcPr>
            <w:tcW w:type="dxa" w:w="4320"/>
          </w:tcPr>
          <w:p>
            <w:r>
              <w:t>--primary-dark / --primary-deeper</w:t>
            </w:r>
          </w:p>
        </w:tc>
        <w:tc>
          <w:tcPr>
            <w:tcW w:type="dxa" w:w="4320"/>
          </w:tcPr>
          <w:p>
            <w:r>
              <w:t>#2A6399 · #1E4A73 · profundidad en gradientes</w:t>
            </w:r>
          </w:p>
        </w:tc>
      </w:tr>
      <w:tr>
        <w:tc>
          <w:tcPr>
            <w:tcW w:type="dxa" w:w="4320"/>
          </w:tcPr>
          <w:p>
            <w:r>
              <w:t>--text / --text-soft</w:t>
            </w:r>
          </w:p>
        </w:tc>
        <w:tc>
          <w:tcPr>
            <w:tcW w:type="dxa" w:w="4320"/>
          </w:tcPr>
          <w:p>
            <w:r>
              <w:t>#0B2138 · #3A5A78</w:t>
            </w:r>
          </w:p>
        </w:tc>
      </w:tr>
      <w:tr>
        <w:tc>
          <w:tcPr>
            <w:tcW w:type="dxa" w:w="4320"/>
          </w:tcPr>
          <w:p>
            <w:r>
              <w:t>--line</w:t>
            </w:r>
          </w:p>
        </w:tc>
        <w:tc>
          <w:tcPr>
            <w:tcW w:type="dxa" w:w="4320"/>
          </w:tcPr>
          <w:p>
            <w:r>
              <w:t>#B8D4EB · bordes</w:t>
            </w:r>
          </w:p>
        </w:tc>
      </w:tr>
      <w:tr>
        <w:tc>
          <w:tcPr>
            <w:tcW w:type="dxa" w:w="4320"/>
          </w:tcPr>
          <w:p>
            <w:r>
              <w:t>--success / --warning / --danger</w:t>
            </w:r>
          </w:p>
        </w:tc>
        <w:tc>
          <w:tcPr>
            <w:tcW w:type="dxa" w:w="4320"/>
          </w:tcPr>
          <w:p>
            <w:r>
              <w:t>#1B8E5F · #F59F00 · #D62828</w:t>
            </w:r>
          </w:p>
        </w:tc>
      </w:tr>
      <w:tr>
        <w:tc>
          <w:tcPr>
            <w:tcW w:type="dxa" w:w="4320"/>
          </w:tcPr>
          <w:p>
            <w:r>
              <w:t>Hero gradient</w:t>
            </w:r>
          </w:p>
        </w:tc>
        <w:tc>
          <w:tcPr>
            <w:tcW w:type="dxa" w:w="4320"/>
          </w:tcPr>
          <w:p>
            <w:r>
              <w:t>linear 135deg: #1E4A73 → #377CC0 → #83BEE9</w:t>
            </w:r>
          </w:p>
        </w:tc>
      </w:tr>
      <w:tr>
        <w:tc>
          <w:tcPr>
            <w:tcW w:type="dxa" w:w="4320"/>
          </w:tcPr>
          <w:p>
            <w:r>
              <w:t>Sombras tarjeta/botón</w:t>
            </w:r>
          </w:p>
        </w:tc>
        <w:tc>
          <w:tcPr>
            <w:tcW w:type="dxa" w:w="4320"/>
          </w:tcPr>
          <w:p>
            <w:r>
              <w:t>rgba(primary-rgb) con radios 16px / 10px</w:t>
            </w:r>
          </w:p>
        </w:tc>
      </w:tr>
    </w:tbl>
    <w:p>
      <w:pPr>
        <w:pStyle w:val="Heading2"/>
      </w:pPr>
      <w:r>
        <w:t>3.2 Modo oscuro</w:t>
      </w:r>
    </w:p>
    <w:p>
      <w:r>
        <w:rPr>
          <w:b w:val="0"/>
          <w:sz w:val="22"/>
        </w:rPr>
        <w:t>Al activar `data-theme="dark"` en `body`, se invierten fondos (base #071824), texto claro, nav translúcida oscura, y sombras más profundas. La preferencia persiste en `localStorage` (`antares_theme_v1`). El arranque del portal oculta el sitio público brevemente si hay sesión válida para evitar parpadeo de tema.</w:t>
      </w:r>
    </w:p>
    <w:p>
      <w:pPr>
        <w:pStyle w:val="Heading2"/>
      </w:pPr>
      <w:r>
        <w:t>3.3 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Familia (Google Fonts)</w:t>
            </w:r>
          </w:p>
        </w:tc>
      </w:tr>
      <w:tr>
        <w:tc>
          <w:tcPr>
            <w:tcW w:type="dxa" w:w="4320"/>
          </w:tcPr>
          <w:p>
            <w:r>
              <w:t>Display / títulos</w:t>
            </w:r>
          </w:p>
        </w:tc>
        <w:tc>
          <w:tcPr>
            <w:tcW w:type="dxa" w:w="4320"/>
          </w:tcPr>
          <w:p>
            <w:r>
              <w:t>Montserrat 600 — variable `--font-display`</w:t>
            </w:r>
          </w:p>
        </w:tc>
      </w:tr>
      <w:tr>
        <w:tc>
          <w:tcPr>
            <w:tcW w:type="dxa" w:w="4320"/>
          </w:tcPr>
          <w:p>
            <w:r>
              <w:t>Énfasis / CTA secundarios</w:t>
            </w:r>
          </w:p>
        </w:tc>
        <w:tc>
          <w:tcPr>
            <w:tcW w:type="dxa" w:w="4320"/>
          </w:tcPr>
          <w:p>
            <w:r>
              <w:t>Poppins 600–700 — `--font-secondary`</w:t>
            </w:r>
          </w:p>
        </w:tc>
      </w:tr>
      <w:tr>
        <w:tc>
          <w:tcPr>
            <w:tcW w:type="dxa" w:w="4320"/>
          </w:tcPr>
          <w:p>
            <w:r>
              <w:t>Cuerpo / formularios</w:t>
            </w:r>
          </w:p>
        </w:tc>
        <w:tc>
          <w:tcPr>
            <w:tcW w:type="dxa" w:w="4320"/>
          </w:tcPr>
          <w:p>
            <w:r>
              <w:t>Roboto 400–500 — `--font-body`</w:t>
            </w:r>
          </w:p>
        </w:tc>
      </w:tr>
    </w:tbl>
    <w:p>
      <w:r>
        <w:rPr>
          <w:b w:val="0"/>
          <w:sz w:val="22"/>
        </w:rPr>
        <w:t>Contenedor principal: `width: min(1180px, 92%)`; barra superior usa hasta 1360px.</w:t>
      </w:r>
    </w:p>
    <w:p>
      <w:pPr>
        <w:pStyle w:val="Heading2"/>
      </w:pPr>
      <w:r>
        <w:t>3.4 Componentes y patrones de interfaz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Patrón</w:t>
            </w:r>
          </w:p>
        </w:tc>
        <w:tc>
          <w:tcPr>
            <w:tcW w:type="dxa" w:w="4320"/>
          </w:tcPr>
          <w:p>
            <w:r>
              <w:t>Comportamiento</w:t>
            </w:r>
          </w:p>
        </w:tc>
      </w:tr>
      <w:tr>
        <w:tc>
          <w:tcPr>
            <w:tcW w:type="dxa" w:w="4320"/>
          </w:tcPr>
          <w:p>
            <w:r>
              <w:t>Barra superior pública</w:t>
            </w:r>
          </w:p>
        </w:tc>
        <w:tc>
          <w:tcPr>
            <w:tcW w:type="dxa" w:w="4320"/>
          </w:tcPr>
          <w:p>
            <w:r>
              <w:t>Sticky, blur, logo PNG, anclas a secciones, hamburguesa móvil, tema, idioma CO/US, CTA Portal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Imagen de fondo, overlay, siluetas animadas, logo en panel glass, stats en glass-card, botones primary/ghost</w:t>
            </w:r>
          </w:p>
        </w:tc>
      </w:tr>
      <w:tr>
        <w:tc>
          <w:tcPr>
            <w:tcW w:type="dxa" w:w="4320"/>
          </w:tcPr>
          <w:p>
            <w:r>
              <w:t>Secciones</w:t>
            </w:r>
          </w:p>
        </w:tc>
        <w:tc>
          <w:tcPr>
            <w:tcW w:type="dxa" w:w="4320"/>
          </w:tcPr>
          <w:p>
            <w:r>
              <w:t>Ondas SVG entre bloques, grids 2–3 columnas, cards con icono SVG stroke 2px</w:t>
            </w:r>
          </w:p>
        </w:tc>
      </w:tr>
      <w:tr>
        <w:tc>
          <w:tcPr>
            <w:tcW w:type="dxa" w:w="4320"/>
          </w:tcPr>
          <w:p>
            <w:r>
              <w:t>Botones</w:t>
            </w:r>
          </w:p>
        </w:tc>
        <w:tc>
          <w:tcPr>
            <w:tcW w:type="dxa" w:w="4320"/>
          </w:tcPr>
          <w:p>
            <w:r>
              <w:t>`.btn-primary` con sombra de marca; `.btn-ghost-light` sobre hero oscuro</w:t>
            </w:r>
          </w:p>
        </w:tc>
      </w:tr>
      <w:tr>
        <w:tc>
          <w:tcPr>
            <w:tcW w:type="dxa" w:w="4320"/>
          </w:tcPr>
          <w:p>
            <w:r>
              <w:t>Portal</w:t>
            </w:r>
          </w:p>
        </w:tc>
        <w:tc>
          <w:tcPr>
            <w:tcW w:type="dxa" w:w="4320"/>
          </w:tcPr>
          <w:p>
            <w:r>
              <w:t>Contenedor `#portal-app` reemplaza vista pública; backdrop de navegación móvil</w:t>
            </w:r>
          </w:p>
        </w:tc>
      </w:tr>
      <w:tr>
        <w:tc>
          <w:tcPr>
            <w:tcW w:type="dxa" w:w="4320"/>
          </w:tcPr>
          <w:p>
            <w:r>
              <w:t>Notificaciones</w:t>
            </w:r>
          </w:p>
        </w:tc>
        <w:tc>
          <w:tcPr>
            <w:tcW w:type="dxa" w:w="4320"/>
          </w:tcPr>
          <w:p>
            <w:r>
              <w:t>Toasts/aviso coherentes con colores semánticos</w:t>
            </w:r>
          </w:p>
        </w:tc>
      </w:tr>
      <w:tr>
        <w:tc>
          <w:tcPr>
            <w:tcW w:type="dxa" w:w="4320"/>
          </w:tcPr>
          <w:p>
            <w:r>
              <w:t>Formularios RRHH/Nómina</w:t>
            </w:r>
          </w:p>
        </w:tc>
        <w:tc>
          <w:tcPr>
            <w:tcW w:type="dxa" w:w="4320"/>
          </w:tcPr>
          <w:p>
            <w:r>
              <w:t>Catálogo `CO_CATALOGS` (selects coherentes país Colombia): periodicidad, EPS, contrato, etc.</w:t>
            </w:r>
          </w:p>
        </w:tc>
      </w:tr>
    </w:tbl>
    <w:p>
      <w:pPr>
        <w:pStyle w:val="Heading2"/>
      </w:pPr>
      <w:r>
        <w:t>3.5 Accesibilidad y UX aplicada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Implementación observable</w:t>
            </w:r>
          </w:p>
        </w:tc>
      </w:tr>
      <w:tr>
        <w:tc>
          <w:tcPr>
            <w:tcW w:type="dxa" w:w="4320"/>
          </w:tcPr>
          <w:p>
            <w:r>
              <w:t>Aria</w:t>
            </w:r>
          </w:p>
        </w:tc>
        <w:tc>
          <w:tcPr>
            <w:tcW w:type="dxa" w:w="4320"/>
          </w:tcPr>
          <w:p>
            <w:r>
              <w:t>Etiquetas en nav, aria-expanded en menú hamburguesa, tema e idioma con role group</w:t>
            </w:r>
          </w:p>
        </w:tc>
      </w:tr>
      <w:tr>
        <w:tc>
          <w:tcPr>
            <w:tcW w:type="dxa" w:w="4320"/>
          </w:tcPr>
          <w:p>
            <w:r>
              <w:t>Contraste</w:t>
            </w:r>
          </w:p>
        </w:tc>
        <w:tc>
          <w:tcPr>
            <w:tcW w:type="dxa" w:w="4320"/>
          </w:tcPr>
          <w:p>
            <w:r>
              <w:t>Texto oscuro sobre fondos claros; en oscuro texto #E8F4FC sobre base profunda</w:t>
            </w:r>
          </w:p>
        </w:tc>
      </w:tr>
      <w:tr>
        <w:tc>
          <w:tcPr>
            <w:tcW w:type="dxa" w:w="4320"/>
          </w:tcPr>
          <w:p>
            <w:r>
              <w:t>Motion</w:t>
            </w:r>
          </w:p>
        </w:tc>
        <w:tc>
          <w:tcPr>
            <w:tcW w:type="dxa" w:w="4320"/>
          </w:tcPr>
          <w:p>
            <w:r>
              <w:t>`scroll-behavior: smooth`; animaciones hero no bloqueantes con `prefers-*` donde aplica</w:t>
            </w:r>
          </w:p>
        </w:tc>
      </w:tr>
      <w:tr>
        <w:tc>
          <w:tcPr>
            <w:tcW w:type="dxa" w:w="4320"/>
          </w:tcPr>
          <w:p>
            <w:r>
              <w:t>Sesión portal</w:t>
            </w:r>
          </w:p>
        </w:tc>
        <w:tc>
          <w:tcPr>
            <w:tcW w:type="dxa" w:w="4320"/>
          </w:tcPr>
          <w:p>
            <w:r>
              <w:t>`antares_session_v2` + `lastActivityAt`; boot guard contra flash UI</w:t>
            </w:r>
          </w:p>
        </w:tc>
      </w:tr>
    </w:tbl>
    <w:p>
      <w:r>
        <w:br w:type="page"/>
      </w:r>
    </w:p>
    <w:p>
      <w:pPr>
        <w:pStyle w:val="Heading1"/>
      </w:pPr>
      <w:r>
        <w:t>4. Mapa UX del sitio público (referencia `index.html`)</w:t>
      </w:r>
    </w:p>
    <w:p>
      <w:r>
        <w:rPr>
          <w:rFonts w:ascii="Consolas" w:hAnsi="Consolas"/>
          <w:sz w:val="18"/>
        </w:rPr>
        <w:t>[#hero]            Marca · propuesta valor · KPIs · CTA contacto / login</w:t>
        <w:br/>
        <w:t>[#about]           Quiénes somos · valores · estándar</w:t>
        <w:br/>
        <w:t>[#trusted]         Carrusel/logo pills aliados</w:t>
        <w:br/>
        <w:t>[#testimonials]    Experiencias</w:t>
        <w:br/>
        <w:t>[#services]        Servicios</w:t>
        <w:br/>
        <w:t>[#fleet]           Flota</w:t>
        <w:br/>
        <w:t>[#process]         Proceso operativo</w:t>
        <w:br/>
        <w:t>[#coverage]        Cobertura</w:t>
        <w:br/>
        <w:t>[#news]            Actualidad</w:t>
        <w:br/>
        <w:t>[#careers]         Carreras · formulario/contacto RH</w:t>
        <w:br/>
        <w:t>[#contact]         Formulario institucional B2B</w:t>
      </w:r>
    </w:p>
    <w:p>
      <w:pPr>
        <w:pStyle w:val="Heading1"/>
      </w:pPr>
      <w:r>
        <w:t>5. Mapa UX del portal (SPA `app.js`)</w:t>
      </w:r>
    </w:p>
    <w:p>
      <w:r>
        <w:rPr>
          <w:b w:val="0"/>
          <w:sz w:val="22"/>
        </w:rPr>
        <w:t>Las vistas renderizadas dependen del rol (`ROLES`): administración usa módulos ampliados; cliente ve solicitudes y dashboards acotados. Los datos siguen colecciones lógicas mapeadas a tablas Postgres al sincronizar.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Colección lógica (KEYS.*)</w:t>
            </w:r>
          </w:p>
        </w:tc>
        <w:tc>
          <w:tcPr>
            <w:tcW w:type="dxa" w:w="4320"/>
          </w:tcPr>
          <w:p>
            <w:r>
              <w:t>Tabla Postgres principal</w:t>
            </w:r>
          </w:p>
        </w:tc>
      </w:tr>
      <w:tr>
        <w:tc>
          <w:tcPr>
            <w:tcW w:type="dxa" w:w="4320"/>
          </w:tcPr>
          <w:p>
            <w:r>
              <w:t>users → usuarios</w:t>
            </w:r>
          </w:p>
        </w:tc>
        <w:tc>
          <w:tcPr>
            <w:tcW w:type="dxa" w:w="4320"/>
          </w:tcPr>
          <w:p>
            <w:r>
              <w:t>Perfil portal, estado cuenta, empresa</w:t>
            </w:r>
          </w:p>
        </w:tc>
      </w:tr>
      <w:tr>
        <w:tc>
          <w:tcPr>
            <w:tcW w:type="dxa" w:w="4320"/>
          </w:tcPr>
          <w:p>
            <w:r>
              <w:t>companies → empresas</w:t>
            </w:r>
          </w:p>
        </w:tc>
        <w:tc>
          <w:tcPr>
            <w:tcW w:type="dxa" w:w="4320"/>
          </w:tcPr>
          <w:p>
            <w:r>
              <w:t>NIT, tipo relación, activo</w:t>
            </w:r>
          </w:p>
        </w:tc>
      </w:tr>
      <w:tr>
        <w:tc>
          <w:tcPr>
            <w:tcW w:type="dxa" w:w="4320"/>
          </w:tcPr>
          <w:p>
            <w:r>
              <w:t>requests → solicitudes_transporte</w:t>
            </w:r>
          </w:p>
        </w:tc>
        <w:tc>
          <w:tcPr>
            <w:tcW w:type="dxa" w:w="4320"/>
          </w:tcPr>
          <w:p>
            <w:r>
              <w:t>Flujo cliente-operatorio</w:t>
            </w:r>
          </w:p>
        </w:tc>
      </w:tr>
      <w:tr>
        <w:tc>
          <w:tcPr>
            <w:tcW w:type="dxa" w:w="4320"/>
          </w:tcPr>
          <w:p>
            <w:r>
              <w:t>vehicles / drivers → vehiculos / conductores</w:t>
            </w:r>
          </w:p>
        </w:tc>
        <w:tc>
          <w:tcPr>
            <w:tcW w:type="dxa" w:w="4320"/>
          </w:tcPr>
          <w:p>
            <w:r>
              <w:t>Capacidad, licencias, ocupación sistema</w:t>
            </w:r>
          </w:p>
        </w:tc>
      </w:tr>
      <w:tr>
        <w:tc>
          <w:tcPr>
            <w:tcW w:type="dxa" w:w="4320"/>
          </w:tcPr>
          <w:p>
            <w:r>
              <w:t>payrollEmployees → empleados_nomina</w:t>
            </w:r>
          </w:p>
        </w:tc>
        <w:tc>
          <w:tcPr>
            <w:tcW w:type="dxa" w:w="4320"/>
          </w:tcPr>
          <w:p>
            <w:r>
              <w:t>Incl. periodicidad_pago homologada con formulario alta</w:t>
            </w:r>
          </w:p>
        </w:tc>
      </w:tr>
      <w:tr>
        <w:tc>
          <w:tcPr>
            <w:tcW w:type="dxa" w:w="4320"/>
          </w:tcPr>
          <w:p>
            <w:r>
              <w:t>payrollRuns → liquidaciones_nomina</w:t>
            </w:r>
          </w:p>
        </w:tc>
        <w:tc>
          <w:tcPr>
            <w:tcW w:type="dxa" w:w="4320"/>
          </w:tcPr>
          <w:p>
            <w:r>
              <w:t>Conceptos legales CO, periodos YYYY-MM (+ sufijos cortes migr. 23)</w:t>
            </w:r>
          </w:p>
        </w:tc>
      </w:tr>
      <w:tr>
        <w:tc>
          <w:tcPr>
            <w:tcW w:type="dxa" w:w="4320"/>
          </w:tcPr>
          <w:p>
            <w:r>
              <w:t>hrAbsences → ausencias_laborales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vacancies → vacantes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candidates → candidatos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interviews → entrevistas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contracts → contratos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positions → cargos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approvals → solicitudes_autorizacion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notifications → notificaciones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tripRouteRates → tarifas_trayecto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Modelo de datos (PostgreSQL — scripts `BD/postgres`)</w:t>
      </w:r>
    </w:p>
    <w:p>
      <w:r>
        <w:rPr>
          <w:b w:val="0"/>
          <w:sz w:val="22"/>
        </w:rPr>
        <w:t>Los módulos DDL están segregados por dominio. Tipos ENUM en `02_enums.sql`. RLS opcional (`09_rls_tablas.sql`, `10_rls_storage_supabase.sql`). Comentarios en tablas relacionan cada entidad con la clave en el SPA.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base</w:t>
            </w:r>
          </w:p>
        </w:tc>
        <w:tc>
          <w:tcPr>
            <w:tcW w:type="dxa" w:w="4320"/>
          </w:tcPr>
          <w:p>
            <w:r>
              <w:t>Contenido resumido</w:t>
            </w:r>
          </w:p>
        </w:tc>
      </w:tr>
      <w:tr>
        <w:tc>
          <w:tcPr>
            <w:tcW w:type="dxa" w:w="4320"/>
          </w:tcPr>
          <w:p>
            <w:r>
              <w:t>01_extensions.sql</w:t>
            </w:r>
          </w:p>
        </w:tc>
        <w:tc>
          <w:tcPr>
            <w:tcW w:type="dxa" w:w="4320"/>
          </w:tcPr>
          <w:p>
            <w:r>
              <w:t>Extensiones Postgres necesarias</w:t>
            </w:r>
          </w:p>
        </w:tc>
      </w:tr>
      <w:tr>
        <w:tc>
          <w:tcPr>
            <w:tcW w:type="dxa" w:w="4320"/>
          </w:tcPr>
          <w:p>
            <w:r>
              <w:t>02_enums.sql</w:t>
            </w:r>
          </w:p>
        </w:tc>
        <w:tc>
          <w:tcPr>
            <w:tcW w:type="dxa" w:w="4320"/>
          </w:tcPr>
          <w:p>
            <w:r>
              <w:t>Roles, estados solicitud/aprobación, etc.</w:t>
            </w:r>
          </w:p>
        </w:tc>
      </w:tr>
      <w:tr>
        <w:tc>
          <w:tcPr>
            <w:tcW w:type="dxa" w:w="4320"/>
          </w:tcPr>
          <w:p>
            <w:r>
              <w:t>03_nucleo_empresa_usuarios.sql</w:t>
            </w:r>
          </w:p>
        </w:tc>
        <w:tc>
          <w:tcPr>
            <w:tcW w:type="dxa" w:w="4320"/>
          </w:tcPr>
          <w:p>
            <w:r>
              <w:t>empresas, usuarios, permisos_usuario, reglas_viatico, parametros_sistema</w:t>
            </w:r>
          </w:p>
        </w:tc>
      </w:tr>
      <w:tr>
        <w:tc>
          <w:tcPr>
            <w:tcW w:type="dxa" w:w="4320"/>
          </w:tcPr>
          <w:p>
            <w:r>
              <w:t>04_transporte.sql</w:t>
            </w:r>
          </w:p>
        </w:tc>
        <w:tc>
          <w:tcPr>
            <w:tcW w:type="dxa" w:w="4320"/>
          </w:tcPr>
          <w:p>
            <w:r>
              <w:t>vehiculos, conductores, tarifas_trayecto, solicitudes_transporte, viajes_transporte, combustible/logs si aplica</w:t>
            </w:r>
          </w:p>
        </w:tc>
      </w:tr>
      <w:tr>
        <w:tc>
          <w:tcPr>
            <w:tcW w:type="dxa" w:w="4320"/>
          </w:tcPr>
          <w:p>
            <w:r>
              <w:t>05_rrhh.sql</w:t>
            </w:r>
          </w:p>
        </w:tc>
        <w:tc>
          <w:tcPr>
            <w:tcW w:type="dxa" w:w="4320"/>
          </w:tcPr>
          <w:p>
            <w:r>
              <w:t>cargos, vacantes, candidatos, entrevistas, contratos, empleados_nomina, liquidaciones_nomina, ausencias, SST</w:t>
            </w:r>
          </w:p>
        </w:tc>
      </w:tr>
      <w:tr>
        <w:tc>
          <w:tcPr>
            <w:tcW w:type="dxa" w:w="4320"/>
          </w:tcPr>
          <w:p>
            <w:r>
              <w:t>06_sistema.sql</w:t>
            </w:r>
          </w:p>
        </w:tc>
        <w:tc>
          <w:tcPr>
            <w:tcW w:type="dxa" w:w="4320"/>
          </w:tcPr>
          <w:p>
            <w:r>
              <w:t>notificaciones, correos_salida, prospectos B2B, contadores_secuencia, solicitudes_autorizacion, sesiones_usuario</w:t>
            </w:r>
          </w:p>
        </w:tc>
      </w:tr>
      <w:tr>
        <w:tc>
          <w:tcPr>
            <w:tcW w:type="dxa" w:w="4320"/>
          </w:tcPr>
          <w:p>
            <w:r>
              <w:t>Migraciones posteriores (15–23)</w:t>
            </w:r>
          </w:p>
        </w:tc>
        <w:tc>
          <w:tcPr>
            <w:tcW w:type="dxa" w:w="4320"/>
          </w:tcPr>
          <w:p>
            <w:r>
              <w:t>Aprobaciones admin, empresa activo tipo relación, columnas usuarios/registro, liquidación automática, periodos extendidos, etc.</w:t>
            </w:r>
          </w:p>
        </w:tc>
      </w:tr>
    </w:tbl>
    <w:p>
      <w:r>
        <w:rPr>
          <w:b w:val="0"/>
          <w:sz w:val="22"/>
        </w:rPr>
        <w:t>Nota: para `periodo_mes` extendido por periodicidad quincenal/semanal, aplicar migración 23 cuando corresponda; el motor de cortes opera en America/Bogota.</w:t>
      </w:r>
    </w:p>
    <w:p>
      <w:r>
        <w:br w:type="page"/>
      </w:r>
    </w:p>
    <w:p>
      <w:pPr>
        <w:pStyle w:val="Heading1"/>
      </w:pPr>
      <w:r>
        <w:t>7. Mockups tipo wireframe (basados en la interfaz vigente)</w:t>
      </w:r>
    </w:p>
    <w:p>
      <w:r>
        <w:rPr>
          <w:b w:val="0"/>
          <w:sz w:val="22"/>
        </w:rPr>
        <w:t>Texto monocolumna ASCII; pueden sustituirse en Word por capturas de pantalla reales del mismo layout.</w:t>
      </w:r>
    </w:p>
    <w:p>
      <w:pPr>
        <w:pStyle w:val="Heading2"/>
      </w:pPr>
      <w:r>
        <w:t>7.1 Barra pública desktop</w:t>
      </w:r>
    </w:p>
    <w:p>
      <w:r>
        <w:rPr>
          <w:rFonts w:ascii="Consolas" w:hAnsi="Consolas"/>
          <w:sz w:val="18"/>
        </w:rPr>
        <w:t xml:space="preserve"> +-----------------------------------------------------------------------------+</w:t>
        <w:br/>
        <w:t xml:space="preserve"> | [PNG Logo Antares …. ]   Inicio Nosotros … Contacto             ☀️ 🌙 🇨🇴 🇺🇸  [ Portal ]</w:t>
        <w:br/>
        <w:t xml:space="preserve"> +-----------------------------------------------------------------------------+</w:t>
        <w:br/>
        <w:t xml:space="preserve"> Fondo blur claro (#fff ~90% opacity), borde inferior sutil marca, links hover con fondo primary 9%.</w:t>
        <w:br/>
      </w:r>
    </w:p>
    <w:p>
      <w:pPr>
        <w:pStyle w:val="Heading2"/>
      </w:pPr>
      <w:r>
        <w:t>7.2 Hero</w:t>
      </w:r>
    </w:p>
    <w:p>
      <w:r>
        <w:rPr>
          <w:rFonts w:ascii="Consolas" w:hAnsi="Consolas"/>
          <w:sz w:val="18"/>
        </w:rPr>
        <w:t xml:space="preserve"> +------------------------------------------------------------+</w:t>
        <w:br/>
        <w:t xml:space="preserve"> | ████ foto ruta/flora blur + overlay gradiente marca          |</w:t>
        <w:br/>
        <w:t xml:space="preserve"> |                                                               |</w:t>
        <w:br/>
        <w:t xml:space="preserve"> |  [ Logo grande panel glass ]   Kicker ⚡ texto                |</w:t>
        <w:br/>
        <w:t xml:space="preserve"> |                                 H1 dos líneas + acento cyan   |</w:t>
        <w:br/>
        <w:t xml:space="preserve"> |                                 párrafo                       |</w:t>
        <w:br/>
        <w:t xml:space="preserve"> |     [ Solicitar propuesta ]  [ Ingresar al portal ]          |</w:t>
        <w:br/>
        <w:t xml:space="preserve"> |     +----------+ +----------+ +----------+</w:t>
        <w:br/>
        <w:t xml:space="preserve"> |     | entregas | | cumpl.  | | &lt; 12 min |   (glass cards)</w:t>
        <w:br/>
        <w:t xml:space="preserve"> |     +----------+ +----------+ +----------+</w:t>
        <w:br/>
        <w:t xml:space="preserve"> +----------------------------------------------------------------+</w:t>
      </w:r>
    </w:p>
    <w:p>
      <w:pPr>
        <w:pStyle w:val="Heading2"/>
      </w:pPr>
      <w:r>
        <w:t>7.3 Sección institucional (grid 3 cards)</w:t>
      </w:r>
    </w:p>
    <w:p>
      <w:r>
        <w:rPr>
          <w:rFonts w:ascii="Consolas" w:hAnsi="Consolas"/>
          <w:sz w:val="18"/>
        </w:rPr>
        <w:t xml:space="preserve"> +-----------------+  +-----------------+  +-----------------+</w:t>
        <w:br/>
        <w:t xml:space="preserve"> | [icon línea]    |  | [icon corazón]  |  | [icon escudo]   |</w:t>
        <w:br/>
        <w:t xml:space="preserve"> | H2 Quiénes …    |  | H2 Valores      |  | H2 Estándar     |</w:t>
        <w:br/>
        <w:t xml:space="preserve"> | texto/markdown  |  | lista bullets   |  | párrafo         |</w:t>
        <w:br/>
        <w:t xml:space="preserve"> +-----------------+  +-----------------+  +-----------------+</w:t>
      </w:r>
    </w:p>
    <w:p>
      <w:pPr>
        <w:pStyle w:val="Heading2"/>
      </w:pPr>
      <w:r>
        <w:t>7.4 Portal autenticado (shell)</w:t>
      </w:r>
    </w:p>
    <w:p>
      <w:r>
        <w:rPr>
          <w:rFonts w:ascii="Consolas" w:hAnsi="Consolas"/>
          <w:sz w:val="18"/>
        </w:rPr>
        <w:t xml:space="preserve"> +----------------------------------------------------------+</w:t>
        <w:br/>
        <w:t xml:space="preserve"> | Barra contextual portal (nombre usuario, empresa, logout) |</w:t>
        <w:br/>
        <w:t xml:space="preserve"> +----------+-----------------------------------------------+</w:t>
        <w:br/>
        <w:t xml:space="preserve"> | Nav      | Area contenido: solicitudes | nómina | flota …     |</w:t>
        <w:br/>
        <w:t xml:space="preserve"> | (rol)    | dentro de .module-card / tablas responsive        |</w:t>
        <w:br/>
        <w:t xml:space="preserve"> |          | acciones btn-primary header                       |</w:t>
        <w:br/>
        <w:t xml:space="preserve"> +----------+-----------------------------------------------+</w:t>
        <w:br/>
        <w:t xml:space="preserve"> En móvil: backdrop oscuro cuando nav lateral / drawer abierto.</w:t>
      </w:r>
    </w:p>
    <w:p>
      <w:pPr>
        <w:pStyle w:val="Heading2"/>
      </w:pPr>
      <w:r>
        <w:t>7.5 Formulario alta empleado (fragmento RRHH)</w:t>
      </w:r>
    </w:p>
    <w:p>
      <w:r>
        <w:rPr>
          <w:rFonts w:ascii="Consolas" w:hAnsi="Consolas"/>
          <w:sz w:val="18"/>
        </w:rPr>
        <w:t xml:space="preserve"> +-------------------------------------------------------+</w:t>
        <w:br/>
        <w:t xml:space="preserve"> | Datos personales                                      |</w:t>
        <w:br/>
        <w:t xml:space="preserve"> | nombre | tipo doc | N° doc | fecha nacimiento …       |</w:t>
        <w:br/>
        <w:t xml:space="preserve"> | cargo (select cargos activos) | contrato …            |</w:t>
        <w:br/>
        <w:t xml:space="preserve"> | …                                                      |</w:t>
        <w:br/>
        <w:t xml:space="preserve"> | Nómina: salario | auxilio transporte | Periodicidad ◄──┐</w:t>
        <w:br/>
        <w:t xml:space="preserve"> |    [ Mensual ▼ ][ Quincenal ][ Semanal ][ Catorcenal ]  │</w:t>
        <w:br/>
        <w:t xml:space="preserve"> | EPS | Pensión | ARL | Cesantías | …                    |</w:t>
        <w:br/>
        <w:t xml:space="preserve"> +-------------------------------------------------------+</w:t>
        <w:br/>
        <w:t xml:space="preserve"> El valor canonico en BD tras sync: periodicidad_pago = mismo texto catálogo.</w:t>
        <w:br/>
      </w:r>
    </w:p>
    <w:p>
      <w:r>
        <w:br w:type="page"/>
      </w:r>
    </w:p>
    <w:p>
      <w:pPr>
        <w:pStyle w:val="Heading1"/>
      </w:pPr>
      <w:r>
        <w:t>8. Flujos destacados desde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Flujo</w:t>
            </w:r>
          </w:p>
        </w:tc>
        <w:tc>
          <w:tcPr>
            <w:tcW w:type="dxa" w:w="4320"/>
          </w:tcPr>
          <w:p>
            <w:r>
              <w:t>Puntos UI</w:t>
            </w:r>
          </w:p>
        </w:tc>
      </w:tr>
      <w:tr>
        <w:tc>
          <w:tcPr>
            <w:tcW w:type="dxa" w:w="4320"/>
          </w:tcPr>
          <w:p>
            <w:r>
              <w:t>Registro cliente</w:t>
            </w:r>
          </w:p>
        </w:tc>
        <w:tc>
          <w:tcPr>
            <w:tcW w:type="dxa" w:w="4320"/>
          </w:tcPr>
          <w:p>
            <w:r>
              <w:t>Form auth + Turnstile; checklist términos; posible cuenta pendiente de aprobación</w:t>
            </w:r>
          </w:p>
        </w:tc>
      </w:tr>
      <w:tr>
        <w:tc>
          <w:tcPr>
            <w:tcW w:type="dxa" w:w="4320"/>
          </w:tcPr>
          <w:p>
            <w:r>
              <w:t>Nueva solicitud transporte</w:t>
            </w:r>
          </w:p>
        </w:tc>
        <w:tc>
          <w:tcPr>
            <w:tcW w:type="dxa" w:w="4320"/>
          </w:tcPr>
          <w:p>
            <w:r>
              <w:t>Wizard fechas/ciudades/tonelaje; cliente ve estados Pendiente/Aprobado…</w:t>
            </w:r>
          </w:p>
        </w:tc>
      </w:tr>
      <w:tr>
        <w:tc>
          <w:tcPr>
            <w:tcW w:type="dxa" w:w="4320"/>
          </w:tcPr>
          <w:p>
            <w:r>
              <w:t>Aprobación admin</w:t>
            </w:r>
          </w:p>
        </w:tc>
        <w:tc>
          <w:tcPr>
            <w:tcW w:type="dxa" w:w="4320"/>
          </w:tcPr>
          <w:p>
            <w:r>
              <w:t>`solicitudes_autorizacion` + vistas cola bandeja portal</w:t>
            </w:r>
          </w:p>
        </w:tc>
      </w:tr>
      <w:tr>
        <w:tc>
          <w:tcPr>
            <w:tcW w:type="dxa" w:w="4320"/>
          </w:tcPr>
          <w:p>
            <w:r>
              <w:t>Nómina automática</w:t>
            </w:r>
          </w:p>
        </w:tc>
        <w:tc>
          <w:tcPr>
            <w:tcW w:type="dxa" w:w="4320"/>
          </w:tcPr>
          <w:p>
            <w:r>
              <w:t>Cron Bogotá; cortes por periodicidad desde `empleados_nomina.periodicidad_pago`</w:t>
            </w:r>
          </w:p>
        </w:tc>
      </w:tr>
      <w:tr>
        <w:tc>
          <w:tcPr>
            <w:tcW w:type="dxa" w:w="4320"/>
          </w:tcPr>
          <w:p>
            <w:r>
              <w:t>Tema idioma</w:t>
            </w:r>
          </w:p>
        </w:tc>
        <w:tc>
          <w:tcPr>
            <w:tcW w:type="dxa" w:w="4320"/>
          </w:tcPr>
          <w:p>
            <w:r>
              <w:t>Toggle persistente antes de cargar vistas</w:t>
            </w:r>
          </w:p>
        </w:tc>
      </w:tr>
    </w:tbl>
    <w:p>
      <w:pPr>
        <w:pStyle w:val="Heading1"/>
      </w:pPr>
      <w:r>
        <w:t>9. Roadmap técnico sugerido (no implementado fuera de código)</w:t>
      </w:r>
    </w:p>
    <w:p>
      <w:r>
        <w:rPr>
          <w:b w:val="0"/>
          <w:sz w:val="22"/>
        </w:rPr>
        <w:t xml:space="preserve">(1) Unificar totalmente SPA y `apps/web` o documentar públicamente cuál es canónico. (2) Storybook o guía CSS de tokens exportados desde `styles.css`. (3) Capturas profesionales en este documento. (4) Diagrama ER automatizado desde migraciones. </w:t>
      </w:r>
    </w:p>
    <w:p>
      <w:pPr>
        <w:pStyle w:val="Heading1"/>
      </w:pPr>
      <w:r>
        <w:t>10.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Término</w:t>
            </w:r>
          </w:p>
        </w:tc>
        <w:tc>
          <w:tcPr>
            <w:tcW w:type="dxa" w:w="4320"/>
          </w:tcPr>
          <w:p>
            <w:r>
              <w:t>Significado en Antares</w:t>
            </w:r>
          </w:p>
        </w:tc>
      </w:tr>
      <w:tr>
        <w:tc>
          <w:tcPr>
            <w:tcW w:type="dxa" w:w="4320"/>
          </w:tcPr>
          <w:p>
            <w:r>
              <w:t>KEYS.* / localStorage</w:t>
            </w:r>
          </w:p>
        </w:tc>
        <w:tc>
          <w:tcPr>
            <w:tcW w:type="dxa" w:w="4320"/>
          </w:tcPr>
          <w:p>
            <w:r>
              <w:t>Sincronización con filas servidor y caché local</w:t>
            </w:r>
          </w:p>
        </w:tc>
      </w:tr>
      <w:tr>
        <w:tc>
          <w:tcPr>
            <w:tcW w:type="dxa" w:w="4320"/>
          </w:tcPr>
          <w:p>
            <w:r>
              <w:t>Bootstrap portal</w:t>
            </w:r>
          </w:p>
        </w:tc>
        <w:tc>
          <w:tcPr>
            <w:tcW w:type="dxa" w:w="4320"/>
          </w:tcPr>
          <w:p>
            <w:r>
              <w:t>Hidratación inicial desde API después del login</w:t>
            </w:r>
          </w:p>
        </w:tc>
      </w:tr>
      <w:tr>
        <w:tc>
          <w:tcPr>
            <w:tcW w:type="dxa" w:w="4320"/>
          </w:tcPr>
          <w:p>
            <w:r>
              <w:t>periodicity / payFrequency / periodicidad_pago</w:t>
            </w:r>
          </w:p>
        </w:tc>
        <w:tc>
          <w:tcPr>
            <w:tcW w:type="dxa" w:w="4320"/>
          </w:tcPr>
          <w:p>
            <w:r>
              <w:t>Misma nómina: etiquetas Mensual–Catorcenal</w:t>
            </w:r>
          </w:p>
        </w:tc>
      </w:tr>
      <w:tr>
        <w:tc>
          <w:tcPr>
            <w:tcW w:type="dxa" w:w="4320"/>
          </w:tcPr>
          <w:p>
            <w:r>
              <w:t>periodo_mes</w:t>
            </w:r>
          </w:p>
        </w:tc>
        <w:tc>
          <w:tcPr>
            <w:tcW w:type="dxa" w:w="4320"/>
          </w:tcPr>
          <w:p>
            <w:r>
              <w:t>clave periodo fiscal de liquidación incl. sufijos cortes cuando migración 23 aplique</w:t>
            </w:r>
          </w:p>
        </w:tc>
      </w:tr>
      <w:tr>
        <w:tc>
          <w:tcPr>
            <w:tcW w:type="dxa" w:w="4320"/>
          </w:tcPr>
          <w:p>
            <w:r>
              <w:t>Glass card</w:t>
            </w:r>
          </w:p>
        </w:tc>
        <w:tc>
          <w:tcPr>
            <w:tcW w:type="dxa" w:w="4320"/>
          </w:tcPr>
          <w:p>
            <w:r>
              <w:t>Panel semitranslúcido con blur ligero en hero/estadística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  <w:t>Archivo generado automáticamente por `docs/generar_arquitectura_uiux.py` → `Antares_Arquitectura_UI_UX.docx`.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